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1B" w:rsidRDefault="00981AB9" w:rsidP="00981AB9">
      <w:pPr>
        <w:pStyle w:val="Pagedecouverture"/>
        <w:rPr>
          <w:noProof/>
          <w:lang w:val="en-GB" w:eastAsia="en-GB"/>
        </w:rPr>
      </w:pPr>
      <w:bookmarkStart w:id="0" w:name="LW_BM_COVERPAGE"/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C5C5771-81F2-40B2-80B3-1663559C01CB" style="width:450.6pt;height:428.4pt">
            <v:imagedata r:id="rId8" o:title=""/>
          </v:shape>
        </w:pict>
      </w:r>
    </w:p>
    <w:bookmarkEnd w:id="0"/>
    <w:p w:rsidR="00D3421B" w:rsidRDefault="00D3421B">
      <w:pPr>
        <w:pStyle w:val="Pagedecouverture"/>
        <w:rPr>
          <w:noProof/>
          <w:lang w:val="en-GB" w:eastAsia="en-GB"/>
        </w:rPr>
        <w:sectPr w:rsidR="00D3421B" w:rsidSect="00981A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D3421B" w:rsidRDefault="00981AB9">
      <w:pPr>
        <w:keepNext/>
        <w:tabs>
          <w:tab w:val="left" w:pos="850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GB"/>
        </w:rPr>
      </w:pPr>
      <w:bookmarkStart w:id="1" w:name="_Toc359571817"/>
      <w:bookmarkStart w:id="2" w:name="_Toc359483856"/>
      <w:bookmarkStart w:id="3" w:name="_Toc359596073"/>
      <w:bookmarkStart w:id="4" w:name="_GoBack"/>
      <w:bookmarkEnd w:id="1"/>
      <w:bookmarkEnd w:id="4"/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GB" w:eastAsia="en-GB"/>
        </w:rPr>
        <w:lastRenderedPageBreak/>
        <w:t>Első</w:t>
      </w: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GB"/>
        </w:rPr>
        <w:t xml:space="preserve"> kitekintés a 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GB" w:eastAsia="en-GB"/>
        </w:rPr>
        <w:t>tiszta</w:t>
      </w: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GB"/>
        </w:rPr>
        <w:t xml:space="preserve"> levegővel kapcsolatban</w:t>
      </w:r>
    </w:p>
    <w:p w:rsidR="00D3421B" w:rsidRDefault="00981AB9">
      <w:pPr>
        <w:keepNext/>
        <w:numPr>
          <w:ilvl w:val="0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Bevezetés</w:t>
      </w:r>
      <w:bookmarkEnd w:id="2"/>
      <w:bookmarkEnd w:id="3"/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légszennyezés továbbra is jelentős környezeti és egészségügyi problémát jelent az </w:t>
      </w:r>
      <w:r>
        <w:rPr>
          <w:rFonts w:ascii="Times New Roman" w:hAnsi="Times New Roman" w:cs="Times New Roman"/>
          <w:noProof/>
          <w:sz w:val="24"/>
          <w:szCs w:val="24"/>
        </w:rPr>
        <w:t>EU-ban. Sok európai városban rossz a levegő minősége, és túllépik a környezeti levegő minőségéről szóló 2008/50/EK irányelvben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noProof/>
          <w:sz w:val="24"/>
          <w:szCs w:val="24"/>
        </w:rPr>
        <w:t xml:space="preserve"> meghatározott uniós előírásokban, és még többen az Egészségügyi Világszervezet (WHO) iránymutatásaiban foglalt ajánlott határértékeket. Az Európai Környezetvédelmi Ügynökség becslése szerint az EU-ban 2015-ben a légszennyezés körülbelül 400 000 ember idő </w:t>
      </w:r>
      <w:r>
        <w:rPr>
          <w:rFonts w:ascii="Times New Roman" w:hAnsi="Times New Roman" w:cs="Times New Roman"/>
          <w:noProof/>
          <w:sz w:val="24"/>
          <w:szCs w:val="24"/>
        </w:rPr>
        <w:t>előtti elhalálozását okozta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EU 2011 és 2013 között felülvizsgálta a levegőpolitikáját, amelynek eredményeként 2013 decemberében elfogadták a Tiszta levegőt szakpolitikai csomagot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noProof/>
          <w:sz w:val="24"/>
          <w:szCs w:val="24"/>
        </w:rPr>
        <w:t>. A csomag egy közleményből – a Tiszta levegőt Európának programból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noProof/>
          <w:sz w:val="24"/>
          <w:szCs w:val="24"/>
        </w:rPr>
        <w:t xml:space="preserve"> – é</w:t>
      </w:r>
      <w:r>
        <w:rPr>
          <w:rFonts w:ascii="Times New Roman" w:hAnsi="Times New Roman" w:cs="Times New Roman"/>
          <w:noProof/>
          <w:sz w:val="24"/>
          <w:szCs w:val="24"/>
        </w:rPr>
        <w:t>s három jogalkotási javaslatból állt a közepes tüzelőberendezésekből származó kibocsátások csökkentésére irányuló javaslatból, amely az (EU) 2015/2193 irányelvként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5"/>
      </w:r>
      <w:r>
        <w:rPr>
          <w:rFonts w:ascii="Times New Roman" w:hAnsi="Times New Roman" w:cs="Times New Roman"/>
          <w:noProof/>
          <w:sz w:val="24"/>
          <w:szCs w:val="24"/>
        </w:rPr>
        <w:t xml:space="preserve"> került elfogadásra; a Göteborgi Jegyzőkönyv 2012-ben elfogadott, a 2020-ig terjedő időszakr</w:t>
      </w:r>
      <w:r>
        <w:rPr>
          <w:rFonts w:ascii="Times New Roman" w:hAnsi="Times New Roman" w:cs="Times New Roman"/>
          <w:noProof/>
          <w:sz w:val="24"/>
          <w:szCs w:val="24"/>
        </w:rPr>
        <w:t>a szóló kibocsátáscsökkentési kötelezettségek rögzítésére vonatkozó felülvizsgálatának megerősítésére irányuló javaslatból, amely az (EU) 2017/1757 tanácsi határozatként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6"/>
      </w:r>
      <w:r>
        <w:rPr>
          <w:rFonts w:ascii="Times New Roman" w:hAnsi="Times New Roman" w:cs="Times New Roman"/>
          <w:noProof/>
          <w:sz w:val="24"/>
          <w:szCs w:val="24"/>
        </w:rPr>
        <w:t xml:space="preserve"> került elfogadásra; valamint a 2030-ig terjedő időszakra szóló új nemzeti kibocsátásc</w:t>
      </w:r>
      <w:r>
        <w:rPr>
          <w:rFonts w:ascii="Times New Roman" w:hAnsi="Times New Roman" w:cs="Times New Roman"/>
          <w:noProof/>
          <w:sz w:val="24"/>
          <w:szCs w:val="24"/>
        </w:rPr>
        <w:t>sökkentési kötelezettségeket meghatározó, az egyes légköri szennyező anyagok nemzeti kibocsátásainak csökkentéséről szóló irányelvjavaslatból, amely az (EU) 2016/2284 irányelvként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7"/>
      </w:r>
      <w:r>
        <w:rPr>
          <w:rFonts w:ascii="Times New Roman" w:hAnsi="Times New Roman" w:cs="Times New Roman"/>
          <w:noProof/>
          <w:sz w:val="24"/>
          <w:szCs w:val="24"/>
        </w:rPr>
        <w:t xml:space="preserve"> (a nemzeti kibocsátási határértékekről szóló irányelv) került elfogadásra. 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2013-as Tiszta levegőt Európának programban szereplő egyik javaslat szerint az európai levegőminőség helyzetéről rendszeresen jelentést kell tenni, amely kiterjed a kibocsátáscsökkentési kilátásokra és az uniós célkitűzések megvalósítása felé tett előre</w:t>
      </w:r>
      <w:r>
        <w:rPr>
          <w:rFonts w:ascii="Times New Roman" w:hAnsi="Times New Roman" w:cs="Times New Roman"/>
          <w:noProof/>
          <w:sz w:val="24"/>
          <w:szCs w:val="24"/>
        </w:rPr>
        <w:t>lépésre. A nemzeti kibocsátási határértékekről szóló irányelv 2016. decemberi elfogadásával aktualizálták az elemzés alapját, ezen első, tiszta levegővel kapcsolatos kitekintésnek pedig az a célja, hogy eleget tegyen a fenti jelentéstételi feladatnak, és k</w:t>
      </w:r>
      <w:r>
        <w:rPr>
          <w:rFonts w:ascii="Times New Roman" w:hAnsi="Times New Roman" w:cs="Times New Roman"/>
          <w:noProof/>
          <w:sz w:val="24"/>
          <w:szCs w:val="24"/>
        </w:rPr>
        <w:t>eretet biztosítson a tagállamoknak nemzeti levegőszennyezés-csökkentési programjaik kidolgozásához, amelyeket a nemzeti kibocsátási határértékekről szóló irányelv alapján 2019. április 1-jéig be kell nyújtaniuk.</w:t>
      </w:r>
    </w:p>
    <w:p w:rsidR="00D3421B" w:rsidRDefault="00981AB9">
      <w:pPr>
        <w:keepNext/>
        <w:numPr>
          <w:ilvl w:val="0"/>
          <w:numId w:val="1"/>
        </w:numPr>
        <w:tabs>
          <w:tab w:val="left" w:pos="850"/>
        </w:tabs>
        <w:spacing w:before="360" w:after="120" w:line="240" w:lineRule="auto"/>
        <w:ind w:left="840" w:hanging="840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 xml:space="preserve">A levegőminőség helyzete az EU-ban és 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előrehaladás az előírások 2020-ra történő teljesítése felé</w:t>
      </w:r>
    </w:p>
    <w:p w:rsidR="00D3421B" w:rsidRDefault="00981AB9">
      <w:pPr>
        <w:keepNext/>
        <w:numPr>
          <w:ilvl w:val="1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 jelenlegi légköri kibocsátások és a levegőminőség helyzete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EU-ban a fő légszennyező anyagok kibocsátása csökkentés továbbra is pozitív tendenciát mutat – ld. 1. ábra –, és a gazdasági növekedé</w:t>
      </w:r>
      <w:r>
        <w:rPr>
          <w:rFonts w:ascii="Times New Roman" w:hAnsi="Times New Roman" w:cs="Times New Roman"/>
          <w:noProof/>
          <w:sz w:val="24"/>
          <w:szCs w:val="24"/>
        </w:rPr>
        <w:t>stől való elválasztás is folytatódott. Általánosságban elmondható, hogy a 2000 és 2015 közötti időszakban az EU összesített GDP-je 32 %-kal nőtt, míg a fő légszennyező anyagok kibocsátása 10 % (az ammónia (NH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) esetében) és 70 % (a kén-oxidok (SO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>) esetébe</w:t>
      </w:r>
      <w:r>
        <w:rPr>
          <w:rFonts w:ascii="Times New Roman" w:hAnsi="Times New Roman" w:cs="Times New Roman"/>
          <w:noProof/>
          <w:sz w:val="24"/>
          <w:szCs w:val="24"/>
        </w:rPr>
        <w:t>n) között csökkent.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br w:type="page"/>
      </w:r>
      <w:r>
        <w:rPr>
          <w:rFonts w:ascii="Times New Roman" w:hAnsi="Times New Roman" w:cs="Times New Roman"/>
          <w:b/>
          <w:noProof/>
        </w:rPr>
        <w:t>1. ábra: A 28 tagú EU kibocsátásainak alakulása, 2000–2015 (a 2000. évi szintek %-ában kifejezve) [Forrás: EEA]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761355" cy="3096658"/>
            <wp:effectExtent l="19050" t="19050" r="10795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9665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Még mindig komoly problémák vannak azonban az uniós levegőminőségi határértékek túllépésével. A 2015-ös év adatai szerint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 28 tagú EU városi lakosságának akár 20 %-a is ki volt téve a lebegő részecskék (PM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>) uniós napi határértéket meghaladó szintjeinek. A finomrészecskék (PM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2,5</w:t>
      </w:r>
      <w:r>
        <w:rPr>
          <w:rFonts w:ascii="Times New Roman" w:hAnsi="Times New Roman" w:cs="Times New Roman"/>
          <w:noProof/>
          <w:sz w:val="24"/>
          <w:szCs w:val="24"/>
        </w:rPr>
        <w:t>) tekintetében a városi lakosságnak egyes esetekben 8 %-a volt kitéve a 25 µg/m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uniós határérté</w:t>
      </w:r>
      <w:r>
        <w:rPr>
          <w:rFonts w:ascii="Times New Roman" w:hAnsi="Times New Roman" w:cs="Times New Roman"/>
          <w:noProof/>
          <w:sz w:val="24"/>
          <w:szCs w:val="24"/>
        </w:rPr>
        <w:t>ket meghaladó koncentrációnak, több mint 82 %-a pedig a WHO iránymutatásában foglalt jóval szigorúbb 10 µg/m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értéket meghaladó koncentrációnak.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nitrogén-dioxid (NO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) esetében az éves határértéket továbbra is Európa-szerte jelentősen túllépik: az 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-kon</w:t>
      </w:r>
      <w:r>
        <w:rPr>
          <w:rFonts w:ascii="Times New Roman" w:hAnsi="Times New Roman" w:cs="Times New Roman"/>
          <w:noProof/>
          <w:sz w:val="24"/>
          <w:szCs w:val="24"/>
        </w:rPr>
        <w:t>centráció 22 tagállamban haladja meg az Unió és a WHO azonos határértéket, és ennek a városi lakosság akár 9 %-a ki van téve.</w:t>
      </w:r>
    </w:p>
    <w:p w:rsidR="00D3421B" w:rsidRDefault="00981AB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t>Az ózon tekintetében 18 tagállam számolt be az uniós célértéket meghaladó koncentrációkról, és az uniós városi lakosságnak esetenk</w:t>
      </w:r>
      <w:r>
        <w:rPr>
          <w:rFonts w:ascii="Times New Roman" w:hAnsi="Times New Roman" w:cs="Times New Roman"/>
          <w:noProof/>
          <w:sz w:val="24"/>
          <w:szCs w:val="24"/>
        </w:rPr>
        <w:t>ént 30 %-a él olyan területeken, ahol a koncentráció meghaladta a célértéket, 95 %-ánál is több pedig olyan területeken, ahol a koncentráció meghaladta a szigorúbb WHO-iránymutatás szerinti értéket</w:t>
      </w:r>
      <w:r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  <w:lang w:val="en-GB" w:eastAsia="en-GB"/>
        </w:rPr>
        <w:footnoteReference w:id="8"/>
      </w:r>
      <w:r>
        <w:rPr>
          <w:noProof/>
        </w:rPr>
        <w:t>.</w:t>
      </w:r>
    </w:p>
    <w:p w:rsidR="00D3421B" w:rsidRDefault="00981AB9">
      <w:pPr>
        <w:keepNext/>
        <w:numPr>
          <w:ilvl w:val="1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Előrelépés a határértékeknek való megfelelés terén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nit</w:t>
      </w:r>
      <w:r>
        <w:rPr>
          <w:rFonts w:ascii="Times New Roman" w:hAnsi="Times New Roman" w:cs="Times New Roman"/>
          <w:noProof/>
          <w:sz w:val="24"/>
          <w:szCs w:val="24"/>
        </w:rPr>
        <w:t>rogén-dioxidra (NO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) vonatkozó határérték túllépésének egyik fő oka a dízelüzemű személygépjárművekből és könnyű tehergépjárművekből származó nitrogén-oxid-kibocsátás (NO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amely rendszeresen jóval magasabb, mint a típusjóváhagyási határérték. A 2017-ben </w:t>
      </w:r>
      <w:r>
        <w:rPr>
          <w:rFonts w:ascii="Times New Roman" w:hAnsi="Times New Roman" w:cs="Times New Roman"/>
          <w:noProof/>
          <w:sz w:val="24"/>
          <w:szCs w:val="24"/>
        </w:rPr>
        <w:t>elfogadott új, Unió-szerte alkalmazandó tesztelési eljárás, amely ezen járművek valós vezetési feltételek melletti kibocsátását tükrözi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9"/>
      </w:r>
      <w:r>
        <w:rPr>
          <w:rFonts w:ascii="Times New Roman" w:hAnsi="Times New Roman" w:cs="Times New Roman"/>
          <w:noProof/>
          <w:sz w:val="24"/>
          <w:szCs w:val="24"/>
        </w:rPr>
        <w:t>, valamint a felülvizsgált típusjóváhagyási rendszerre vonatkozó 2016-os bizottsági javaslat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0"/>
      </w:r>
      <w:r>
        <w:rPr>
          <w:rFonts w:ascii="Times New Roman" w:hAnsi="Times New Roman" w:cs="Times New Roman"/>
          <w:noProof/>
          <w:sz w:val="24"/>
          <w:szCs w:val="24"/>
        </w:rPr>
        <w:t xml:space="preserve"> nagyban elősegíti majd, hogy ezen a téren előrelépés történjen.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PM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>-határértéknek való megfelelést segíti elő többek között azoknak a részecskeszűrőknek a fokozatos elterjedése, amelyek elősegítik a személygépjárművekre (Euro 5 és 6 besorolás) vonatkoz</w:t>
      </w:r>
      <w:r>
        <w:rPr>
          <w:rFonts w:ascii="Times New Roman" w:hAnsi="Times New Roman" w:cs="Times New Roman"/>
          <w:noProof/>
          <w:sz w:val="24"/>
          <w:szCs w:val="24"/>
        </w:rPr>
        <w:t>ó PM-kibocsátási határértékeknek való megfelelést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1"/>
      </w:r>
      <w:r>
        <w:rPr>
          <w:rFonts w:ascii="Times New Roman" w:hAnsi="Times New Roman" w:cs="Times New Roman"/>
          <w:noProof/>
          <w:sz w:val="24"/>
          <w:szCs w:val="24"/>
        </w:rPr>
        <w:t>, valamint az ipari kibocsátásokról szóló irányelv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2"/>
      </w:r>
      <w:r>
        <w:rPr>
          <w:rFonts w:ascii="Times New Roman" w:hAnsi="Times New Roman" w:cs="Times New Roman"/>
          <w:noProof/>
          <w:sz w:val="24"/>
          <w:szCs w:val="24"/>
        </w:rPr>
        <w:t xml:space="preserve"> és a közepes tüzelőberendezésekből származó egyes szennyező anyagok levegőbe történő kibocsátásának korlátozásáról szóló irányelv szerinti, tüzelőberendez</w:t>
      </w:r>
      <w:r>
        <w:rPr>
          <w:rFonts w:ascii="Times New Roman" w:hAnsi="Times New Roman" w:cs="Times New Roman"/>
          <w:noProof/>
          <w:sz w:val="24"/>
          <w:szCs w:val="24"/>
        </w:rPr>
        <w:t>ésekre irányuló ellenőrzések. Bár a szilárd tüzelésű kályhákra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3"/>
      </w:r>
      <w:r>
        <w:rPr>
          <w:rFonts w:ascii="Times New Roman" w:hAnsi="Times New Roman" w:cs="Times New Roman"/>
          <w:noProof/>
          <w:sz w:val="24"/>
          <w:szCs w:val="24"/>
        </w:rPr>
        <w:t xml:space="preserve"> és kazánokra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4"/>
      </w:r>
      <w:r>
        <w:rPr>
          <w:rFonts w:ascii="Times New Roman" w:hAnsi="Times New Roman" w:cs="Times New Roman"/>
          <w:noProof/>
          <w:sz w:val="24"/>
          <w:szCs w:val="24"/>
        </w:rPr>
        <w:t xml:space="preserve"> vonatkozóan uniós szinten 2015-ben elfogadott környezettudatos tervezési követelmények csak 2020 után lesznek alkalmazandóak, több tagállam is (pl. Lengyelország) a határidő előt</w:t>
      </w:r>
      <w:r>
        <w:rPr>
          <w:rFonts w:ascii="Times New Roman" w:hAnsi="Times New Roman" w:cs="Times New Roman"/>
          <w:noProof/>
          <w:sz w:val="24"/>
          <w:szCs w:val="24"/>
        </w:rPr>
        <w:t>t, proaktívan bevezette őket, hogy ezzel is elősegítse a szálló por, az illékony szerves vegyületek (VOC) és a 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kibocsátásának csökkentését. Emellett a környezettudatos tervezésre vonatkozó és az energiahatékonyság javítására irányuló (különösen az épül</w:t>
      </w:r>
      <w:r>
        <w:rPr>
          <w:rFonts w:ascii="Times New Roman" w:hAnsi="Times New Roman" w:cs="Times New Roman"/>
          <w:noProof/>
          <w:sz w:val="24"/>
          <w:szCs w:val="24"/>
        </w:rPr>
        <w:t>etek energiateljesítményéről szóló 2010-es irányelvben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5"/>
      </w:r>
      <w:r>
        <w:rPr>
          <w:rFonts w:ascii="Times New Roman" w:hAnsi="Times New Roman" w:cs="Times New Roman"/>
          <w:noProof/>
          <w:sz w:val="24"/>
          <w:szCs w:val="24"/>
        </w:rPr>
        <w:t>, a 2012-es energiahatékonysági irányelvben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6"/>
      </w:r>
      <w:r>
        <w:rPr>
          <w:rFonts w:ascii="Times New Roman" w:hAnsi="Times New Roman" w:cs="Times New Roman"/>
          <w:noProof/>
          <w:sz w:val="24"/>
          <w:szCs w:val="24"/>
        </w:rPr>
        <w:t xml:space="preserve"> és az energiahatékonysági címkézésről szóló 2017-es rendeletben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7"/>
      </w:r>
      <w:r>
        <w:rPr>
          <w:rFonts w:ascii="Times New Roman" w:hAnsi="Times New Roman" w:cs="Times New Roman"/>
          <w:noProof/>
          <w:sz w:val="24"/>
          <w:szCs w:val="24"/>
        </w:rPr>
        <w:t xml:space="preserve"> meghatározott) egyéb követelmények az energiafogyasztás csökkentésével hozzájárulnak a légk</w:t>
      </w:r>
      <w:r>
        <w:rPr>
          <w:rFonts w:ascii="Times New Roman" w:hAnsi="Times New Roman" w:cs="Times New Roman"/>
          <w:noProof/>
          <w:sz w:val="24"/>
          <w:szCs w:val="24"/>
        </w:rPr>
        <w:t>öri szennyező anyagok kibocsátásának csökkentéséhez. Az ipari kibocsátásokról szóló irányelv keretében az elérhető legjobb technikákkal kapcsolatos következtetéseknek a nagy tüzelőberendezések tekintetében történő közelmúltbeli elfogadása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8"/>
      </w:r>
      <w:r>
        <w:rPr>
          <w:rFonts w:ascii="Times New Roman" w:hAnsi="Times New Roman" w:cs="Times New Roman"/>
          <w:noProof/>
          <w:sz w:val="24"/>
          <w:szCs w:val="24"/>
        </w:rPr>
        <w:t xml:space="preserve"> is pozitív hatás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sal lesz 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NOx-, a SO</w:t>
      </w:r>
      <w:r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- és a PM-kibocsátások csökkentésére. Mivel azonban a szilárd biomassza továbbra is messze a legnagyobb mértékben (82 %) járul hozzá a megújuló hőtermeléshez</w:t>
      </w:r>
      <w:r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footnoteReference w:id="19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a bioenergia pedig továbbra is az EU megújuló energiamixének jelentős rész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ét teszi ki</w:t>
      </w:r>
      <w:r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footnoteReference w:id="20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a kibocsátás csökkentése terén elért eredményeket bizonyos mértékben ellensúlyozhatja a kibocsátók megnövekedett száma.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További jelentős erőfeszítésekre van szükség annak érdekében, hogy a határértékek túllépése a lehető legrövidebb időre kor</w:t>
      </w:r>
      <w:r>
        <w:rPr>
          <w:rFonts w:ascii="Times New Roman" w:hAnsi="Times New Roman" w:cs="Times New Roman"/>
          <w:noProof/>
          <w:sz w:val="24"/>
          <w:szCs w:val="24"/>
        </w:rPr>
        <w:t>látozódjon. A 2008/50/EK irányelvvel kapcsolatban jelenleg 30 kötelezettségszegési eljárás van folyamatban a tagállamokkal szemben, a PM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>-határértékek túllépésével kapcsolatban 16, a 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-határértékek túllépésével kapcsolatban 13, az SO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-határértékek túllé</w:t>
      </w:r>
      <w:r>
        <w:rPr>
          <w:rFonts w:ascii="Times New Roman" w:hAnsi="Times New Roman" w:cs="Times New Roman"/>
          <w:noProof/>
          <w:sz w:val="24"/>
          <w:szCs w:val="24"/>
        </w:rPr>
        <w:t>pésével kapcsolatban pedig egy.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tagállamoknak továbbá jelentős összegű uniós pénzügyi támogatás áll rendelkezésére a légszennyezést csökkentő intézkedések finanszírozására (lásd 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3.2.5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részt). A környezetvédelmi politikák végrehajtásának bizottsági felü</w:t>
      </w:r>
      <w:r>
        <w:rPr>
          <w:rFonts w:ascii="Times New Roman" w:hAnsi="Times New Roman" w:cs="Times New Roman"/>
          <w:noProof/>
          <w:sz w:val="24"/>
          <w:szCs w:val="24"/>
        </w:rPr>
        <w:t>lvizsgálata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1"/>
      </w:r>
      <w:r>
        <w:rPr>
          <w:rFonts w:ascii="Times New Roman" w:hAnsi="Times New Roman" w:cs="Times New Roman"/>
          <w:noProof/>
          <w:sz w:val="24"/>
          <w:szCs w:val="24"/>
        </w:rPr>
        <w:t xml:space="preserve"> keretében a Bizottság párbeszédet folytat a tagállamokkal a levegőminőségről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2"/>
      </w:r>
      <w:r>
        <w:rPr>
          <w:rFonts w:ascii="Times New Roman" w:hAnsi="Times New Roman" w:cs="Times New Roman"/>
          <w:noProof/>
          <w:sz w:val="24"/>
          <w:szCs w:val="24"/>
        </w:rPr>
        <w:t>, hogy jobban megértse a végrehajtás során alkalmazott tagállami megközelítéseket, megossza a különböző megoldásokkal kapcsolatos tapasztalatokat, előmozdítsa a szakp</w:t>
      </w:r>
      <w:r>
        <w:rPr>
          <w:rFonts w:ascii="Times New Roman" w:hAnsi="Times New Roman" w:cs="Times New Roman"/>
          <w:noProof/>
          <w:sz w:val="24"/>
          <w:szCs w:val="24"/>
        </w:rPr>
        <w:t>olitikák közötti szinergiákat, és megállapítsa, hogy mely területeken lenne hasznos az uniós finanszírozás. A párbeszédek különösen sikeresnek bizonyultak az összes érintett minisztérium és érdekelt fél bevonásával történő fellépések előmozdításában.</w:t>
      </w:r>
    </w:p>
    <w:p w:rsidR="00D3421B" w:rsidRDefault="00981AB9">
      <w:pPr>
        <w:keepNext/>
        <w:numPr>
          <w:ilvl w:val="1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noProof/>
          <w:sz w:val="24"/>
          <w:szCs w:val="24"/>
        </w:rPr>
        <w:t>környezeti levegő minőségéről szóló irányelvek célravezetőségi vizsgálata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2013-as Tiszta levegőt Európának program megállapította, hogy abban az időpontban nem lett volna célszerű a környezeti levegő minőségéről szóló 2008/50/EU és 2004/107/EK irányelv f</w:t>
      </w:r>
      <w:r>
        <w:rPr>
          <w:rFonts w:ascii="Times New Roman" w:hAnsi="Times New Roman" w:cs="Times New Roman"/>
          <w:noProof/>
          <w:sz w:val="24"/>
          <w:szCs w:val="24"/>
        </w:rPr>
        <w:t>elülvizsgálata, és inkább a meglévő előírásoknak való megfelelés, valamint a nemzeti kibocsátási határértékekről szóló irányelven keresztüli kibocsátáscsökkentés szükségességét hangsúlyozta.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2017-ben a Bizottság kezdeményezte a környezeti levegő minőségérő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 szóló irányelvek teljesítményének célravezetőségi vizsgálatát. A vizsgálat a Tiszta levegőt Európának program alapjául szolgáló elemzésből indul ki, és az összes tagállamban szerzett tapasztalatra támaszkodik, elsősorban a 2008 és 2018 közötti időszakra </w:t>
      </w:r>
      <w:r>
        <w:rPr>
          <w:rFonts w:ascii="Times New Roman" w:hAnsi="Times New Roman" w:cs="Times New Roman"/>
          <w:noProof/>
          <w:sz w:val="24"/>
          <w:szCs w:val="24"/>
        </w:rPr>
        <w:t>koncentrálva. Az irányelvek valamennyi rendelkezése tekintetében megvizsgálják, hogy megfelel-e a céljának, és megvizsgálják különösen a nyomonkövetési és az értékelési módszereket, a levegőminőségi előírásokat, a nyilvánosság tájékoztatására vonatkozó ren</w:t>
      </w:r>
      <w:r>
        <w:rPr>
          <w:rFonts w:ascii="Times New Roman" w:hAnsi="Times New Roman" w:cs="Times New Roman"/>
          <w:noProof/>
          <w:sz w:val="24"/>
          <w:szCs w:val="24"/>
        </w:rPr>
        <w:t>delkezéseket, valamint azt, hogy az irányelvek milyen mértékben mozdították elő a káros hatások megelőzésére vagy csökkentésére irányuló fellépést.</w:t>
      </w:r>
    </w:p>
    <w:p w:rsidR="00D3421B" w:rsidRDefault="00981A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vizsgálat kiterjed továbbá az igazgatási költségekre, az átfedésekre és/vagy szinergiákra, az ellentmondás</w:t>
      </w:r>
      <w:r>
        <w:rPr>
          <w:rFonts w:ascii="Times New Roman" w:hAnsi="Times New Roman" w:cs="Times New Roman"/>
          <w:noProof/>
          <w:sz w:val="24"/>
          <w:szCs w:val="24"/>
        </w:rPr>
        <w:t>okra és/vagy az elavult rendelkezésekre, továbbá az uniós, a tagállami, a regionális és a helyi szintű levegőminőségi irányítás összhangjára. A jelenlegi tervek szerint a célravezetőségi ellenőrzés 2019-ben zárul le.</w:t>
      </w:r>
    </w:p>
    <w:p w:rsidR="00D3421B" w:rsidRDefault="00981AB9">
      <w:pPr>
        <w:keepNext/>
        <w:numPr>
          <w:ilvl w:val="0"/>
          <w:numId w:val="1"/>
        </w:numPr>
        <w:tabs>
          <w:tab w:val="left" w:pos="850"/>
        </w:tabs>
        <w:spacing w:before="360" w:after="120" w:line="240" w:lineRule="auto"/>
        <w:ind w:left="840" w:hanging="840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Az új nemzeti kibocsátási határértékekr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ől szóló irányelv és a további szennyezési forrásokra vonatkozó jogszabályok végrehajtása</w:t>
      </w:r>
    </w:p>
    <w:p w:rsidR="00D3421B" w:rsidRDefault="00981AB9">
      <w:pPr>
        <w:keepNext/>
        <w:numPr>
          <w:ilvl w:val="1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5" w:name="_Ref496622083"/>
      <w:r>
        <w:rPr>
          <w:rFonts w:ascii="Times New Roman" w:hAnsi="Times New Roman" w:cs="Times New Roman"/>
          <w:b/>
          <w:noProof/>
          <w:sz w:val="24"/>
          <w:szCs w:val="24"/>
        </w:rPr>
        <w:t>Egészségügyi és ökoszisztémával kapcsolatos célértékek</w:t>
      </w:r>
      <w:bookmarkEnd w:id="5"/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Tiszta levegőt Európának programban meghatározott célértékek a nemzeti kibocsátási határértékekről szóló irán</w:t>
      </w:r>
      <w:r>
        <w:rPr>
          <w:rFonts w:ascii="Times New Roman" w:hAnsi="Times New Roman" w:cs="Times New Roman"/>
          <w:noProof/>
          <w:sz w:val="24"/>
          <w:szCs w:val="24"/>
        </w:rPr>
        <w:t>yelvre irányuló bizottsági javaslatban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3"/>
      </w:r>
      <w:r>
        <w:rPr>
          <w:rFonts w:ascii="Times New Roman" w:hAnsi="Times New Roman" w:cs="Times New Roman"/>
          <w:noProof/>
          <w:sz w:val="24"/>
          <w:szCs w:val="24"/>
        </w:rPr>
        <w:t xml:space="preserve"> felvázolt csökkentéseken alapultak. Most, hogy az irányelv 2016. december 31-én hatályba lépett, és a 2013-as Tiszta levegőt program óta a szennyezési forrásokra vonatkozóan további jogszabályok (azaz egyes meghatáro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zott szennyezési forrásokra, pl. járművekre, kályhákra, ipari üzemekre vonatkozó intézkedések) is elfogadásra kerültek, ezeket az értékeket a lenti 1. táblázatban foglaltak szerint aktualizálni lehet. </w:t>
      </w:r>
    </w:p>
    <w:p w:rsidR="00D3421B" w:rsidRDefault="00981AB9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1. táblázat: A nemzeti kibocsátási határértékekről szóló irányelv és a 2014 óta a szennyezési forrásokra vonatkozóan elfogadott valamennyi jogszabály által 2030-ig előrejelzett levegőtisztasági eredmények, összevetve a Tiszta levegőt Európának programban f</w:t>
      </w:r>
      <w:r>
        <w:rPr>
          <w:rFonts w:ascii="Times New Roman" w:hAnsi="Times New Roman" w:cs="Times New Roman"/>
          <w:b/>
          <w:noProof/>
        </w:rPr>
        <w:t xml:space="preserve">oglalt javaslatokkal (a 2005-ös bázisévhez képest)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D3421B"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:rsidR="00D3421B" w:rsidRDefault="00D342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 w:cs="Times New Roman"/>
                <w:noProof/>
              </w:rPr>
              <w:t>Az egészségkárosító hatások várt csökkenése 2005-höz képest</w:t>
            </w:r>
            <w:r>
              <w:rPr>
                <w:rFonts w:ascii="Times New Roman" w:eastAsia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>(a szálló por és az ózon által okozott idő előtti elhalálozás)</w:t>
            </w:r>
          </w:p>
        </w:tc>
        <w:tc>
          <w:tcPr>
            <w:tcW w:w="3097" w:type="dxa"/>
            <w:tcBorders>
              <w:bottom w:val="single" w:sz="12" w:space="0" w:color="auto"/>
            </w:tcBorders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Az eutrofizációs határértéket túllépő ökoszisztéma-területek várható csökkenése </w:t>
            </w:r>
            <w:r>
              <w:rPr>
                <w:rFonts w:ascii="Times New Roman" w:hAnsi="Times New Roman" w:cs="Times New Roman"/>
                <w:noProof/>
              </w:rPr>
              <w:t>2005-höz képest</w:t>
            </w:r>
          </w:p>
        </w:tc>
      </w:tr>
      <w:tr w:rsidR="00D3421B">
        <w:tc>
          <w:tcPr>
            <w:tcW w:w="3096" w:type="dxa"/>
            <w:tcBorders>
              <w:top w:val="single" w:sz="12" w:space="0" w:color="auto"/>
            </w:tcBorders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Tiszta levegőt Európának program (2013. december), amely a kiindulási értéknél nem veszi figyelembe a szennyezési forrásokra vonatkozóan 2014 óta elfogadott jogszabályokat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52 %</w:t>
            </w:r>
          </w:p>
        </w:tc>
        <w:tc>
          <w:tcPr>
            <w:tcW w:w="3097" w:type="dxa"/>
            <w:tcBorders>
              <w:top w:val="single" w:sz="12" w:space="0" w:color="auto"/>
            </w:tcBorders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35 %</w:t>
            </w:r>
          </w:p>
        </w:tc>
      </w:tr>
      <w:tr w:rsidR="00D3421B">
        <w:tc>
          <w:tcPr>
            <w:tcW w:w="3096" w:type="dxa"/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 nemzeti kibocsátási határértékekről szóló irányelvnek </w:t>
            </w:r>
            <w:r>
              <w:rPr>
                <w:rFonts w:ascii="Times New Roman" w:hAnsi="Times New Roman" w:cs="Times New Roman"/>
                <w:noProof/>
              </w:rPr>
              <w:t>a 2016. decemberi elfogadásakor becsült hatásai, a fenti kiindulási értéket alkalmazva</w:t>
            </w:r>
          </w:p>
        </w:tc>
        <w:tc>
          <w:tcPr>
            <w:tcW w:w="3096" w:type="dxa"/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49,6 %</w:t>
            </w:r>
          </w:p>
        </w:tc>
        <w:tc>
          <w:tcPr>
            <w:tcW w:w="3097" w:type="dxa"/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D3421B">
        <w:tc>
          <w:tcPr>
            <w:tcW w:w="3096" w:type="dxa"/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 nemzeti kibocsátási határértékekről szóló irányelv hatásai olyan kiindulási értéket használva, amely figyelembe veszi a szennyezési forrásokra vonatkozóan 20</w:t>
            </w:r>
            <w:r>
              <w:rPr>
                <w:rFonts w:ascii="Times New Roman" w:hAnsi="Times New Roman" w:cs="Times New Roman"/>
                <w:b/>
                <w:noProof/>
              </w:rPr>
              <w:t>14 óta elfogadott jogszabályokat</w:t>
            </w:r>
          </w:p>
        </w:tc>
        <w:tc>
          <w:tcPr>
            <w:tcW w:w="3096" w:type="dxa"/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54 %</w:t>
            </w:r>
          </w:p>
        </w:tc>
        <w:tc>
          <w:tcPr>
            <w:tcW w:w="3097" w:type="dxa"/>
            <w:shd w:val="clear" w:color="auto" w:fill="auto"/>
          </w:tcPr>
          <w:p w:rsidR="00D3421B" w:rsidRDefault="00981A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27 %</w:t>
            </w:r>
          </w:p>
        </w:tc>
      </w:tr>
    </w:tbl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táblázathoz szükség van némi magyarázatra, különösen azzal kapcsolatban, hogy az egészségkárosító hatás csökkenésének kiszámított értéke 54 %, miközben az elfogadáskor kevéssel 50 % alatti várható csökkenéssel </w:t>
      </w:r>
      <w:r>
        <w:rPr>
          <w:rFonts w:ascii="Times New Roman" w:hAnsi="Times New Roman" w:cs="Times New Roman"/>
          <w:noProof/>
          <w:sz w:val="24"/>
          <w:szCs w:val="24"/>
        </w:rPr>
        <w:t>számoltak. Ez két tényezőnek tudható be.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egyik a szennyezési forrásokra vonatkozóan 2014 óta elfogadott további jogszabályok hatása. Az a közepes tüzelőberendezésekből származó egyes szennyező anyagok levegőbe történő kibocsátásának korlátozásáról szóló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irányelv által 2015-ben meghatározott kibocsátási korlátozásokat 2018. december 20-tól az összes új tüzelőberendezésre alkalmazni kell, 2025-ig vagy 2030-ig pedig (méretüktől függően) az összes már meglévő tüzelőberendezésre vonatkozóan is be kell vezetni</w:t>
      </w:r>
      <w:r>
        <w:rPr>
          <w:rFonts w:ascii="Times New Roman" w:hAnsi="Times New Roman" w:cs="Times New Roman"/>
          <w:noProof/>
          <w:sz w:val="24"/>
          <w:szCs w:val="24"/>
        </w:rPr>
        <w:t>. A környezettudatos tervezésről szóló 2015-ös végrehajtási rendeleteket 2020. január 1-jétől alkalmazni kell a kereskedelmi forgalomba kerülő új szilárd tüzelésű kazánokra, 2022. január 1-jétől pedig az új szilárd tüzelésű kályhákra. A nem közúti mozgó gé</w:t>
      </w:r>
      <w:r>
        <w:rPr>
          <w:rFonts w:ascii="Times New Roman" w:hAnsi="Times New Roman" w:cs="Times New Roman"/>
          <w:noProof/>
          <w:sz w:val="24"/>
          <w:szCs w:val="24"/>
        </w:rPr>
        <w:t>pekről szóló 2016. évi rendelet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4"/>
      </w:r>
      <w:r>
        <w:rPr>
          <w:rFonts w:ascii="Times New Roman" w:hAnsi="Times New Roman" w:cs="Times New Roman"/>
          <w:noProof/>
          <w:sz w:val="24"/>
          <w:szCs w:val="24"/>
        </w:rPr>
        <w:t xml:space="preserve"> a motor besorolásától függően 2019., 2020. vagy 2021. január 1-jétől alkalmazandó a kereskedelmi forgalomba kerülő motorokra. A nagy tüzelőberendezések tekintetében elérhető legjobb technikákkal kapcsolatos 2017-es következ</w:t>
      </w:r>
      <w:r>
        <w:rPr>
          <w:rFonts w:ascii="Times New Roman" w:hAnsi="Times New Roman" w:cs="Times New Roman"/>
          <w:noProof/>
          <w:sz w:val="24"/>
          <w:szCs w:val="24"/>
        </w:rPr>
        <w:t>tetések 2017. augusztus 17-től alkalmazandóak az új berendezésekre, 2021. augusztus 17-től pedig az összes már meglévő berendezésre. A 2013-as Tiszta levegőt csomag hangsúlyozta, hogy ezen kezdeményezések végrehajtása hozzájárulhat a 2030-as célok eléréséh</w:t>
      </w:r>
      <w:r>
        <w:rPr>
          <w:rFonts w:ascii="Times New Roman" w:hAnsi="Times New Roman" w:cs="Times New Roman"/>
          <w:noProof/>
          <w:sz w:val="24"/>
          <w:szCs w:val="24"/>
        </w:rPr>
        <w:t>ez, és a jogszabályok végleges változata most már szerepel az elemzésben. Mindezen intézkedések összesített értékeléséből arra lehet következtetni, hogy 2030-ra a nemzeti kibocsátási határértékekről szóló irányelv elfogadásakor becsülteknél nagyobb csökken</w:t>
      </w:r>
      <w:r>
        <w:rPr>
          <w:rFonts w:ascii="Times New Roman" w:hAnsi="Times New Roman" w:cs="Times New Roman"/>
          <w:noProof/>
          <w:sz w:val="24"/>
          <w:szCs w:val="24"/>
        </w:rPr>
        <w:t>ésekre lehet számítani, feltételezve a vonatkozó jogszabályi előírások teljes körű betartását.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második tényező az, amikor az egy bizonyos szennyező anyag kibocsátásának csökkentését célzó intézkedések más szennyező anyagok kibocsátására is kedvezően </w:t>
      </w:r>
      <w:r>
        <w:rPr>
          <w:rFonts w:ascii="Times New Roman" w:hAnsi="Times New Roman" w:cs="Times New Roman"/>
          <w:noProof/>
          <w:sz w:val="24"/>
          <w:szCs w:val="24"/>
        </w:rPr>
        <w:t>hatnak (ezek az ún. együttes ellenőrzési intézkedések). Ennek egyik példája a mezőgazdasági hulladék égetésének a KAP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5"/>
      </w:r>
      <w:r>
        <w:rPr>
          <w:rFonts w:ascii="Times New Roman" w:hAnsi="Times New Roman" w:cs="Times New Roman"/>
          <w:noProof/>
          <w:sz w:val="24"/>
          <w:szCs w:val="24"/>
        </w:rPr>
        <w:t xml:space="preserve"> és a nemzeti kibocsátási határértékekről szóló irányelv III. melléklete szerinti szabályozása, amelynek célja rendszerint az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-kibocsát</w:t>
      </w:r>
      <w:r>
        <w:rPr>
          <w:rFonts w:ascii="Times New Roman" w:hAnsi="Times New Roman" w:cs="Times New Roman"/>
          <w:noProof/>
          <w:sz w:val="24"/>
          <w:szCs w:val="24"/>
        </w:rPr>
        <w:t>ás csökkentése, de a PM- és a VOC-kibocsátást is csökkenti. Ezek a szinergiák számos esetben költségmegtakarítást eredményeznek, de más esetekben akár további pozitív egészségügyi hatásokkal is járhatnak. Ennek a tényezőnek a hatása a tagállam által a gyak</w:t>
      </w:r>
      <w:r>
        <w:rPr>
          <w:rFonts w:ascii="Times New Roman" w:hAnsi="Times New Roman" w:cs="Times New Roman"/>
          <w:noProof/>
          <w:sz w:val="24"/>
          <w:szCs w:val="24"/>
        </w:rPr>
        <w:t>orlatban kiválasztott intézkedések kombinációjától függ.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Ezek a hatások azonban az eutrofizáció esetében már nem így működnek. A 2014 óta elfogadott, szennyezési forrásokra vonatkozó uniós jogszabályok közül egyik sem kezeli az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-kibocsátást, és az együt</w:t>
      </w:r>
      <w:r>
        <w:rPr>
          <w:rFonts w:ascii="Times New Roman" w:hAnsi="Times New Roman" w:cs="Times New Roman"/>
          <w:noProof/>
          <w:sz w:val="24"/>
          <w:szCs w:val="24"/>
        </w:rPr>
        <w:t>tes ellenőrzési előnyök is csekély mértékűek. Így az, hogy a nemzeti kibocsátási határértékekről szóló irányelv az elfogadott formájában az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-kibocsátásra előírt csökkentést 19 %-ban határozta meg az eredeti bizottsági javaslatban szereplő 25 %-hoz képes</w:t>
      </w:r>
      <w:r>
        <w:rPr>
          <w:rFonts w:ascii="Times New Roman" w:hAnsi="Times New Roman" w:cs="Times New Roman"/>
          <w:noProof/>
          <w:sz w:val="24"/>
          <w:szCs w:val="24"/>
        </w:rPr>
        <w:t>t, az ökoszisztéma állapotának a kibocsátáscsökkentésből eredő javulását körülbelül hasonló mértékben visszavetette.</w:t>
      </w:r>
    </w:p>
    <w:p w:rsidR="00D3421B" w:rsidRDefault="00981AB9">
      <w:pPr>
        <w:keepNext/>
        <w:numPr>
          <w:ilvl w:val="1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 nemzeti kibocsátási határértékekről szóló irányelv keretében 2020-ra és 2030-ra vállalt csökkentési kötelezettségek végrehajtása</w:t>
      </w:r>
    </w:p>
    <w:p w:rsidR="00D3421B" w:rsidRDefault="00981AB9">
      <w:pPr>
        <w:keepNext/>
        <w:numPr>
          <w:ilvl w:val="2"/>
          <w:numId w:val="1"/>
        </w:numPr>
        <w:tabs>
          <w:tab w:val="left" w:pos="850"/>
        </w:tabs>
        <w:spacing w:before="360" w:after="120" w:line="240" w:lineRule="auto"/>
        <w:ind w:hanging="1224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A 2020-a</w:t>
      </w:r>
      <w:r>
        <w:rPr>
          <w:rFonts w:ascii="Times New Roman" w:hAnsi="Times New Roman" w:cs="Times New Roman"/>
          <w:i/>
          <w:noProof/>
          <w:sz w:val="24"/>
          <w:szCs w:val="24"/>
        </w:rPr>
        <w:t>s csökkentési kötelezettségek teljesítése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2013. évi hatásvizsgálat az akkor hatályos uniós jogszabályok végrehajtásával teljesíthetőnek ítélte az EU 2020-ig vállalt (a Göteborgi Jegyzőkönyv 2012. évi felülvizsgálatában meghatározott) csökkentési köteleze</w:t>
      </w:r>
      <w:r>
        <w:rPr>
          <w:rFonts w:ascii="Times New Roman" w:hAnsi="Times New Roman" w:cs="Times New Roman"/>
          <w:noProof/>
          <w:sz w:val="24"/>
          <w:szCs w:val="24"/>
        </w:rPr>
        <w:t>ttségeit. Ezt az aktualizált elemzés uniós szinten megerősítette, de az egyes tagállamok esetében már eltérő lehet a helyzet, ezért az adott tagállam körülményeitől függően további intézkedésekre lehet szükség a kötelezettségek teljesítésének biztosítása é</w:t>
      </w:r>
      <w:r>
        <w:rPr>
          <w:rFonts w:ascii="Times New Roman" w:hAnsi="Times New Roman" w:cs="Times New Roman"/>
          <w:noProof/>
          <w:sz w:val="24"/>
          <w:szCs w:val="24"/>
        </w:rPr>
        <w:t>rdekében.</w:t>
      </w:r>
    </w:p>
    <w:p w:rsidR="00D3421B" w:rsidRDefault="00981AB9">
      <w:pPr>
        <w:keepNext/>
        <w:numPr>
          <w:ilvl w:val="2"/>
          <w:numId w:val="1"/>
        </w:numPr>
        <w:tabs>
          <w:tab w:val="left" w:pos="850"/>
        </w:tabs>
        <w:spacing w:before="360" w:after="120" w:line="240" w:lineRule="auto"/>
        <w:ind w:hanging="1224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bookmarkStart w:id="6" w:name="_Ref496879435"/>
      <w:r>
        <w:rPr>
          <w:rFonts w:ascii="Times New Roman" w:hAnsi="Times New Roman" w:cs="Times New Roman"/>
          <w:i/>
          <w:noProof/>
          <w:sz w:val="24"/>
          <w:szCs w:val="24"/>
        </w:rPr>
        <w:t>A 2030-as csökkentési kötelezettségek teljesítése</w:t>
      </w:r>
      <w:bookmarkEnd w:id="6"/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nemzeti kibocsátási határértékekről szóló irányelvre irányuló bizottsági javaslat szerint a 2030-as kötelezettségvállalások teljesítéséhez szükséges becsült összeg 2,2 milliárd EUR.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6"/>
      </w:r>
      <w:r>
        <w:rPr>
          <w:rFonts w:ascii="Times New Roman" w:hAnsi="Times New Roman" w:cs="Times New Roman"/>
          <w:noProof/>
          <w:sz w:val="24"/>
          <w:szCs w:val="24"/>
        </w:rPr>
        <w:t xml:space="preserve"> Az elemzés szerint a 2016-ban elfogadott nemzeti kibocsátási határértékekről szóló irányelv szerinti tényleges csökkentési szintek eléréséhez kisebb összegre, 1,8 milliárd EUR-ra van szükség. Ez annak köszönhető, hogy a társjogalkotók kevésbé ambiciózus 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sökkentési célértékekben állapodtak meg. 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 figyelembe vesszük a szennyezési forrásokra vonatkozóan 2014 óta elfogadott további jogszabályokat, a nemzeti kibocsátási határértékekről szóló irányelv szerinti kötelezettségvállalások teljesítésének költségei </w:t>
      </w:r>
      <w:r>
        <w:rPr>
          <w:rFonts w:ascii="Times New Roman" w:hAnsi="Times New Roman" w:cs="Times New Roman"/>
          <w:noProof/>
          <w:sz w:val="24"/>
          <w:szCs w:val="24"/>
        </w:rPr>
        <w:t>várhatóan tovább csökkennek 960 millió euróra (vagyis 1,9 EUR/fő/év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7"/>
      </w:r>
      <w:r>
        <w:rPr>
          <w:rFonts w:ascii="Times New Roman" w:hAnsi="Times New Roman" w:cs="Times New Roman"/>
          <w:noProof/>
          <w:sz w:val="24"/>
          <w:szCs w:val="24"/>
        </w:rPr>
        <w:t>). Ez túlnyomórészt a háztartásoknak tudható be, a szilárd tüzelésű kályhákra és kazánokra vonatkozó környezettudatos tervezési előírások végrehajtásának köszönhetően. Ha számításba vesszü</w:t>
      </w:r>
      <w:r>
        <w:rPr>
          <w:rFonts w:ascii="Times New Roman" w:hAnsi="Times New Roman" w:cs="Times New Roman"/>
          <w:noProof/>
          <w:sz w:val="24"/>
          <w:szCs w:val="24"/>
        </w:rPr>
        <w:t>k a 2030-ig tartó időszakra vonatkozó uniós éghajlat- és energiapolitikai keret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8"/>
      </w:r>
      <w:r>
        <w:rPr>
          <w:rFonts w:ascii="Times New Roman" w:hAnsi="Times New Roman" w:cs="Times New Roman"/>
          <w:noProof/>
          <w:sz w:val="24"/>
          <w:szCs w:val="24"/>
        </w:rPr>
        <w:t xml:space="preserve"> becsült hatását, akkor a költségek tovább csökkennek (főleg a villamosenergia- és az ipari szektorban), várhatóan 540 millió euróra (vagyis 1,05 EUR/fő/év). A várható előnyök </w:t>
      </w:r>
      <w:r>
        <w:rPr>
          <w:rFonts w:ascii="Times New Roman" w:hAnsi="Times New Roman" w:cs="Times New Roman"/>
          <w:noProof/>
          <w:sz w:val="24"/>
          <w:szCs w:val="24"/>
        </w:rPr>
        <w:t>valószínűleg jelentősen túlszárnyalják majd a költségeket, ennek mértéke 14 (konzervatív becslések szerint) és 50 közé tehető.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egyes tagállamokat terhelő végrehajtási költségek aránya is változó, ami számos tényezőnek tudható be, többek között a szennye</w:t>
      </w:r>
      <w:r>
        <w:rPr>
          <w:rFonts w:ascii="Times New Roman" w:hAnsi="Times New Roman" w:cs="Times New Roman"/>
          <w:noProof/>
          <w:sz w:val="24"/>
          <w:szCs w:val="24"/>
        </w:rPr>
        <w:t>zési forrásokra vonatkozó új jogszabályoknak és a 2030-as tagállami energiamixre vonatkozó előrejelzések változásainak (különösen a megnövekedett szénfelhasználásnak néhány tagállamban)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9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3421B" w:rsidRDefault="00981AB9">
      <w:pPr>
        <w:keepNext/>
        <w:numPr>
          <w:ilvl w:val="2"/>
          <w:numId w:val="1"/>
        </w:numPr>
        <w:tabs>
          <w:tab w:val="left" w:pos="850"/>
        </w:tabs>
        <w:spacing w:before="360" w:after="120" w:line="240" w:lineRule="auto"/>
        <w:ind w:hanging="1224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Mely területeken lehet szükség a további szennyezési forrásokra vona</w:t>
      </w:r>
      <w:r>
        <w:rPr>
          <w:rFonts w:ascii="Times New Roman" w:hAnsi="Times New Roman" w:cs="Times New Roman"/>
          <w:i/>
          <w:noProof/>
          <w:sz w:val="24"/>
          <w:szCs w:val="24"/>
        </w:rPr>
        <w:t>tkozó jogszabályokra?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alábbi 2a. ábra a) a 2014 előtti kiindulási érték, b) a 2014 óta elfogadott további jogszabályok, c) a nemzeti kibocsátási határértékekről szóló irányelv kibocsátáscsökkentési követelményeinek teljesítéséhez szükséges további intéz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kedések és d) az „együttes ellenőrzési intézkedések” (lásd a fenti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szakaszt) által elért csökkenések arányát ismerteti. A legrelevánsabb együttes ellenőrzési intézkedések a) a nemzeti kibocsátási határértékekről szóló irányelv III. mellékletében a mező</w:t>
      </w:r>
      <w:r>
        <w:rPr>
          <w:rFonts w:ascii="Times New Roman" w:hAnsi="Times New Roman" w:cs="Times New Roman"/>
          <w:noProof/>
          <w:sz w:val="24"/>
          <w:szCs w:val="24"/>
        </w:rPr>
        <w:t>gazdasági hulladék égetésére vonatkozóan előírt tilalom (amely csökkenti a PM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2,5</w:t>
      </w:r>
      <w:r>
        <w:rPr>
          <w:rFonts w:ascii="Times New Roman" w:hAnsi="Times New Roman" w:cs="Times New Roman"/>
          <w:noProof/>
          <w:sz w:val="24"/>
          <w:szCs w:val="24"/>
        </w:rPr>
        <w:t>, a VOC, az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, valamint a CO és a CH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noProof/>
          <w:sz w:val="24"/>
          <w:szCs w:val="24"/>
        </w:rPr>
        <w:t>kibocsátását), b) a fatüzelésű kályháknak a környezettudatos tervezésből adódó kibocsátás-szabályozása (amely csökkenti a PM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2,5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a VOC, </w:t>
      </w:r>
      <w:r>
        <w:rPr>
          <w:rFonts w:ascii="Times New Roman" w:hAnsi="Times New Roman" w:cs="Times New Roman"/>
          <w:noProof/>
          <w:sz w:val="24"/>
          <w:szCs w:val="24"/>
        </w:rPr>
        <w:t>a 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és az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, valamint CO és a CH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kibocsátását,) továbbá c) a széntüzelésű kályháknak szintén a környezettudatos tervezésből adódó kibocsátás-szabályozása (amely csökkenti a PM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2,5</w:t>
      </w:r>
      <w:r>
        <w:rPr>
          <w:rFonts w:ascii="Times New Roman" w:hAnsi="Times New Roman" w:cs="Times New Roman"/>
          <w:noProof/>
          <w:sz w:val="24"/>
          <w:szCs w:val="24"/>
        </w:rPr>
        <w:t>, a VOC, a SO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és a 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kibocsátását).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Általában véve az elemzés megerősí</w:t>
      </w:r>
      <w:r>
        <w:rPr>
          <w:rFonts w:ascii="Times New Roman" w:hAnsi="Times New Roman" w:cs="Times New Roman"/>
          <w:noProof/>
          <w:sz w:val="24"/>
          <w:szCs w:val="24"/>
        </w:rPr>
        <w:t>ti az eredeti javaslatban követett megközelítés általános érvényességét. A SO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és a NOx esetében a 2013-ban hatályos jogszabályok révén is nagymértékű csökkenést lehetett elérni. A csökkentési kötelezettségvállalások legfőbb hatása ezen eredmények megszilá</w:t>
      </w:r>
      <w:r>
        <w:rPr>
          <w:rFonts w:ascii="Times New Roman" w:hAnsi="Times New Roman" w:cs="Times New Roman"/>
          <w:noProof/>
          <w:sz w:val="24"/>
          <w:szCs w:val="24"/>
        </w:rPr>
        <w:t>rdítása és annak biztosítása, hogy a tevékenységbeli változások (pl. megnövekedett szénfelhasználás egyes tagállamokban) ne befolyásolják az általános csökkenést. A PM és a VOC-k tekintetében a nemzeti kibocsátási határértékekről szóló irányelv és a 2014 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ta elfogadott további jogszabályok hatása jóval nagyobb, tükrözve a korábbi jogszabályok által elért kisebb csökkenéseket. </w:t>
      </w:r>
    </w:p>
    <w:p w:rsidR="00D3421B" w:rsidRDefault="00981AB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D3421B" w:rsidRDefault="00D342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2a. ábra: A kibocsátáscsökkentési követelményekhez való hozzájárulás az alábbiak által: i. a 2014 előtti jogszabályok által jelen</w:t>
      </w:r>
      <w:r>
        <w:rPr>
          <w:rFonts w:ascii="Times New Roman" w:hAnsi="Times New Roman" w:cs="Times New Roman"/>
          <w:b/>
          <w:noProof/>
        </w:rPr>
        <w:t>tett kiindulási alap, ii. a 2014 utáni jogszabályi intézkedések, iii. a kibocsátáscsökkentési követelmények teljesítéséhez szükséges további intézkedések és iv. más kibocsátásokra irányuló intézkedésekből eredő járulékos szabályozások. SO</w:t>
      </w:r>
      <w:r>
        <w:rPr>
          <w:rFonts w:ascii="Times New Roman" w:hAnsi="Times New Roman" w:cs="Times New Roman"/>
          <w:b/>
          <w:noProof/>
          <w:vertAlign w:val="subscript"/>
        </w:rPr>
        <w:t>2</w:t>
      </w:r>
      <w:r>
        <w:rPr>
          <w:rFonts w:ascii="Times New Roman" w:hAnsi="Times New Roman" w:cs="Times New Roman"/>
          <w:b/>
          <w:noProof/>
        </w:rPr>
        <w:t>, NOx, VOC és PM</w:t>
      </w:r>
      <w:r>
        <w:rPr>
          <w:rFonts w:ascii="Times New Roman" w:hAnsi="Times New Roman" w:cs="Times New Roman"/>
          <w:b/>
          <w:noProof/>
          <w:vertAlign w:val="subscript"/>
        </w:rPr>
        <w:t>2</w:t>
      </w:r>
      <w:r>
        <w:rPr>
          <w:rFonts w:ascii="Times New Roman" w:hAnsi="Times New Roman" w:cs="Times New Roman"/>
          <w:b/>
          <w:noProof/>
          <w:vertAlign w:val="subscript"/>
        </w:rPr>
        <w:t>,5</w:t>
      </w:r>
    </w:p>
    <w:p w:rsidR="00D3421B" w:rsidRDefault="00D342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764422" cy="318052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18" cy="31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797420" cy="3180522"/>
            <wp:effectExtent l="0" t="0" r="317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54" cy="31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1B" w:rsidRPr="00981AB9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677363" cy="324761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63" cy="32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867559" cy="320804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01" cy="32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br w:type="page"/>
        <w:t>Az NH</w:t>
      </w:r>
      <w:r w:rsidRPr="00981AB9">
        <w:rPr>
          <w:rFonts w:ascii="Times New Roman" w:hAnsi="Times New Roman" w:cs="Times New Roman"/>
          <w:noProof/>
          <w:sz w:val="24"/>
          <w:szCs w:val="24"/>
          <w:vertAlign w:val="subscript"/>
          <w:lang w:val="en-GB"/>
        </w:rPr>
        <w:t>3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esetében más a helyzet, amint azt a 2b. ábra is mutatja. A csökkenéseket szinte teljes egészében a nemzeti kibocsátási határértékekről szóló irányelvnek kell elérnie, a szennyezési forrásokra vonatkozó jogszabályok hozzájárulása a 2014 elő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tti kiindulási alap és az azóta elfogadott intézkedések esetében is csak kismértékű lehet.</w:t>
      </w:r>
    </w:p>
    <w:p w:rsidR="00D3421B" w:rsidRPr="00981AB9" w:rsidRDefault="00D342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D3421B" w:rsidRPr="00981AB9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en-GB"/>
        </w:rPr>
      </w:pPr>
      <w:r w:rsidRPr="00981AB9">
        <w:rPr>
          <w:rFonts w:ascii="Times New Roman" w:hAnsi="Times New Roman" w:cs="Times New Roman"/>
          <w:b/>
          <w:noProof/>
          <w:lang w:val="en-GB"/>
        </w:rPr>
        <w:t>2b. ábra: NH</w:t>
      </w:r>
      <w:r w:rsidRPr="00981AB9">
        <w:rPr>
          <w:rFonts w:ascii="Times New Roman" w:hAnsi="Times New Roman" w:cs="Times New Roman"/>
          <w:b/>
          <w:noProof/>
          <w:vertAlign w:val="subscript"/>
          <w:lang w:val="en-GB"/>
        </w:rPr>
        <w:t>3</w:t>
      </w:r>
      <w:r w:rsidRPr="00981AB9">
        <w:rPr>
          <w:rFonts w:ascii="Times New Roman" w:hAnsi="Times New Roman" w:cs="Times New Roman"/>
          <w:b/>
          <w:noProof/>
          <w:lang w:val="en-GB"/>
        </w:rPr>
        <w:t xml:space="preserve"> - A kibocsátáscsökkentési követelményekhez való hozzájárulás az alábbiak által: i. a 2014 előtti jogszabályok által jelentett kiindulási alap, ii. a 2</w:t>
      </w:r>
      <w:r w:rsidRPr="00981AB9">
        <w:rPr>
          <w:rFonts w:ascii="Times New Roman" w:hAnsi="Times New Roman" w:cs="Times New Roman"/>
          <w:b/>
          <w:noProof/>
          <w:lang w:val="en-GB"/>
        </w:rPr>
        <w:t>014 utáni jogszabályi intézkedések, iii. a kibocsátáscsökkentési követelmények teljesítéséhez szükséges további intézkedések és iv. más kibocsátásokra irányuló intézkedésekből eredő járulékos szabályozások.</w:t>
      </w:r>
    </w:p>
    <w:p w:rsidR="00D3421B" w:rsidRDefault="00981AB9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3088800" cy="356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00" cy="35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1B" w:rsidRDefault="00D342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alábbi 3. ábra jelzi, hogy mely ágazatokban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lehetne végrehajtani az előírt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-csökkentést. Azon intézkedéseket, melyek célja az ásványi műtrágyák – különösen a karbamid – használata révén a kibocsátás csökkentése, számos tagállamban költséghatékonynak találták. A karbamid használatára vonatkozó te</w:t>
      </w:r>
      <w:r>
        <w:rPr>
          <w:rFonts w:ascii="Times New Roman" w:hAnsi="Times New Roman" w:cs="Times New Roman"/>
          <w:noProof/>
          <w:sz w:val="24"/>
          <w:szCs w:val="24"/>
        </w:rPr>
        <w:t>ljes tilalom nem került be a nemzeti kibocsátási határértékekről szóló irányelvbe, mivel léteznek olyan használható lehetőségek, mint például az alkalmazás idejének és arányának optimalizálása, a kereskedelmi forgalomban elérhető ureázinhibitorok használat</w:t>
      </w:r>
      <w:r>
        <w:rPr>
          <w:rFonts w:ascii="Times New Roman" w:hAnsi="Times New Roman" w:cs="Times New Roman"/>
          <w:noProof/>
          <w:sz w:val="24"/>
          <w:szCs w:val="24"/>
        </w:rPr>
        <w:t>a, vagy alacsonyabb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-veszteségű ásványi műtrágyákra (pl. ammónium-nitrátra) való átállás. A csökkentés jelentős részét a sertés- és baromfitelepeken folytatandó trágyagazdálkodás révén kell elérni, továbbá az intenzív baromfi- vagy sertéstenyésztés teré</w:t>
      </w:r>
      <w:r>
        <w:rPr>
          <w:rFonts w:ascii="Times New Roman" w:hAnsi="Times New Roman" w:cs="Times New Roman"/>
          <w:noProof/>
          <w:sz w:val="24"/>
          <w:szCs w:val="24"/>
        </w:rPr>
        <w:t>n elérhető legjobb technikákkal (BAT) kapcsolatos, nemrégiben elfogadott következtetések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0"/>
      </w:r>
      <w:r>
        <w:rPr>
          <w:rFonts w:ascii="Times New Roman" w:hAnsi="Times New Roman" w:cs="Times New Roman"/>
          <w:noProof/>
          <w:sz w:val="24"/>
          <w:szCs w:val="24"/>
        </w:rPr>
        <w:t xml:space="preserve"> (melyek az elemzésben még nem szerepelnek) is hozzájárulhatnak az előírt csökkentésekhez. Az ezen túlmenő trágyagazdálkodási intézkedések is rendkívül költséghatékonyak, egy egyszerűsített, BAT-alapú trágyagazdálkodási rendszer pedig – melyet például az i</w:t>
      </w:r>
      <w:r>
        <w:rPr>
          <w:rFonts w:ascii="Times New Roman" w:hAnsi="Times New Roman" w:cs="Times New Roman"/>
          <w:noProof/>
          <w:sz w:val="24"/>
          <w:szCs w:val="24"/>
        </w:rPr>
        <w:t>pari kibocsátásokról szóló irányelv kapcsán szerzett tapasztalatokra alapozva lehetne megalkotni – jelentősen elősegítené a végrehajtást. A vonatkozó uniós jogszabályok, pl. a nitrátokról szóló 91/676/EGK irányelv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1"/>
      </w:r>
      <w:r>
        <w:rPr>
          <w:rFonts w:ascii="Times New Roman" w:hAnsi="Times New Roman" w:cs="Times New Roman"/>
          <w:noProof/>
          <w:sz w:val="24"/>
          <w:szCs w:val="24"/>
        </w:rPr>
        <w:t xml:space="preserve"> végrehajtásából származó szinergiákat tov</w:t>
      </w:r>
      <w:r>
        <w:rPr>
          <w:rFonts w:ascii="Times New Roman" w:hAnsi="Times New Roman" w:cs="Times New Roman"/>
          <w:noProof/>
          <w:sz w:val="24"/>
          <w:szCs w:val="24"/>
        </w:rPr>
        <w:t>ább lehetne erősíteni azzal, hogy a tagállamokat a levegőre, a vízre és a talajra vonatkozó előírásokat integrált módon megközelítő gazdálkodási intézkedések elfogadására ösztönözzük.</w:t>
      </w:r>
    </w:p>
    <w:p w:rsidR="00D3421B" w:rsidRDefault="00981AB9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highlight w:val="yellow"/>
        </w:rPr>
      </w:pPr>
      <w:r>
        <w:rPr>
          <w:rFonts w:ascii="Times New Roman" w:hAnsi="Times New Roman" w:cs="Times New Roman"/>
          <w:b/>
          <w:noProof/>
        </w:rPr>
        <w:t>3. ábra: Az NH</w:t>
      </w:r>
      <w:r>
        <w:rPr>
          <w:rFonts w:ascii="Times New Roman" w:hAnsi="Times New Roman" w:cs="Times New Roman"/>
          <w:b/>
          <w:noProof/>
          <w:vertAlign w:val="subscript"/>
        </w:rPr>
        <w:t>3</w:t>
      </w:r>
      <w:r>
        <w:rPr>
          <w:rFonts w:ascii="Times New Roman" w:hAnsi="Times New Roman" w:cs="Times New Roman"/>
          <w:b/>
          <w:noProof/>
        </w:rPr>
        <w:t xml:space="preserve"> kibocsátások további, a 2017-es jogszabályokon túlmenő c</w:t>
      </w:r>
      <w:r>
        <w:rPr>
          <w:rFonts w:ascii="Times New Roman" w:hAnsi="Times New Roman" w:cs="Times New Roman"/>
          <w:b/>
          <w:noProof/>
        </w:rPr>
        <w:t>sökkentése a 2030-as kibocsátáscsökkentési követelmények teljesítése érdekében, ágazatonként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025543" cy="3282897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08" cy="328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1B" w:rsidRDefault="00D342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keepNext/>
        <w:numPr>
          <w:ilvl w:val="2"/>
          <w:numId w:val="1"/>
        </w:numPr>
        <w:tabs>
          <w:tab w:val="left" w:pos="850"/>
        </w:tabs>
        <w:spacing w:before="360" w:after="120" w:line="240" w:lineRule="auto"/>
        <w:ind w:hanging="1224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Ágazati és makrogazdasági hatások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légszennyezésre vonatkozó rendelet gazdasági hatásai túlmutatnak 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és 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3.2.2</w:t>
      </w:r>
      <w:r>
        <w:rPr>
          <w:rFonts w:ascii="Times New Roman" w:hAnsi="Times New Roman" w:cs="Times New Roman"/>
          <w:noProof/>
          <w:sz w:val="24"/>
          <w:szCs w:val="24"/>
        </w:rPr>
        <w:t>. szakaszban ismertetett közvetlen előnyök</w:t>
      </w:r>
      <w:r>
        <w:rPr>
          <w:rFonts w:ascii="Times New Roman" w:hAnsi="Times New Roman" w:cs="Times New Roman"/>
          <w:noProof/>
          <w:sz w:val="24"/>
          <w:szCs w:val="24"/>
        </w:rPr>
        <w:t>ön és költségeken. Először is, a szennyezést csökkentő technológiák bevezetése növeli a keresletet a csökkentést elősegítő termékek iránt. Másodszor, a növekvő kibocsátáscsökkentési költségek növelhetik a nemzetközi piacra termelő ágazatok versenyképességé</w:t>
      </w:r>
      <w:r>
        <w:rPr>
          <w:rFonts w:ascii="Times New Roman" w:hAnsi="Times New Roman" w:cs="Times New Roman"/>
          <w:noProof/>
          <w:sz w:val="24"/>
          <w:szCs w:val="24"/>
        </w:rPr>
        <w:t>t. Harmadszor, az egy bizonyos ágazat teljesítményére gyakorolt hatások az egész gazdaságot érinthetik a közbenső termékek és a munkaerő iránti kereslet révén. Ez utóbbi tényező hatással lehet a foglalkoztatásra és a bérekre, és ezen keresztül a háztartáso</w:t>
      </w:r>
      <w:r>
        <w:rPr>
          <w:rFonts w:ascii="Times New Roman" w:hAnsi="Times New Roman" w:cs="Times New Roman"/>
          <w:noProof/>
          <w:sz w:val="24"/>
          <w:szCs w:val="24"/>
        </w:rPr>
        <w:t>k rendelkezésre álló jövedelmére és jólétére.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Ezen közvetett hatások figyelembevétele érdekében kiszámítottuk a 2030-as kötelezettségvállalások teljesítésének makrogazdasági és ágazatspecifikus hatásait (a JRC-GEM-E3 modell alkalmazásával). Ezeket az alább</w:t>
      </w:r>
      <w:r>
        <w:rPr>
          <w:rFonts w:ascii="Times New Roman" w:hAnsi="Times New Roman" w:cs="Times New Roman"/>
          <w:noProof/>
          <w:sz w:val="24"/>
          <w:szCs w:val="24"/>
        </w:rPr>
        <w:t>i 2. táblázat ismerteti, és nagyjából megfelelnek a nemzeti kibocsátási határértékekről szóló irányelvre irányuló bizottsági javaslatot kísérő 2013. évi hatásvizsgálat megállapításainak: a 2030-as csökkentési kötelezettségvállalások költségeit bőven ellens</w:t>
      </w:r>
      <w:r>
        <w:rPr>
          <w:rFonts w:ascii="Times New Roman" w:hAnsi="Times New Roman" w:cs="Times New Roman"/>
          <w:noProof/>
          <w:sz w:val="24"/>
          <w:szCs w:val="24"/>
        </w:rPr>
        <w:t>úlyozzák az egészségügyi és mezőgazdasági előnyök (kevesebb betegszabadság és nagyobb terméshozam), ami kismértékben a GDP-re is pozitív hatással lesz. A költségterhekből jelentősen részesülő ágazatok (pl. a mezőgazdaság) teljesítménye enyhén csökkenni fog</w:t>
      </w:r>
      <w:r>
        <w:rPr>
          <w:rFonts w:ascii="Times New Roman" w:hAnsi="Times New Roman" w:cs="Times New Roman"/>
          <w:noProof/>
          <w:sz w:val="24"/>
          <w:szCs w:val="24"/>
        </w:rPr>
        <w:t>, azokban az ágazatokban azonban, amelyeket érint a kibocsátáscsökkentést szolgáló termékek iránti kereslet növekedése (elektromos berendezések, közlekedés és egyéb berendezések), növekszik a termelés.</w:t>
      </w:r>
    </w:p>
    <w:p w:rsidR="00D3421B" w:rsidRDefault="00D342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</w:rPr>
      </w:pPr>
      <w:bookmarkStart w:id="7" w:name="_Ref496860719"/>
      <w:r>
        <w:rPr>
          <w:rFonts w:ascii="Times New Roman" w:hAnsi="Times New Roman" w:cs="Times New Roman"/>
          <w:noProof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</w:rPr>
        <w:t>2. táblázat</w:t>
      </w:r>
      <w:bookmarkEnd w:id="7"/>
      <w:r>
        <w:rPr>
          <w:rFonts w:ascii="Times New Roman" w:hAnsi="Times New Roman" w:cs="Times New Roman"/>
          <w:b/>
          <w:noProof/>
        </w:rPr>
        <w:t xml:space="preserve">: A 2030-as kibocsátáscsökkentési </w:t>
      </w:r>
      <w:r>
        <w:rPr>
          <w:rFonts w:ascii="Times New Roman" w:hAnsi="Times New Roman" w:cs="Times New Roman"/>
          <w:b/>
          <w:noProof/>
        </w:rPr>
        <w:t>kötelezettségvállalások teljesítésének a GDP-re és az ágazati teljesítményre gyakorolt hatása Forrás: JRC-GEM-E3.</w:t>
      </w:r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3496"/>
        <w:gridCol w:w="833"/>
        <w:gridCol w:w="928"/>
        <w:gridCol w:w="1066"/>
        <w:gridCol w:w="928"/>
        <w:gridCol w:w="1066"/>
        <w:gridCol w:w="928"/>
      </w:tblGrid>
      <w:tr w:rsidR="00D3421B">
        <w:trPr>
          <w:trHeight w:val="268"/>
        </w:trPr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A viszonyítási érték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magában foglalja-e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D3421B">
        <w:trPr>
          <w:trHeight w:val="26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a 2014 óta elfogadott, szennyezési forrásokra vonatkozó jogszabályokat?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Nem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Nem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Igen</w:t>
            </w:r>
          </w:p>
        </w:tc>
      </w:tr>
      <w:tr w:rsidR="00D3421B">
        <w:trPr>
          <w:trHeight w:val="26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az energiaügyi és éghajlatváltozási csomagot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?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Nem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Nem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Nem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Nem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Igen</w:t>
            </w:r>
          </w:p>
        </w:tc>
      </w:tr>
      <w:tr w:rsidR="00D3421B">
        <w:trPr>
          <w:trHeight w:val="395"/>
        </w:trPr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Az egészségügyi és terméshozammal kapcsolatos előnyöket figyelembe veszi?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Igen</w:t>
            </w:r>
          </w:p>
        </w:tc>
      </w:tr>
      <w:tr w:rsidR="00D3421B">
        <w:trPr>
          <w:trHeight w:val="12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D3421B">
        <w:trPr>
          <w:trHeight w:val="26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GDP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–0,010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–0,005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–0,002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0,006</w:t>
            </w:r>
          </w:p>
        </w:tc>
      </w:tr>
      <w:tr w:rsidR="00D3421B">
        <w:trPr>
          <w:trHeight w:val="19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D342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D3421B">
        <w:trPr>
          <w:trHeight w:val="26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Mezőgazdaság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–0,09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–0,04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–0,05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–0,07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–0,07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–0,05</w:t>
            </w:r>
          </w:p>
        </w:tc>
      </w:tr>
      <w:tr w:rsidR="00D3421B">
        <w:trPr>
          <w:trHeight w:val="26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Energia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0,02</w:t>
            </w:r>
          </w:p>
        </w:tc>
      </w:tr>
      <w:tr w:rsidR="00D3421B">
        <w:trPr>
          <w:trHeight w:val="26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Energiaigényes iparágak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0,02</w:t>
            </w:r>
          </w:p>
        </w:tc>
      </w:tr>
      <w:tr w:rsidR="00D3421B">
        <w:trPr>
          <w:trHeight w:val="26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Egyéb iparágak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0,02</w:t>
            </w:r>
          </w:p>
        </w:tc>
      </w:tr>
      <w:tr w:rsidR="00D3421B">
        <w:trPr>
          <w:trHeight w:val="268"/>
        </w:trPr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Szolgáltatások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21B" w:rsidRDefault="0098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0,01</w:t>
            </w:r>
          </w:p>
        </w:tc>
      </w:tr>
    </w:tbl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noProof/>
          <w:sz w:val="16"/>
          <w:szCs w:val="16"/>
        </w:rPr>
        <w:t xml:space="preserve">Az eredmények az </w:t>
      </w:r>
      <w:r>
        <w:rPr>
          <w:rFonts w:ascii="Times New Roman" w:hAnsi="Times New Roman" w:cs="Times New Roman"/>
          <w:noProof/>
          <w:sz w:val="16"/>
          <w:szCs w:val="16"/>
        </w:rPr>
        <w:t>adott viszonyítási értékhez képest 2030-ban fennálló százalékos különbséget jelzik.</w:t>
      </w:r>
    </w:p>
    <w:p w:rsidR="00D3421B" w:rsidRDefault="00981AB9">
      <w:pPr>
        <w:keepNext/>
        <w:numPr>
          <w:ilvl w:val="2"/>
          <w:numId w:val="1"/>
        </w:numPr>
        <w:tabs>
          <w:tab w:val="left" w:pos="850"/>
        </w:tabs>
        <w:spacing w:before="360" w:after="120" w:line="240" w:lineRule="auto"/>
        <w:ind w:hanging="1224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bookmarkStart w:id="8" w:name="_Ref497915952"/>
      <w:r>
        <w:rPr>
          <w:rFonts w:ascii="Times New Roman" w:hAnsi="Times New Roman" w:cs="Times New Roman"/>
          <w:i/>
          <w:noProof/>
          <w:sz w:val="24"/>
          <w:szCs w:val="24"/>
        </w:rPr>
        <w:t xml:space="preserve">A levegőminőséghez hozzájáruló uniós finanszírozási források </w:t>
      </w:r>
      <w:bookmarkEnd w:id="8"/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 EU jelentős összegeket biztosít levegőminőségi célokra, többek között a közlekedésben, az energetikában, a </w:t>
      </w:r>
      <w:r>
        <w:rPr>
          <w:rFonts w:ascii="Times New Roman" w:hAnsi="Times New Roman" w:cs="Times New Roman"/>
          <w:noProof/>
          <w:sz w:val="24"/>
          <w:szCs w:val="24"/>
        </w:rPr>
        <w:t>mezőgazdaságban és és az iparban, ahol a környezetvédelmi előírásoknak fontos szerep kell, hogy jusson. Az európai strukturális és beruházási alapok keretében különösen a 4. tematikus célkitűzéshez (karbonszegény gazdaság – 45 milliárd EUR), a 6. tematikus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célkitűzéshez (környezetvédelem és erőforrás-hatékonyság – 63 milliárd EUR) és a 7. tematikus célkitűzéshez (közlekedési és energetikai hálózati infrastruktúra – 58 milliárd EUR) kapcsolódóan lehet igénybe venni finanszírozást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3"/>
      </w:r>
      <w:r>
        <w:rPr>
          <w:rFonts w:ascii="Times New Roman" w:hAnsi="Times New Roman" w:cs="Times New Roman"/>
          <w:noProof/>
          <w:sz w:val="24"/>
          <w:szCs w:val="24"/>
        </w:rPr>
        <w:t>. Egy közelmúltban készült t</w:t>
      </w:r>
      <w:r>
        <w:rPr>
          <w:rFonts w:ascii="Times New Roman" w:hAnsi="Times New Roman" w:cs="Times New Roman"/>
          <w:noProof/>
          <w:sz w:val="24"/>
          <w:szCs w:val="24"/>
        </w:rPr>
        <w:t>anulmány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4"/>
      </w:r>
      <w:r>
        <w:rPr>
          <w:rFonts w:ascii="Times New Roman" w:hAnsi="Times New Roman" w:cs="Times New Roman"/>
          <w:noProof/>
          <w:sz w:val="24"/>
          <w:szCs w:val="24"/>
        </w:rPr>
        <w:t xml:space="preserve"> ideiglenes becslése szerint az Európai Regionális Fejlesztési Alap (ERFA), a Kohéziós Alap és az Európai Mezőgazdasági Vidékfejlesztési Alap (EMVA) keretében körülbelül 76 milliárd EUR-t biztosítottak olyan intézkedésekre, amelyek részben vagy te</w:t>
      </w:r>
      <w:r>
        <w:rPr>
          <w:rFonts w:ascii="Times New Roman" w:hAnsi="Times New Roman" w:cs="Times New Roman"/>
          <w:noProof/>
          <w:sz w:val="24"/>
          <w:szCs w:val="24"/>
        </w:rPr>
        <w:t>ljesen a levegőminőség javítását szolgálták. Kisebb léptékben az ERFA is biztosít finanszírozást innovációs lehetőségekre a regionális vagy nemzeti intelligens szakosodási stratégiákkal összhangban, melyek közül néhány felhasználható a levegőminőség javítá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sát szolgáló célokra. 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 Európai Hálózatfinanszírozási Eszköz keretében 32 milliárd EUR áll rendelkezésre a 2014–2020-as uniós költségvetésből az uniós tagállamokban működő közlekedési és energetikai projektek társfinanszírozására, melyből kb. 9 milliárd </w:t>
      </w:r>
      <w:r>
        <w:rPr>
          <w:rFonts w:ascii="Times New Roman" w:hAnsi="Times New Roman" w:cs="Times New Roman"/>
          <w:noProof/>
          <w:sz w:val="24"/>
          <w:szCs w:val="24"/>
        </w:rPr>
        <w:t>EUR-t kötöttek le – főként a közlekedési pillérből – olyan projektekre, amelyek valamilyen módon javíthatják a levegőminőséget. A kutatás és innováció területén a Horizont 2020 program keretében 12 milliárd EUR összegig kaphat támogatást a kibocsátáscsökke</w:t>
      </w:r>
      <w:r>
        <w:rPr>
          <w:rFonts w:ascii="Times New Roman" w:hAnsi="Times New Roman" w:cs="Times New Roman"/>
          <w:noProof/>
          <w:sz w:val="24"/>
          <w:szCs w:val="24"/>
        </w:rPr>
        <w:t>ntés és a levegőminőség javítása. A LIFE program kísérleti és demonstrációs projekteket támogat, valamint a levegőminőségi tervek végrehajtását szolgáló integrált projekteket. Becslések szerint a 2014 és 2020 közötti időszakban körülbelül 300 millió EUR ál</w:t>
      </w:r>
      <w:r>
        <w:rPr>
          <w:rFonts w:ascii="Times New Roman" w:hAnsi="Times New Roman" w:cs="Times New Roman"/>
          <w:noProof/>
          <w:sz w:val="24"/>
          <w:szCs w:val="24"/>
        </w:rPr>
        <w:t>l majd rendelkezésre a levegőminőséget közvetlenül vagy közvetve érintő projektekre. Az Európai Stratégiai Beruházási Alap keretében kölcsönökre és pénzügyi eszközökre biztosított 315 milliárd euróból a becslések szerint a felhasznált összeg 30 %-át (kb. 9</w:t>
      </w:r>
      <w:r>
        <w:rPr>
          <w:rFonts w:ascii="Times New Roman" w:hAnsi="Times New Roman" w:cs="Times New Roman"/>
          <w:noProof/>
          <w:sz w:val="24"/>
          <w:szCs w:val="24"/>
        </w:rPr>
        <w:t>5 milliárd EUR) fogják a levegőminőséget érintő – pl. energetikai és közlekedési – projektekre fordítani, és az Európai Beruházási Bank is biztosít finanszírozási lehetőséget.</w:t>
      </w:r>
    </w:p>
    <w:p w:rsidR="00D3421B" w:rsidRDefault="00981AB9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nemzeti kibocsátási határértékekről szóló irányelv pénzügyi rendelkezéseinek (</w:t>
      </w:r>
      <w:r>
        <w:rPr>
          <w:rFonts w:ascii="Times New Roman" w:hAnsi="Times New Roman" w:cs="Times New Roman"/>
          <w:noProof/>
          <w:sz w:val="24"/>
          <w:szCs w:val="24"/>
        </w:rPr>
        <w:t>a 7. cikk és a 11. cikk (1) bekezdésének c) pontja) az a célja, hogy ösztönözzék a levegőminőség kérdésének hangsúlyosabbá válását, és a levegőminőségre fordítható források hatékonyabb felhasználását. A tagállamokat arra ösztönözzük, hogy maximálisan haszn</w:t>
      </w:r>
      <w:r>
        <w:rPr>
          <w:rFonts w:ascii="Times New Roman" w:hAnsi="Times New Roman" w:cs="Times New Roman"/>
          <w:noProof/>
          <w:sz w:val="24"/>
          <w:szCs w:val="24"/>
        </w:rPr>
        <w:t>álják fel a rendelkezésre álló forrásokat.</w:t>
      </w:r>
    </w:p>
    <w:p w:rsidR="00D3421B" w:rsidRDefault="00981AB9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>Az Európai Bizottság által előterjesztett, a 2021–2027-es időszakra szóló többéves pénzügyi keret</w:t>
      </w:r>
      <w:r>
        <w:rPr>
          <w:rFonts w:ascii="Calibri" w:eastAsia="Calibri" w:hAnsi="Calibri" w:cs="Times New Roman"/>
          <w:noProof/>
          <w:sz w:val="24"/>
          <w:szCs w:val="20"/>
          <w:vertAlign w:val="superscript"/>
          <w:lang w:val="en-GB"/>
        </w:rPr>
        <w:footnoteReference w:id="35"/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továbbra is forrásokat irányoz elő a levegőminőség javítását célzó intézkedések támogatására, többek között az uni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ós kiadások 25 %-ának éghajlat-politikai célú és a LIFE program megerősítését szolgáló, tervezett elkülönítésével.</w:t>
      </w:r>
    </w:p>
    <w:p w:rsidR="00D3421B" w:rsidRDefault="00981AB9">
      <w:pPr>
        <w:keepNext/>
        <w:numPr>
          <w:ilvl w:val="2"/>
          <w:numId w:val="1"/>
        </w:numPr>
        <w:tabs>
          <w:tab w:val="left" w:pos="850"/>
        </w:tabs>
        <w:spacing w:before="360" w:after="120" w:line="240" w:lineRule="auto"/>
        <w:ind w:hanging="1224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Összegzés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aktualizált elemzés szerint a nemzeti kibocsátási határértékekről szóló irányelv végrehajtásának további költségei a vártnál lé</w:t>
      </w:r>
      <w:r>
        <w:rPr>
          <w:rFonts w:ascii="Times New Roman" w:hAnsi="Times New Roman" w:cs="Times New Roman"/>
          <w:noProof/>
          <w:sz w:val="24"/>
          <w:szCs w:val="24"/>
        </w:rPr>
        <w:t>nyegesen alacsonyabbak, részben a társjogalkotók által tett változtatások miatt, de egyes időközben elfogadott, levegőminőségi célokat szolgáló uniós jogszabályok miatt is, valamint a hamarosan elfogadásra kerülő, a 2030-ig terjedő időszakra szóló uniós ég</w:t>
      </w:r>
      <w:r>
        <w:rPr>
          <w:rFonts w:ascii="Times New Roman" w:hAnsi="Times New Roman" w:cs="Times New Roman"/>
          <w:noProof/>
          <w:sz w:val="24"/>
          <w:szCs w:val="24"/>
        </w:rPr>
        <w:t>hajlatváltozási és energiaügyi csomag várható pozitív hatásai miatt.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Fontos azonban, hogy ne bízzuk el magunkat. Az elemzés abból indul ki, hogy az érintett jogszabályokat teljes mértékben bevezetik és végrehajtják, ami a tagállamok felelőssége. Továbbá az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elemzés olyan feltételezéseken alapul – különösen a tevékenység- és szennyezésellenőrzési potenciál tekintetében –, amelyek minden törekvésünk ellenére eltérhetnek a tagállamok feltételezéseitől.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elemzésben tehát átfogó, uniós szintű perspektíva érvény</w:t>
      </w:r>
      <w:r>
        <w:rPr>
          <w:rFonts w:ascii="Times New Roman" w:hAnsi="Times New Roman" w:cs="Times New Roman"/>
          <w:noProof/>
          <w:sz w:val="24"/>
          <w:szCs w:val="24"/>
        </w:rPr>
        <w:t>esül, ezért azt a nemzeti szintű szakpolitikáknak a nemzeti levegőszennyezés-csökkentési programok keretében történő kidolgozásakor kellő óvatossággal kell kezelni.</w:t>
      </w:r>
    </w:p>
    <w:p w:rsidR="00D3421B" w:rsidRPr="00981AB9" w:rsidRDefault="00981AB9">
      <w:pPr>
        <w:keepNext/>
        <w:numPr>
          <w:ilvl w:val="0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GB"/>
        </w:rPr>
      </w:pPr>
      <w:r w:rsidRPr="00981AB9">
        <w:rPr>
          <w:rFonts w:ascii="Times New Roman" w:hAnsi="Times New Roman" w:cs="Times New Roman"/>
          <w:b/>
          <w:smallCaps/>
          <w:noProof/>
          <w:sz w:val="24"/>
          <w:szCs w:val="24"/>
          <w:lang w:val="en-GB"/>
        </w:rPr>
        <w:t>A hosszú távú célkitűzések teljesítésének kilátásai</w:t>
      </w:r>
    </w:p>
    <w:p w:rsidR="00D3421B" w:rsidRDefault="00981AB9">
      <w:pPr>
        <w:keepNext/>
        <w:numPr>
          <w:ilvl w:val="1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PT"/>
        </w:rPr>
        <w:t>A PM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pt-PT"/>
        </w:rPr>
        <w:t>2,5</w:t>
      </w:r>
      <w:r>
        <w:rPr>
          <w:rFonts w:ascii="Times New Roman" w:hAnsi="Times New Roman" w:cs="Times New Roman"/>
          <w:b/>
          <w:noProof/>
          <w:sz w:val="24"/>
          <w:szCs w:val="24"/>
          <w:lang w:val="pt-PT"/>
        </w:rPr>
        <w:t xml:space="preserve">-értékekre vonatkozó </w:t>
      </w:r>
      <w:r>
        <w:rPr>
          <w:rFonts w:ascii="Times New Roman" w:hAnsi="Times New Roman" w:cs="Times New Roman"/>
          <w:b/>
          <w:noProof/>
          <w:sz w:val="24"/>
          <w:szCs w:val="24"/>
          <w:lang w:val="pt-PT"/>
        </w:rPr>
        <w:t>WHO-iránymutatás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/>
        </w:rPr>
        <w:t>Az EEA becslése szerint 2015-ben az EU népességének 82 %-a volt kitett a WHO-iránymutatás szerinti 10µg/m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pt-PT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szintnél magasabb PM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pt-PT"/>
        </w:rPr>
        <w:t>2,5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>-koncentrációnak. A 2014 utáni időszakra vonatkozó szakpolitika végrehajtása jelentős javulást fog hozni ezen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a téren. A 4. ábra a nemzeti kibocsátási határértékekről szóló irányelv szerinti 2005-ös kiindulási év és a nemzeti kibocsátási határértékekről szóló irányelv szerinti 2030-as megcélzott év közötti időszakban várt fejlődést mutatja, a nemzeti kibocsátási 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>határértékekről szóló irányelv teljes körű végrehajtását feltételezve. 2005-ben a lakosság 88 %-a volt a WHO-iránymutatás szerinti értéket meghaladó koncentrációnak kitéve, ez az arány 2030-ra 13 %-ra fog csökkenni, és a túllépés Európa néhány területre fo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>g korlátozódni, ezek többségében pedig az 5µg/m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pt-PT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határértéken belül lesz. Így 2030-ra a városi koncentráció a legtöbb helyen a WHO-iránymutatás szerinti értékkel megegyező szinten vagy az alatt lesz, és jóllehet egyes területeken még mindig lesznek problém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>ák, ezeket lehet majd kezelni olyan helyi intézkedésekkel, amelyek nem szerepelnek az ezen jelentés alapjául szolgáló elemzésben.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pt-PT"/>
        </w:rPr>
      </w:pPr>
      <w:r>
        <w:rPr>
          <w:rFonts w:ascii="Times New Roman" w:hAnsi="Times New Roman" w:cs="Times New Roman"/>
          <w:b/>
          <w:noProof/>
          <w:lang w:val="pt-PT"/>
        </w:rPr>
        <w:t>4. ábra: A lakosság különböző PM</w:t>
      </w:r>
      <w:r>
        <w:rPr>
          <w:rFonts w:ascii="Times New Roman" w:hAnsi="Times New Roman" w:cs="Times New Roman"/>
          <w:b/>
          <w:noProof/>
          <w:vertAlign w:val="subscript"/>
          <w:lang w:val="pt-PT"/>
        </w:rPr>
        <w:t>2,5</w:t>
      </w:r>
      <w:r>
        <w:rPr>
          <w:rFonts w:ascii="Times New Roman" w:hAnsi="Times New Roman" w:cs="Times New Roman"/>
          <w:b/>
          <w:noProof/>
          <w:lang w:val="pt-PT"/>
        </w:rPr>
        <w:t>-koncentrációknak való kitettségének megoszlása 2005-ben és 2030-ban, a nemzeti kibocsátási</w:t>
      </w:r>
      <w:r>
        <w:rPr>
          <w:rFonts w:ascii="Times New Roman" w:hAnsi="Times New Roman" w:cs="Times New Roman"/>
          <w:b/>
          <w:noProof/>
          <w:lang w:val="pt-PT"/>
        </w:rPr>
        <w:t xml:space="preserve"> határértékekről szóló irányelv szerinti kibocsátáscsökkentési követelmények és az összes, szennyezési forrásokra vonatkozó jogszabály teljes körű végrehajtását feltételezve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4449600" cy="2905200"/>
            <wp:effectExtent l="19050" t="19050" r="2730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00" cy="29052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421B" w:rsidRDefault="00981AB9">
      <w:pPr>
        <w:keepNext/>
        <w:numPr>
          <w:ilvl w:val="1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 kritikus terhelés túllépése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légszennyezettség legjelentősebb környezeti </w:t>
      </w:r>
      <w:r>
        <w:rPr>
          <w:rFonts w:ascii="Times New Roman" w:hAnsi="Times New Roman" w:cs="Times New Roman"/>
          <w:noProof/>
          <w:sz w:val="24"/>
          <w:szCs w:val="24"/>
        </w:rPr>
        <w:t>hatása a szárazföldi és a vízi ökoszisztémák eutrofizációjában jelentkezik. Ezt annak függvényében határozzák meg, hogy a lerakódás túllépi-e a „kritikus terhelés” szintjét, vagyis a szennyezéslerakódás azon maximális szintjét, melyet az ökoszisztéma káros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ökológiai hatások nélkül el tud viselni. Az alábbi 5. ábra az eutrofizációval érintett ökoszisztéma-területek 2005 és 2030 közötti 27 %-os csökkenését mutatja, ami a nemzeti kibocsátási határértékekről szóló irányelv végrehajtásának köszönhető (lásd az 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táblázatot).</w:t>
      </w:r>
    </w:p>
    <w:p w:rsidR="00D3421B" w:rsidRDefault="00981AB9">
      <w:pPr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5. ábra: Azon ökoszisztémák területének aránya, ahol a nitrogénlerakódás meghaladja az eutrofizáció szempontjából kritikus terhelést (a bal oldali térkép a 2005-ös helyzetet, a jobb oldali pedig a nemzeti kibocsátási határértékekről szóló irá</w:t>
      </w:r>
      <w:r>
        <w:rPr>
          <w:rFonts w:ascii="Times New Roman" w:hAnsi="Times New Roman" w:cs="Times New Roman"/>
          <w:b/>
          <w:noProof/>
        </w:rPr>
        <w:t>nyelv teljes körű végrehajtása esetén 2030-ra várható helyzetet mutatja, 2012-es adatkészlet alapján)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462228" cy="2047875"/>
            <wp:effectExtent l="0" t="0" r="0" b="0"/>
            <wp:docPr id="1" name="Picture 1" descr="C:\Users\brocksc\AppData\Local\Microsoft\Windows\Temporary Internet Files\Content.Outlook\0KOXYKUL\v2_2005_EUTR_N2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cksc\AppData\Local\Microsoft\Windows\Temporary Internet Files\Content.Outlook\0KOXYKUL\v2_2005_EUTR_N2K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2" r="51358" b="30593"/>
                    <a:stretch/>
                  </pic:blipFill>
                  <pic:spPr bwMode="auto">
                    <a:xfrm>
                      <a:off x="0" y="0"/>
                      <a:ext cx="2462228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524125" cy="2061913"/>
            <wp:effectExtent l="0" t="0" r="0" b="0"/>
            <wp:docPr id="2" name="Picture 2" descr="C:\Users\brocksc\AppData\Local\Microsoft\Windows\Temporary Internet Files\Content.Outlook\0KOXYKUL\v2_OPT_2030_EUTR_N2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cksc\AppData\Local\Microsoft\Windows\Temporary Internet Files\Content.Outlook\0KOXYKUL\v2_OPT_2030_EUTR_N2K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r="50769" b="29697"/>
                    <a:stretch/>
                  </pic:blipFill>
                  <pic:spPr bwMode="auto">
                    <a:xfrm>
                      <a:off x="0" y="0"/>
                      <a:ext cx="2524125" cy="206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1250"/>
      </w:tblGrid>
      <w:tr w:rsidR="00D3421B">
        <w:trPr>
          <w:trHeight w:val="267"/>
        </w:trPr>
        <w:tc>
          <w:tcPr>
            <w:tcW w:w="346" w:type="dxa"/>
            <w:shd w:val="clear" w:color="auto" w:fill="DBF1F9"/>
          </w:tcPr>
          <w:p w:rsidR="00D3421B" w:rsidRDefault="00D3421B">
            <w:pPr>
              <w:rPr>
                <w:rFonts w:cs="Times New Roman"/>
                <w:noProof/>
                <w:color w:val="DBE5F1"/>
                <w:sz w:val="16"/>
                <w:szCs w:val="16"/>
              </w:rPr>
            </w:pPr>
          </w:p>
        </w:tc>
        <w:tc>
          <w:tcPr>
            <w:tcW w:w="1250" w:type="dxa"/>
          </w:tcPr>
          <w:p w:rsidR="00D3421B" w:rsidRDefault="00981AB9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0 .. 5 százalék</w:t>
            </w:r>
          </w:p>
        </w:tc>
      </w:tr>
      <w:tr w:rsidR="00D3421B">
        <w:trPr>
          <w:trHeight w:val="252"/>
        </w:trPr>
        <w:tc>
          <w:tcPr>
            <w:tcW w:w="346" w:type="dxa"/>
            <w:shd w:val="clear" w:color="auto" w:fill="B8CCE4"/>
          </w:tcPr>
          <w:p w:rsidR="00D3421B" w:rsidRDefault="00D3421B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50" w:type="dxa"/>
          </w:tcPr>
          <w:p w:rsidR="00D3421B" w:rsidRDefault="00981AB9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5 .. 10</w:t>
            </w:r>
          </w:p>
        </w:tc>
      </w:tr>
      <w:tr w:rsidR="00D3421B">
        <w:trPr>
          <w:trHeight w:val="267"/>
        </w:trPr>
        <w:tc>
          <w:tcPr>
            <w:tcW w:w="346" w:type="dxa"/>
            <w:shd w:val="clear" w:color="auto" w:fill="95B1D7"/>
          </w:tcPr>
          <w:p w:rsidR="00D3421B" w:rsidRDefault="00D3421B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50" w:type="dxa"/>
          </w:tcPr>
          <w:p w:rsidR="00D3421B" w:rsidRDefault="00981AB9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10 .. 30</w:t>
            </w:r>
          </w:p>
        </w:tc>
      </w:tr>
      <w:tr w:rsidR="00D3421B">
        <w:trPr>
          <w:trHeight w:val="252"/>
        </w:trPr>
        <w:tc>
          <w:tcPr>
            <w:tcW w:w="346" w:type="dxa"/>
            <w:shd w:val="clear" w:color="auto" w:fill="366090"/>
          </w:tcPr>
          <w:p w:rsidR="00D3421B" w:rsidRDefault="00D3421B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50" w:type="dxa"/>
          </w:tcPr>
          <w:p w:rsidR="00D3421B" w:rsidRDefault="00981AB9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30 .. 70</w:t>
            </w:r>
          </w:p>
        </w:tc>
      </w:tr>
      <w:tr w:rsidR="00D3421B">
        <w:trPr>
          <w:trHeight w:val="267"/>
        </w:trPr>
        <w:tc>
          <w:tcPr>
            <w:tcW w:w="346" w:type="dxa"/>
            <w:shd w:val="clear" w:color="auto" w:fill="254673"/>
          </w:tcPr>
          <w:p w:rsidR="00D3421B" w:rsidRDefault="00D3421B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50" w:type="dxa"/>
          </w:tcPr>
          <w:p w:rsidR="00D3421B" w:rsidRDefault="00981AB9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70 .. 90</w:t>
            </w:r>
          </w:p>
        </w:tc>
      </w:tr>
      <w:tr w:rsidR="00D3421B">
        <w:trPr>
          <w:trHeight w:val="252"/>
        </w:trPr>
        <w:tc>
          <w:tcPr>
            <w:tcW w:w="346" w:type="dxa"/>
            <w:shd w:val="clear" w:color="auto" w:fill="17365D"/>
          </w:tcPr>
          <w:p w:rsidR="00D3421B" w:rsidRDefault="00D3421B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50" w:type="dxa"/>
          </w:tcPr>
          <w:p w:rsidR="00D3421B" w:rsidRDefault="00981AB9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90 .. 95</w:t>
            </w:r>
          </w:p>
        </w:tc>
      </w:tr>
      <w:tr w:rsidR="00D3421B">
        <w:trPr>
          <w:trHeight w:val="267"/>
        </w:trPr>
        <w:tc>
          <w:tcPr>
            <w:tcW w:w="346" w:type="dxa"/>
            <w:shd w:val="clear" w:color="auto" w:fill="0F243E"/>
          </w:tcPr>
          <w:p w:rsidR="00D3421B" w:rsidRDefault="00D3421B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50" w:type="dxa"/>
          </w:tcPr>
          <w:p w:rsidR="00D3421B" w:rsidRDefault="00981AB9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95 ..</w:t>
            </w:r>
          </w:p>
        </w:tc>
      </w:tr>
      <w:tr w:rsidR="00D3421B">
        <w:trPr>
          <w:trHeight w:val="267"/>
        </w:trPr>
        <w:tc>
          <w:tcPr>
            <w:tcW w:w="346" w:type="dxa"/>
            <w:shd w:val="clear" w:color="auto" w:fill="B4B4B4"/>
          </w:tcPr>
          <w:p w:rsidR="00D3421B" w:rsidRDefault="00D3421B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50" w:type="dxa"/>
          </w:tcPr>
          <w:p w:rsidR="00D3421B" w:rsidRDefault="00981AB9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t>N. a.</w:t>
            </w:r>
          </w:p>
        </w:tc>
      </w:tr>
    </w:tbl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túlzott nitrogénlerakódást a 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és az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lerakódása okozza. Az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.van túlsúlyban, és ez a túlsúly 2030-ra tovább növekszik, mivel a nemzeti kibocsátási határértékekről szóló irányelv viszonylag kismértékű csökkentést írt elő az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vonatkozásában (19 %) a NO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>-hoz képest (66 %).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NH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tekintetéb</w:t>
      </w:r>
      <w:r>
        <w:rPr>
          <w:rFonts w:ascii="Times New Roman" w:hAnsi="Times New Roman" w:cs="Times New Roman"/>
          <w:noProof/>
          <w:sz w:val="24"/>
          <w:szCs w:val="24"/>
        </w:rPr>
        <w:t>en azonban van további csökkentési lehetőség. A jelenleg rendelkezésre álló technikai intézkedések teljes körű végrehajtása több mint 75 %-kal csökkentené a túlzott lerakódást. Bár ettől nem szűnne meg mindenhol a kritikus terhelés, előfordulhat olyan tová</w:t>
      </w:r>
      <w:r>
        <w:rPr>
          <w:rFonts w:ascii="Times New Roman" w:hAnsi="Times New Roman" w:cs="Times New Roman"/>
          <w:noProof/>
          <w:sz w:val="24"/>
          <w:szCs w:val="24"/>
        </w:rPr>
        <w:t>bbi javulás, amellyel az e jelentés alapjául szolgáló modellezésben nem számoltunk, elsősorban az érzékeny ökoszisztémákhoz közel lévő nagy méretű pontforrásokból származó kibocsátások szabályozásából adódóan, valamint a termelésben az egészséges étrend ir</w:t>
      </w:r>
      <w:r>
        <w:rPr>
          <w:rFonts w:ascii="Times New Roman" w:hAnsi="Times New Roman" w:cs="Times New Roman"/>
          <w:noProof/>
          <w:sz w:val="24"/>
          <w:szCs w:val="24"/>
        </w:rPr>
        <w:t>ánti megnövekedett igény miatt bekövetkező szerkezeti eltolódásoknak köszönhetően.</w:t>
      </w:r>
    </w:p>
    <w:p w:rsidR="00D3421B" w:rsidRDefault="00981AB9">
      <w:pPr>
        <w:keepNext/>
        <w:numPr>
          <w:ilvl w:val="0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Rövid távú éghajlatbefolyásolók</w:t>
      </w:r>
    </w:p>
    <w:p w:rsidR="00D3421B" w:rsidRPr="00981AB9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A fekete korom, a metán és az ózon mind a levegőminőséget, mind az éghajlatot veszélyeztetik.</w:t>
      </w:r>
    </w:p>
    <w:p w:rsidR="00D3421B" w:rsidRPr="00981AB9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A nemzeti kibocsátási határértékekről szóló irá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nyelv arra kötelezi a tagállamokat, hogy a PM</w:t>
      </w:r>
      <w:r w:rsidRPr="00981AB9">
        <w:rPr>
          <w:rFonts w:ascii="Times New Roman" w:hAnsi="Times New Roman" w:cs="Times New Roman"/>
          <w:noProof/>
          <w:sz w:val="24"/>
          <w:szCs w:val="24"/>
          <w:vertAlign w:val="subscript"/>
          <w:lang w:val="en-GB"/>
        </w:rPr>
        <w:t>2,5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-re vonatkozó csökkentési kötelezettségvállalásaik teljesítése során részesítsék előnyben azokat az intézkedéseket, melyek a feketekorom-kibocsátásokat is csökkentik. A PM</w:t>
      </w:r>
      <w:r w:rsidRPr="00981AB9">
        <w:rPr>
          <w:rFonts w:ascii="Times New Roman" w:hAnsi="Times New Roman" w:cs="Times New Roman"/>
          <w:noProof/>
          <w:sz w:val="24"/>
          <w:szCs w:val="24"/>
          <w:vertAlign w:val="subscript"/>
          <w:lang w:val="en-GB"/>
        </w:rPr>
        <w:t>2,5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csökkentését célzó intézkedések (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például a háztartási szilárd tüzelésű tüzelőberendezések, a dízelüzemű autókból származó részecskeszennyezés, a mezőgazdasági területek égetése és az energiatermelés tekintetében) 2030-ra Unió-szerte 72 %-kal fogják csökkenteni a feketekorom-kibocsátásokat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is.</w:t>
      </w:r>
    </w:p>
    <w:p w:rsidR="00D3421B" w:rsidRPr="00981AB9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 metán és az ózon szorosan összekapcsolódik, mivel a metán jelentősen hozzájárul az ózon háttér-koncentrációihoz. A metán hosszú élettartama miatt nagy távolságokat tesz meg az északi féltekén, így az USA, Kína és India kibocsátásai befolyásolják az 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EU-beli koncentrációkat, és fordítva is. A Bizottság Közös Kutatóközpontja az év második felében technikai jelentést nyújt be a metánkibocsátásokról és ózonképződéshez való hozzájárulásukról. E jelentés alapján a Bizottság 2019-ben megvizsgálja, hogy az és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zaki féltekén milyen lehetőségek vannak a csökkentésre, és ezek milyen hatással lennének a koncentrációkra, hogy ebből kiindulva megfelelő kibocsátáscsökkentési célokat határozzon meg a metánra vonatkozóan a teljes féltekére kiterjedő jövőbeli megközelítés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keretében, együttműködve adott esetben az ENSZ Európai Gazdasági Bizottságának a nagy távolságra jutó, országhatárokon átterjedő levegőszennyezésről szóló egyezményével, az Éghajlat és Tiszta Levegő Koalícióval és a metánnal kapcsolatos globális kezdemény</w:t>
      </w: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ezéssel.</w:t>
      </w:r>
    </w:p>
    <w:p w:rsidR="00D3421B" w:rsidRPr="00981AB9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1AB9">
        <w:rPr>
          <w:rFonts w:ascii="Times New Roman" w:hAnsi="Times New Roman" w:cs="Times New Roman"/>
          <w:noProof/>
          <w:sz w:val="24"/>
          <w:szCs w:val="24"/>
          <w:lang w:val="en-GB"/>
        </w:rPr>
        <w:t>Az éghajlatváltozásból eredő hőmérséklet-növekedés tovább növelné az ózonkoncentrációkat az, amit figyelembe kell venni a levegőszennyezés felmérése és hosszú távú enyhítése során.</w:t>
      </w:r>
    </w:p>
    <w:p w:rsidR="00D3421B" w:rsidRDefault="00981AB9">
      <w:pPr>
        <w:keepNext/>
        <w:numPr>
          <w:ilvl w:val="0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9" w:name="_Toc359596090"/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A nemzetközi dimenzió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nemzeti kibocsátási határértékekről szóló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irányelv elfogadása lehetővé tette az EU számára, hogy 2017 augusztusában megerősítse a Göteborgi Jegyzőkönyv 2012. évi felülvizsgálatát. A tagállamok általi megerősítést követően hatályba léphet a felülvizsgált jegyzőkönyv. Nyolc tagállam már ratifikálta </w:t>
      </w:r>
      <w:r>
        <w:rPr>
          <w:rFonts w:ascii="Times New Roman" w:hAnsi="Times New Roman" w:cs="Times New Roman"/>
          <w:noProof/>
          <w:sz w:val="24"/>
          <w:szCs w:val="24"/>
        </w:rPr>
        <w:t>a Jegyzőkönyvet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6"/>
      </w:r>
      <w:r>
        <w:rPr>
          <w:rFonts w:ascii="Times New Roman" w:hAnsi="Times New Roman" w:cs="Times New Roman"/>
          <w:noProof/>
          <w:sz w:val="24"/>
          <w:szCs w:val="24"/>
        </w:rPr>
        <w:t>, de a Bizottság a többi tagállamot is arra bátorítja, hogy ezt mihamarabb tegye meg.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 EU fő célja továbbra is az, hogy a harmadik országok – különösen a kelet-európai, a kaukázusi és a közép-ázsiai államok (EECCA) – szélesebb körében is </w:t>
      </w:r>
      <w:r>
        <w:rPr>
          <w:rFonts w:ascii="Times New Roman" w:hAnsi="Times New Roman" w:cs="Times New Roman"/>
          <w:noProof/>
          <w:sz w:val="24"/>
          <w:szCs w:val="24"/>
        </w:rPr>
        <w:t>ösztönözze a Jegyzőkönyv megerősítését. A módosított jegyzőkönyv rugalmas rendelkezéseket tartalmaz az EECCA-államok számára, ezzel is ösztönözve a megerősítést, de ezek a rendelkezések csak akkor használhatóak, ha a Jegyzőkönyv 2020 előtt hatályba lép – a</w:t>
      </w:r>
      <w:r>
        <w:rPr>
          <w:rFonts w:ascii="Times New Roman" w:hAnsi="Times New Roman" w:cs="Times New Roman"/>
          <w:noProof/>
          <w:sz w:val="24"/>
          <w:szCs w:val="24"/>
        </w:rPr>
        <w:t>mi újabb fontos ok a tagállamoknak a mihamarabbi megerősítésre.</w:t>
      </w: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Bizottság folytatni fogja saját arra irányuló tevékenységének kidolgozását, hogy segítse a szomszédos országokat a levegőpolitika terén, különösen az Előcsatlakozási Támogatási Eszköz (IPA)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és az Európai Szomszédsági Támogatási Eszköz (ENI) révén. A tapasztalatoknak az EU-n és az ENSZ EGB-n kívüli megosztása is a prioritások között szerepel; ennek jegyében az EU az ENSZ 3. Környezetvédelmi Közgyűlésén (2017 decemberében) sikeresen lépett fel </w:t>
      </w:r>
      <w:r>
        <w:rPr>
          <w:rFonts w:ascii="Times New Roman" w:hAnsi="Times New Roman" w:cs="Times New Roman"/>
          <w:noProof/>
          <w:sz w:val="24"/>
          <w:szCs w:val="24"/>
        </w:rPr>
        <w:t>a szélesebb körű regionális és régióközi együttműködésért, és ezt kétoldalú kapcsolataiban is folytatni fogja. A Bizottság emellett finanszírozza a régiót érintő feketekorom-kibocsátások csökkentési lehetőségeire vonatkozóan, az Északi-sarkvidéki Megfigyel</w:t>
      </w:r>
      <w:r>
        <w:rPr>
          <w:rFonts w:ascii="Times New Roman" w:hAnsi="Times New Roman" w:cs="Times New Roman"/>
          <w:noProof/>
          <w:sz w:val="24"/>
          <w:szCs w:val="24"/>
        </w:rPr>
        <w:t>ő és Értékelő Program keretében végzett vizsgálatot.</w:t>
      </w:r>
    </w:p>
    <w:p w:rsidR="00D3421B" w:rsidRDefault="00981AB9">
      <w:pPr>
        <w:keepNext/>
        <w:numPr>
          <w:ilvl w:val="0"/>
          <w:numId w:val="1"/>
        </w:numPr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Következtetés</w:t>
      </w:r>
      <w:bookmarkEnd w:id="9"/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 xml:space="preserve">ek </w:t>
      </w:r>
    </w:p>
    <w:p w:rsidR="00D3421B" w:rsidRDefault="00981AB9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Örömmel állapíthatjuk meg, hogy </w:t>
      </w:r>
      <w:r>
        <w:rPr>
          <w:rFonts w:ascii="Times New Roman" w:hAnsi="Times New Roman" w:cs="Times New Roman"/>
          <w:b/>
          <w:noProof/>
          <w:sz w:val="24"/>
          <w:szCs w:val="24"/>
        </w:rPr>
        <w:t>a társjogalkotók által a 2013. évi Tiszta levegőt Európának program óta elfogadott intézkedéscsomag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azaz nemcsak a nemzeti kibocsátási határértékekről s</w:t>
      </w:r>
      <w:r>
        <w:rPr>
          <w:rFonts w:ascii="Times New Roman" w:hAnsi="Times New Roman" w:cs="Times New Roman"/>
          <w:noProof/>
          <w:sz w:val="24"/>
          <w:szCs w:val="24"/>
        </w:rPr>
        <w:t>zóló irányelv, hanem a közepes tüzelőberendezésekből származó egyes szennyező anyagok levegőbe történő kibocsátásának korlátozásáról szóló irányelv, a nem közúti mozgó gépekről szóló felülvizsgált rendelet, valamint az ipari kibocsátásokról szóló irányelvh</w:t>
      </w:r>
      <w:r>
        <w:rPr>
          <w:rFonts w:ascii="Times New Roman" w:hAnsi="Times New Roman" w:cs="Times New Roman"/>
          <w:noProof/>
          <w:sz w:val="24"/>
          <w:szCs w:val="24"/>
        </w:rPr>
        <w:t>ez és a környezettudatos tervezésről szóló irányelvhez kapcsolódó végrehajtási intézkedések –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2030-ra nem hogy teljesíti, de túl is szárnyalja a Tiszta levegőt Európának programban az egészségkárosító hatás csökkentésére meghatározott 52 %-os célértéket, é</w:t>
      </w:r>
      <w:r>
        <w:rPr>
          <w:rFonts w:ascii="Times New Roman" w:hAnsi="Times New Roman" w:cs="Times New Roman"/>
          <w:b/>
          <w:noProof/>
          <w:sz w:val="24"/>
          <w:szCs w:val="24"/>
        </w:rPr>
        <w:t>s a WHO-iránymutatásban szereplő értéknél alacsonyabb PM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2,5</w:t>
      </w:r>
      <w:r>
        <w:rPr>
          <w:rFonts w:ascii="Times New Roman" w:hAnsi="Times New Roman" w:cs="Times New Roman"/>
          <w:b/>
          <w:noProof/>
          <w:sz w:val="24"/>
          <w:szCs w:val="24"/>
        </w:rPr>
        <w:t>-koncentrációkat eredményez szerte Európában.</w:t>
      </w:r>
    </w:p>
    <w:p w:rsidR="00D3421B" w:rsidRDefault="00D3421B">
      <w:pPr>
        <w:pStyle w:val="ListParagraph"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Rövid távon azonban sürgősen szükség van arra, hogy a környezeti levegő minőségéről szóló irányelvekben foglalt célkitűzések elérése érdekében határozott lépéseket tegyünk </w:t>
      </w:r>
      <w:r>
        <w:rPr>
          <w:rFonts w:ascii="Times New Roman" w:hAnsi="Times New Roman" w:cs="Times New Roman"/>
          <w:noProof/>
          <w:sz w:val="24"/>
          <w:szCs w:val="24"/>
        </w:rPr>
        <w:t>minden kormányzati szinten (tagállami, regionális és helyi szinten), a piaci szerepl</w:t>
      </w:r>
      <w:r>
        <w:rPr>
          <w:rFonts w:ascii="Times New Roman" w:hAnsi="Times New Roman" w:cs="Times New Roman"/>
          <w:noProof/>
          <w:sz w:val="24"/>
          <w:szCs w:val="24"/>
        </w:rPr>
        <w:t>ők teljes körű bevonásával.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t>Erre hívta fel a figyelmet a Bizottság „Védelmet nyújtó Európa: tiszta levegőt mindenkinek” című legutóbbi közleménye</w:t>
      </w:r>
      <w:r>
        <w:rPr>
          <w:rFonts w:ascii="Times New Roman" w:eastAsia="Times New Roman" w:hAnsi="Times New Roman" w:cs="Times New Roman"/>
          <w:noProof/>
          <w:sz w:val="24"/>
          <w:szCs w:val="20"/>
          <w:vertAlign w:val="superscript"/>
          <w:lang w:val="en-GB" w:eastAsia="en-GB"/>
        </w:rPr>
        <w:footnoteReference w:id="37"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t>is. Hosszabb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távon is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valamennyi szinten szükség lesz kiegészítő intézkedésekre annak érdekében, hogy az EU h</w:t>
      </w:r>
      <w:r>
        <w:rPr>
          <w:rFonts w:ascii="Times New Roman" w:hAnsi="Times New Roman" w:cs="Times New Roman"/>
          <w:b/>
          <w:noProof/>
          <w:sz w:val="24"/>
          <w:szCs w:val="24"/>
        </w:rPr>
        <w:t>osszú távú célkitűzései mindenhol teljesüljenek Európában.</w:t>
      </w:r>
    </w:p>
    <w:p w:rsidR="00D3421B" w:rsidRDefault="00D3421B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2030-ra elért eredmények attól függenek, hogy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a tagállamok az összes intézkedést maradéktalanul végrehajtják-e, és különösen attól, hogy a nemzeti kibocsátási határértékekről szóló irányelvben m</w:t>
      </w:r>
      <w:r>
        <w:rPr>
          <w:rFonts w:ascii="Times New Roman" w:hAnsi="Times New Roman" w:cs="Times New Roman"/>
          <w:b/>
          <w:noProof/>
          <w:sz w:val="24"/>
          <w:szCs w:val="24"/>
        </w:rPr>
        <w:t>eghatározott kibocsátáscsökkentési kötelezettségvállalások teljesítéséhez kellően robusztus nemzeti levegőszennyezés-csökkentési programokat hoznak-e létre.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Ehhez hatékonyan össze kell hangolni a programokat más szakpolitikák – például az Energiaunió éghaj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latügyi/energiaügyi intézkedései, a közúti közlekedési politika és a KAP közeljövőbeli reformja – végrehajtásával. </w:t>
      </w:r>
      <w:r>
        <w:rPr>
          <w:rFonts w:ascii="Times New Roman" w:hAnsi="Times New Roman" w:cs="Times New Roman"/>
          <w:b/>
          <w:noProof/>
          <w:sz w:val="24"/>
          <w:szCs w:val="24"/>
        </w:rPr>
        <w:t>A rendelkezésre álló jelentős mértékű uniós pénzügyi támogatás felhasználása szintén nagyban megkönnyíti majd a végrehajtást.</w:t>
      </w:r>
    </w:p>
    <w:p w:rsidR="00D3421B" w:rsidRDefault="00D3421B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Bár a legtöbb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ágazat és szennyező anyag esetében a szennyezési forrásokra vonatkozó jogszabályok számottevően támogatják a nemzeti kibocsátási határértékekről szóló irányelv végrehajtását, a </w:t>
      </w:r>
      <w:r>
        <w:rPr>
          <w:rFonts w:ascii="Times New Roman" w:hAnsi="Times New Roman" w:cs="Times New Roman"/>
          <w:b/>
          <w:noProof/>
          <w:sz w:val="24"/>
          <w:szCs w:val="24"/>
        </w:rPr>
        <w:t>mezőgazdasági NH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noProof/>
          <w:sz w:val="24"/>
          <w:szCs w:val="24"/>
        </w:rPr>
        <w:t>-kibocsátások kivételt képeznek.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Az előírt csökkentések teljes</w:t>
      </w:r>
      <w:r>
        <w:rPr>
          <w:rFonts w:ascii="Times New Roman" w:hAnsi="Times New Roman" w:cs="Times New Roman"/>
          <w:b/>
          <w:noProof/>
          <w:sz w:val="24"/>
          <w:szCs w:val="24"/>
        </w:rPr>
        <w:t>ítéséhez az ágazat hatékony szerepvállalására van szükség.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 jelenlegi elemzés alapján az EU még így is messze lesz annak a hosszú távú célnak a teljesítésétől, hogy ne lépje túl az eutrofizációs kritikus terhelést, de vannak lehetőségek további jelentős 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sökkentésre, melyek révén az EU sokkal közelebb kerülhetne a céljához.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 Bizottság a jövőben is támogatja az e célból tett tagállami erőfeszítéseket, többek között a Közös Agrárpolitika keretében rendelkezésre álló finanszírozás maximális felhasználásával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és a vonatkozó uniós jogszabályok, mint például a nitrátokról szóló 91/676/EGK irányelv végrehajtásából adódó szinergiák előmozdításával. </w:t>
      </w:r>
    </w:p>
    <w:p w:rsidR="00D3421B" w:rsidRDefault="00D3421B">
      <w:pPr>
        <w:pStyle w:val="ListParagraph"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Amint azt a Bizottság az új nemzeti kibocsátási határértékekről szóló irányelv elfogadásakor megállapította, </w:t>
      </w:r>
      <w:r>
        <w:rPr>
          <w:rFonts w:ascii="Times New Roman" w:hAnsi="Times New Roman" w:cs="Times New Roman"/>
          <w:b/>
          <w:noProof/>
          <w:sz w:val="24"/>
          <w:szCs w:val="24"/>
        </w:rPr>
        <w:t>folyama</w:t>
      </w:r>
      <w:r>
        <w:rPr>
          <w:rFonts w:ascii="Times New Roman" w:hAnsi="Times New Roman" w:cs="Times New Roman"/>
          <w:b/>
          <w:noProof/>
          <w:sz w:val="24"/>
          <w:szCs w:val="24"/>
        </w:rPr>
        <w:t>tosan figyelni kell a metánkibocsátásoknak az EU-beli ózonkoncentrációkra gyakorolt hatását, és nemzetközi szinten elő kell mozdítani a metánkibocsátás csökkentését.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 bejelentett nemzeti kibocsátások alapján </w:t>
      </w:r>
      <w:r>
        <w:rPr>
          <w:rFonts w:ascii="Times New Roman" w:hAnsi="Times New Roman" w:cs="Times New Roman"/>
          <w:b/>
          <w:noProof/>
          <w:sz w:val="24"/>
          <w:szCs w:val="24"/>
        </w:rPr>
        <w:t>a Bizottság tovább vizsgálja, hogy a metánkiboc</w:t>
      </w:r>
      <w:r>
        <w:rPr>
          <w:rFonts w:ascii="Times New Roman" w:hAnsi="Times New Roman" w:cs="Times New Roman"/>
          <w:b/>
          <w:noProof/>
          <w:sz w:val="24"/>
          <w:szCs w:val="24"/>
        </w:rPr>
        <w:t>sátások hogyan befolyásolják a levegőpolitikai célkitűzések elérését, mérlegeli, hogy milyen intézkedésekkel lehetne csökkenteni ezeket a kibocsátásokat, és adott esetben az uniós és globális adatokon és információkon alapuló jogalkotási javaslatot nyújt b</w:t>
      </w:r>
      <w:r>
        <w:rPr>
          <w:rFonts w:ascii="Times New Roman" w:hAnsi="Times New Roman" w:cs="Times New Roman"/>
          <w:b/>
          <w:noProof/>
          <w:sz w:val="24"/>
          <w:szCs w:val="24"/>
        </w:rPr>
        <w:t>e.</w:t>
      </w:r>
    </w:p>
    <w:p w:rsidR="00D3421B" w:rsidRDefault="00D3421B">
      <w:pPr>
        <w:pStyle w:val="ListParagraph"/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21B" w:rsidRDefault="00981A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következő tiszta levegővel kapcsolatos kitekintés közzétételére 2020-ban kerül sor, és tartalmazni fogja a 2019-es nemzeti levegőszennyezés-csökkentési programok Bizottság általi elemzését.</w:t>
      </w:r>
    </w:p>
    <w:sectPr w:rsidR="00D342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134" w:right="1417" w:bottom="1134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1B" w:rsidRDefault="00981AB9">
      <w:pPr>
        <w:spacing w:after="0" w:line="240" w:lineRule="auto"/>
      </w:pPr>
      <w:r>
        <w:separator/>
      </w:r>
    </w:p>
  </w:endnote>
  <w:endnote w:type="continuationSeparator" w:id="0">
    <w:p w:rsidR="00D3421B" w:rsidRDefault="0098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B9" w:rsidRPr="00981AB9" w:rsidRDefault="00981AB9" w:rsidP="00981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B9" w:rsidRPr="00981AB9" w:rsidRDefault="00981AB9" w:rsidP="00981AB9">
    <w:pPr>
      <w:pStyle w:val="FooterCoverPage"/>
      <w:rPr>
        <w:rFonts w:ascii="Arial" w:hAnsi="Arial" w:cs="Arial"/>
        <w:b/>
        <w:sz w:val="48"/>
      </w:rPr>
    </w:pPr>
    <w:r w:rsidRPr="00981AB9">
      <w:rPr>
        <w:rFonts w:ascii="Arial" w:hAnsi="Arial" w:cs="Arial"/>
        <w:b/>
        <w:sz w:val="48"/>
      </w:rPr>
      <w:t>HU</w:t>
    </w:r>
    <w:r w:rsidRPr="00981AB9">
      <w:rPr>
        <w:rFonts w:ascii="Arial" w:hAnsi="Arial" w:cs="Arial"/>
        <w:b/>
        <w:sz w:val="48"/>
      </w:rPr>
      <w:tab/>
    </w:r>
    <w:r w:rsidRPr="00981AB9">
      <w:rPr>
        <w:rFonts w:ascii="Arial" w:hAnsi="Arial" w:cs="Arial"/>
        <w:b/>
        <w:sz w:val="48"/>
      </w:rPr>
      <w:tab/>
    </w:r>
    <w:r w:rsidRPr="00981AB9">
      <w:tab/>
    </w:r>
    <w:proofErr w:type="spellStart"/>
    <w:r w:rsidRPr="00981AB9">
      <w:rPr>
        <w:rFonts w:ascii="Arial" w:hAnsi="Arial" w:cs="Arial"/>
        <w:b/>
        <w:sz w:val="48"/>
      </w:rPr>
      <w:t>HU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B9" w:rsidRPr="00981AB9" w:rsidRDefault="00981AB9" w:rsidP="00981AB9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1B" w:rsidRDefault="00D3421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1B" w:rsidRDefault="00D3421B">
    <w:pPr>
      <w:pStyle w:val="Footer"/>
      <w:jc w:val="center"/>
    </w:pPr>
  </w:p>
  <w:p w:rsidR="00D3421B" w:rsidRDefault="00D3421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1B" w:rsidRDefault="00D34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1B" w:rsidRDefault="00981AB9">
      <w:pPr>
        <w:spacing w:after="0" w:line="240" w:lineRule="auto"/>
      </w:pPr>
      <w:r>
        <w:separator/>
      </w:r>
    </w:p>
  </w:footnote>
  <w:footnote w:type="continuationSeparator" w:id="0">
    <w:p w:rsidR="00D3421B" w:rsidRDefault="00981AB9">
      <w:pPr>
        <w:spacing w:after="0" w:line="240" w:lineRule="auto"/>
      </w:pPr>
      <w:r>
        <w:continuationSeparator/>
      </w:r>
    </w:p>
  </w:footnote>
  <w:footnote w:id="1">
    <w:p w:rsidR="00D3421B" w:rsidRDefault="00981AB9">
      <w:pPr>
        <w:pStyle w:val="Footnote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HL L 152., 2008.6.11., 1. o.</w:t>
      </w:r>
    </w:p>
  </w:footnote>
  <w:footnote w:id="2">
    <w:p w:rsidR="00D3421B" w:rsidRDefault="00981AB9">
      <w:pPr>
        <w:pStyle w:val="Footnote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Európai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Környezetvédelmi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Ügynökség</w:t>
      </w:r>
      <w:proofErr w:type="spellEnd"/>
      <w:r>
        <w:rPr>
          <w:rFonts w:ascii="Times New Roman" w:hAnsi="Times New Roman"/>
          <w:lang w:val="en-GB"/>
        </w:rPr>
        <w:t xml:space="preserve"> (EEA), 2017. </w:t>
      </w:r>
      <w:proofErr w:type="spellStart"/>
      <w:proofErr w:type="gramStart"/>
      <w:r>
        <w:rPr>
          <w:rFonts w:ascii="Times New Roman" w:hAnsi="Times New Roman"/>
          <w:lang w:val="en-GB"/>
        </w:rPr>
        <w:t>október</w:t>
      </w:r>
      <w:proofErr w:type="spellEnd"/>
      <w:proofErr w:type="gramEnd"/>
      <w:r>
        <w:rPr>
          <w:rFonts w:ascii="Times New Roman" w:hAnsi="Times New Roman"/>
          <w:lang w:val="en-GB"/>
        </w:rPr>
        <w:t>, „</w:t>
      </w:r>
      <w:proofErr w:type="spellStart"/>
      <w:r>
        <w:rPr>
          <w:rFonts w:ascii="Times New Roman" w:hAnsi="Times New Roman"/>
          <w:lang w:val="en-GB"/>
        </w:rPr>
        <w:t>Levegőminőség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Európában</w:t>
      </w:r>
      <w:proofErr w:type="spellEnd"/>
      <w:r>
        <w:rPr>
          <w:rFonts w:ascii="Times New Roman" w:hAnsi="Times New Roman"/>
          <w:lang w:val="en-GB"/>
        </w:rPr>
        <w:t xml:space="preserve"> – 2017. </w:t>
      </w:r>
      <w:proofErr w:type="spellStart"/>
      <w:proofErr w:type="gramStart"/>
      <w:r>
        <w:rPr>
          <w:rFonts w:ascii="Times New Roman" w:hAnsi="Times New Roman"/>
          <w:lang w:val="en-GB"/>
        </w:rPr>
        <w:t>évi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jelentés</w:t>
      </w:r>
      <w:proofErr w:type="spellEnd"/>
      <w:r>
        <w:rPr>
          <w:rFonts w:ascii="Times New Roman" w:hAnsi="Times New Roman"/>
          <w:lang w:val="en-GB"/>
        </w:rPr>
        <w:t>”.</w:t>
      </w:r>
    </w:p>
  </w:footnote>
  <w:footnote w:id="3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Lásd</w:t>
      </w:r>
      <w:proofErr w:type="spellEnd"/>
      <w:r>
        <w:rPr>
          <w:rFonts w:ascii="Times New Roman" w:hAnsi="Times New Roman"/>
          <w:lang w:val="pt-PT"/>
        </w:rPr>
        <w:t xml:space="preserve">: </w:t>
      </w:r>
      <w:hyperlink r:id="rId1">
        <w:r>
          <w:rPr>
            <w:rStyle w:val="Hyperlink"/>
            <w:rFonts w:ascii="Times New Roman" w:hAnsi="Times New Roman"/>
            <w:lang w:val="pt-PT"/>
          </w:rPr>
          <w:t>http://ec.europa.eu/environment/air/clean_air/review.htm</w:t>
        </w:r>
      </w:hyperlink>
    </w:p>
  </w:footnote>
  <w:footnote w:id="4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proofErr w:type="gramStart"/>
      <w:r>
        <w:rPr>
          <w:rFonts w:ascii="Times New Roman" w:hAnsi="Times New Roman"/>
          <w:lang w:val="pt-PT"/>
        </w:rPr>
        <w:t>COM(</w:t>
      </w:r>
      <w:proofErr w:type="gramEnd"/>
      <w:r>
        <w:rPr>
          <w:rFonts w:ascii="Times New Roman" w:hAnsi="Times New Roman"/>
          <w:lang w:val="pt-PT"/>
        </w:rPr>
        <w:t>2013)918 final.</w:t>
      </w:r>
    </w:p>
  </w:footnote>
  <w:footnote w:id="5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HL L 313., 2015.11.28., 1. o.</w:t>
      </w:r>
    </w:p>
  </w:footnote>
  <w:footnote w:id="6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HL L 248., 2017.9.27., 3. o.</w:t>
      </w:r>
    </w:p>
  </w:footnote>
  <w:footnote w:id="7">
    <w:p w:rsidR="00D3421B" w:rsidRDefault="00981AB9">
      <w:pPr>
        <w:pStyle w:val="FootnoteText"/>
        <w:rPr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HL L 344., 2016.12.17., 1. o.</w:t>
      </w:r>
    </w:p>
  </w:footnote>
  <w:footnote w:id="8">
    <w:p w:rsidR="00D3421B" w:rsidRDefault="00981AB9">
      <w:pPr>
        <w:pStyle w:val="FootnoteText"/>
        <w:ind w:left="120" w:hanging="120"/>
        <w:rPr>
          <w:rFonts w:ascii="Times New Roman" w:hAnsi="Times New Roman" w:cs="Times New Roman"/>
          <w:lang w:val="pt-PT"/>
        </w:rPr>
      </w:pPr>
      <w:r>
        <w:rPr>
          <w:vertAlign w:val="superscript"/>
        </w:rPr>
        <w:footnoteRef/>
      </w:r>
      <w:r>
        <w:rPr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pt-PT"/>
        </w:rPr>
        <w:t>Európai</w:t>
      </w:r>
      <w:proofErr w:type="spellEnd"/>
      <w:r>
        <w:rPr>
          <w:rFonts w:ascii="Times New Roman" w:hAnsi="Times New Roman" w:cs="Times New Roman"/>
          <w:iCs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pt-PT"/>
        </w:rPr>
        <w:t>Környezetvédelmi</w:t>
      </w:r>
      <w:proofErr w:type="spellEnd"/>
      <w:r>
        <w:rPr>
          <w:rFonts w:ascii="Times New Roman" w:hAnsi="Times New Roman" w:cs="Times New Roman"/>
          <w:iCs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pt-PT"/>
        </w:rPr>
        <w:t>Ügynökség</w:t>
      </w:r>
      <w:proofErr w:type="spellEnd"/>
      <w:r>
        <w:rPr>
          <w:rFonts w:ascii="Times New Roman" w:hAnsi="Times New Roman" w:cs="Times New Roman"/>
          <w:iCs/>
          <w:lang w:val="pt-PT"/>
        </w:rPr>
        <w:t xml:space="preserve"> (EEA), 2017. </w:t>
      </w:r>
      <w:proofErr w:type="spellStart"/>
      <w:r>
        <w:rPr>
          <w:rFonts w:ascii="Times New Roman" w:hAnsi="Times New Roman" w:cs="Times New Roman"/>
          <w:iCs/>
          <w:lang w:val="pt-PT"/>
        </w:rPr>
        <w:t>október</w:t>
      </w:r>
      <w:proofErr w:type="spellEnd"/>
      <w:r>
        <w:rPr>
          <w:rFonts w:ascii="Times New Roman" w:hAnsi="Times New Roman" w:cs="Times New Roman"/>
          <w:iCs/>
          <w:lang w:val="pt-PT"/>
        </w:rPr>
        <w:t>, „</w:t>
      </w:r>
      <w:proofErr w:type="spellStart"/>
      <w:r>
        <w:rPr>
          <w:rFonts w:ascii="Times New Roman" w:hAnsi="Times New Roman" w:cs="Times New Roman"/>
          <w:iCs/>
          <w:lang w:val="pt-PT"/>
        </w:rPr>
        <w:t>Levegőminőség</w:t>
      </w:r>
      <w:proofErr w:type="spellEnd"/>
      <w:r>
        <w:rPr>
          <w:rFonts w:ascii="Times New Roman" w:hAnsi="Times New Roman" w:cs="Times New Roman"/>
          <w:iCs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pt-PT"/>
        </w:rPr>
        <w:t>Európában</w:t>
      </w:r>
      <w:proofErr w:type="spellEnd"/>
      <w:r>
        <w:rPr>
          <w:rFonts w:ascii="Times New Roman" w:hAnsi="Times New Roman" w:cs="Times New Roman"/>
          <w:iCs/>
          <w:lang w:val="pt-PT"/>
        </w:rPr>
        <w:t xml:space="preserve"> – 2017. </w:t>
      </w:r>
      <w:proofErr w:type="spellStart"/>
      <w:r>
        <w:rPr>
          <w:rFonts w:ascii="Times New Roman" w:hAnsi="Times New Roman" w:cs="Times New Roman"/>
          <w:iCs/>
          <w:lang w:val="pt-PT"/>
        </w:rPr>
        <w:t>évi</w:t>
      </w:r>
      <w:proofErr w:type="spellEnd"/>
      <w:r>
        <w:rPr>
          <w:rFonts w:ascii="Times New Roman" w:hAnsi="Times New Roman" w:cs="Times New Roman"/>
          <w:iCs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pt-PT"/>
        </w:rPr>
        <w:t>jelentés</w:t>
      </w:r>
      <w:proofErr w:type="spellEnd"/>
      <w:r>
        <w:rPr>
          <w:rFonts w:ascii="Times New Roman" w:hAnsi="Times New Roman" w:cs="Times New Roman"/>
          <w:iCs/>
          <w:lang w:val="pt-PT"/>
        </w:rPr>
        <w:t>”.</w:t>
      </w:r>
    </w:p>
  </w:footnote>
  <w:footnote w:id="9">
    <w:p w:rsidR="00D3421B" w:rsidRDefault="00981AB9">
      <w:pPr>
        <w:pStyle w:val="FootnoteText"/>
        <w:ind w:left="120" w:hanging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A </w:t>
      </w:r>
      <w:proofErr w:type="spellStart"/>
      <w:r>
        <w:rPr>
          <w:rFonts w:ascii="Times New Roman" w:hAnsi="Times New Roman"/>
          <w:lang w:val="pt-PT"/>
        </w:rPr>
        <w:t>Bizottság</w:t>
      </w:r>
      <w:proofErr w:type="spellEnd"/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módosított</w:t>
      </w:r>
      <w:proofErr w:type="spellEnd"/>
      <w:r>
        <w:rPr>
          <w:rFonts w:ascii="Times New Roman" w:hAnsi="Times New Roman"/>
          <w:lang w:val="pt-PT"/>
        </w:rPr>
        <w:t xml:space="preserve"> 2017/115</w:t>
      </w:r>
      <w:r>
        <w:rPr>
          <w:rFonts w:ascii="Times New Roman" w:hAnsi="Times New Roman"/>
          <w:lang w:val="pt-PT"/>
        </w:rPr>
        <w:t xml:space="preserve">1/EU </w:t>
      </w:r>
      <w:proofErr w:type="spellStart"/>
      <w:r>
        <w:rPr>
          <w:rFonts w:ascii="Times New Roman" w:hAnsi="Times New Roman"/>
          <w:lang w:val="pt-PT"/>
        </w:rPr>
        <w:t>rendelete</w:t>
      </w:r>
      <w:proofErr w:type="spellEnd"/>
      <w:r>
        <w:rPr>
          <w:rFonts w:ascii="Times New Roman" w:hAnsi="Times New Roman"/>
          <w:lang w:val="pt-PT"/>
        </w:rPr>
        <w:t>. HL L 175., 2017.7.7., 1. o.</w:t>
      </w:r>
    </w:p>
  </w:footnote>
  <w:footnote w:id="10">
    <w:p w:rsidR="00D3421B" w:rsidRDefault="00981AB9">
      <w:pPr>
        <w:pStyle w:val="FootnoteText"/>
        <w:ind w:left="120" w:hanging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proofErr w:type="gramStart"/>
      <w:r>
        <w:rPr>
          <w:rFonts w:ascii="Times New Roman" w:hAnsi="Times New Roman"/>
          <w:lang w:val="pt-PT"/>
        </w:rPr>
        <w:t>COM(</w:t>
      </w:r>
      <w:proofErr w:type="gramEnd"/>
      <w:r>
        <w:rPr>
          <w:rFonts w:ascii="Times New Roman" w:hAnsi="Times New Roman"/>
          <w:lang w:val="pt-PT"/>
        </w:rPr>
        <w:t>2016) 31 final.</w:t>
      </w:r>
    </w:p>
  </w:footnote>
  <w:footnote w:id="11">
    <w:p w:rsidR="00D3421B" w:rsidRDefault="00981AB9">
      <w:pPr>
        <w:pStyle w:val="FootnoteText"/>
        <w:ind w:left="240" w:hanging="24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r>
        <w:rPr>
          <w:lang w:val="pt-PT"/>
        </w:rPr>
        <w:tab/>
      </w:r>
      <w:r>
        <w:rPr>
          <w:rFonts w:ascii="Times New Roman" w:hAnsi="Times New Roman"/>
          <w:lang w:val="pt-PT"/>
        </w:rPr>
        <w:t xml:space="preserve">A 715/2007/EK </w:t>
      </w:r>
      <w:proofErr w:type="spellStart"/>
      <w:r>
        <w:rPr>
          <w:rFonts w:ascii="Times New Roman" w:hAnsi="Times New Roman"/>
          <w:lang w:val="pt-PT"/>
        </w:rPr>
        <w:t>rendelet</w:t>
      </w:r>
      <w:proofErr w:type="spellEnd"/>
      <w:r>
        <w:rPr>
          <w:rFonts w:ascii="Times New Roman" w:hAnsi="Times New Roman"/>
          <w:lang w:val="pt-PT"/>
        </w:rPr>
        <w:t>. HL L 171., 2007.6.29., 1. o.</w:t>
      </w:r>
    </w:p>
  </w:footnote>
  <w:footnote w:id="12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A </w:t>
      </w:r>
      <w:proofErr w:type="spellStart"/>
      <w:r>
        <w:rPr>
          <w:rFonts w:ascii="Times New Roman" w:hAnsi="Times New Roman"/>
          <w:lang w:val="pt-PT"/>
        </w:rPr>
        <w:t>Bizottság</w:t>
      </w:r>
      <w:proofErr w:type="spellEnd"/>
      <w:r>
        <w:rPr>
          <w:rFonts w:ascii="Times New Roman" w:hAnsi="Times New Roman"/>
          <w:lang w:val="pt-PT"/>
        </w:rPr>
        <w:t xml:space="preserve"> 2010/75/EU </w:t>
      </w:r>
      <w:proofErr w:type="spellStart"/>
      <w:r>
        <w:rPr>
          <w:rFonts w:ascii="Times New Roman" w:hAnsi="Times New Roman"/>
          <w:lang w:val="pt-PT"/>
        </w:rPr>
        <w:t>irányelve</w:t>
      </w:r>
      <w:proofErr w:type="spellEnd"/>
      <w:r>
        <w:rPr>
          <w:rFonts w:ascii="Times New Roman" w:hAnsi="Times New Roman"/>
          <w:lang w:val="pt-PT"/>
        </w:rPr>
        <w:t xml:space="preserve"> (2010. </w:t>
      </w:r>
      <w:proofErr w:type="spellStart"/>
      <w:r>
        <w:rPr>
          <w:rFonts w:ascii="Times New Roman" w:hAnsi="Times New Roman"/>
          <w:lang w:val="pt-PT"/>
        </w:rPr>
        <w:t>augusztus</w:t>
      </w:r>
      <w:proofErr w:type="spellEnd"/>
      <w:r>
        <w:rPr>
          <w:rFonts w:ascii="Times New Roman" w:hAnsi="Times New Roman"/>
          <w:lang w:val="pt-PT"/>
        </w:rPr>
        <w:t xml:space="preserve"> 28.) (HL L 334., 2010.12.17., 17. o.).</w:t>
      </w:r>
    </w:p>
  </w:footnote>
  <w:footnote w:id="13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A </w:t>
      </w:r>
      <w:proofErr w:type="spellStart"/>
      <w:r>
        <w:rPr>
          <w:rFonts w:ascii="Times New Roman" w:hAnsi="Times New Roman"/>
          <w:lang w:val="pt-PT"/>
        </w:rPr>
        <w:t>Bizottság</w:t>
      </w:r>
      <w:proofErr w:type="spellEnd"/>
      <w:r>
        <w:rPr>
          <w:rFonts w:ascii="Times New Roman" w:hAnsi="Times New Roman"/>
          <w:lang w:val="pt-PT"/>
        </w:rPr>
        <w:t xml:space="preserve"> (EU) 2015/1185 </w:t>
      </w:r>
      <w:proofErr w:type="spellStart"/>
      <w:r>
        <w:rPr>
          <w:rFonts w:ascii="Times New Roman" w:hAnsi="Times New Roman"/>
          <w:lang w:val="pt-PT"/>
        </w:rPr>
        <w:t>végrehajtási</w:t>
      </w:r>
      <w:proofErr w:type="spellEnd"/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r</w:t>
      </w:r>
      <w:r>
        <w:rPr>
          <w:rFonts w:ascii="Times New Roman" w:hAnsi="Times New Roman"/>
          <w:lang w:val="pt-PT"/>
        </w:rPr>
        <w:t>endelete</w:t>
      </w:r>
      <w:proofErr w:type="spellEnd"/>
      <w:r>
        <w:rPr>
          <w:rFonts w:ascii="Times New Roman" w:hAnsi="Times New Roman"/>
          <w:lang w:val="pt-PT"/>
        </w:rPr>
        <w:t xml:space="preserve"> (HL L 193., 2015.7.21. o.).</w:t>
      </w:r>
    </w:p>
  </w:footnote>
  <w:footnote w:id="14">
    <w:p w:rsidR="00D3421B" w:rsidRDefault="00981AB9">
      <w:pPr>
        <w:pStyle w:val="FootnoteText"/>
        <w:rPr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A </w:t>
      </w:r>
      <w:proofErr w:type="spellStart"/>
      <w:r>
        <w:rPr>
          <w:rFonts w:ascii="Times New Roman" w:hAnsi="Times New Roman"/>
          <w:lang w:val="pt-PT"/>
        </w:rPr>
        <w:t>Bizottság</w:t>
      </w:r>
      <w:proofErr w:type="spellEnd"/>
      <w:r>
        <w:rPr>
          <w:rFonts w:ascii="Times New Roman" w:hAnsi="Times New Roman"/>
          <w:lang w:val="pt-PT"/>
        </w:rPr>
        <w:t xml:space="preserve"> (EU) 2015/1189 </w:t>
      </w:r>
      <w:proofErr w:type="spellStart"/>
      <w:r>
        <w:rPr>
          <w:rFonts w:ascii="Times New Roman" w:hAnsi="Times New Roman"/>
          <w:lang w:val="pt-PT"/>
        </w:rPr>
        <w:t>végrehajtási</w:t>
      </w:r>
      <w:proofErr w:type="spellEnd"/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rendelete</w:t>
      </w:r>
      <w:proofErr w:type="spellEnd"/>
      <w:r>
        <w:rPr>
          <w:rFonts w:ascii="Times New Roman" w:hAnsi="Times New Roman"/>
          <w:lang w:val="pt-PT"/>
        </w:rPr>
        <w:t xml:space="preserve"> (HL L 193., 2015.7.21. o.).</w:t>
      </w:r>
    </w:p>
  </w:footnote>
  <w:footnote w:id="15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A 2010/31/EU </w:t>
      </w:r>
      <w:proofErr w:type="spellStart"/>
      <w:r>
        <w:rPr>
          <w:rFonts w:ascii="Times New Roman" w:hAnsi="Times New Roman"/>
          <w:lang w:val="pt-PT"/>
        </w:rPr>
        <w:t>irányelv</w:t>
      </w:r>
      <w:proofErr w:type="spellEnd"/>
      <w:r>
        <w:rPr>
          <w:rFonts w:ascii="Times New Roman" w:hAnsi="Times New Roman"/>
          <w:lang w:val="pt-PT"/>
        </w:rPr>
        <w:t xml:space="preserve"> (HL L 153., 2010.6.18., 13. o.).</w:t>
      </w:r>
    </w:p>
  </w:footnote>
  <w:footnote w:id="16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A 2012/27/EU </w:t>
      </w:r>
      <w:proofErr w:type="spellStart"/>
      <w:r>
        <w:rPr>
          <w:rFonts w:ascii="Times New Roman" w:hAnsi="Times New Roman"/>
          <w:lang w:val="pt-PT"/>
        </w:rPr>
        <w:t>irányelv</w:t>
      </w:r>
      <w:proofErr w:type="spellEnd"/>
      <w:r>
        <w:rPr>
          <w:rFonts w:ascii="Times New Roman" w:hAnsi="Times New Roman"/>
          <w:lang w:val="pt-PT"/>
        </w:rPr>
        <w:t xml:space="preserve"> (HL L 315., 2012.11.14., 1. o.).</w:t>
      </w:r>
    </w:p>
  </w:footnote>
  <w:footnote w:id="17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Az (EU) 2017/1369 </w:t>
      </w:r>
      <w:proofErr w:type="spellStart"/>
      <w:r>
        <w:rPr>
          <w:rFonts w:ascii="Times New Roman" w:hAnsi="Times New Roman"/>
          <w:lang w:val="pt-PT"/>
        </w:rPr>
        <w:t>rende</w:t>
      </w:r>
      <w:r>
        <w:rPr>
          <w:rFonts w:ascii="Times New Roman" w:hAnsi="Times New Roman"/>
          <w:lang w:val="pt-PT"/>
        </w:rPr>
        <w:t>let</w:t>
      </w:r>
      <w:proofErr w:type="spellEnd"/>
      <w:r>
        <w:rPr>
          <w:rFonts w:ascii="Times New Roman" w:hAnsi="Times New Roman"/>
          <w:lang w:val="pt-PT"/>
        </w:rPr>
        <w:t xml:space="preserve"> (HL L 198., 2017.7.28., 1. o.).</w:t>
      </w:r>
    </w:p>
  </w:footnote>
  <w:footnote w:id="18">
    <w:p w:rsidR="00D3421B" w:rsidRDefault="00981AB9">
      <w:pPr>
        <w:pStyle w:val="FootnoteText"/>
        <w:ind w:left="120" w:hanging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A </w:t>
      </w:r>
      <w:proofErr w:type="spellStart"/>
      <w:r>
        <w:rPr>
          <w:rFonts w:ascii="Times New Roman" w:hAnsi="Times New Roman"/>
          <w:lang w:val="pt-PT"/>
        </w:rPr>
        <w:t>Bizottság</w:t>
      </w:r>
      <w:proofErr w:type="spellEnd"/>
      <w:r>
        <w:rPr>
          <w:rFonts w:ascii="Times New Roman" w:hAnsi="Times New Roman"/>
          <w:lang w:val="pt-PT"/>
        </w:rPr>
        <w:t xml:space="preserve"> (EU) 2017/1442 </w:t>
      </w:r>
      <w:proofErr w:type="spellStart"/>
      <w:r>
        <w:rPr>
          <w:rFonts w:ascii="Times New Roman" w:hAnsi="Times New Roman"/>
          <w:lang w:val="pt-PT"/>
        </w:rPr>
        <w:t>végrehajtási</w:t>
      </w:r>
      <w:proofErr w:type="spellEnd"/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határozata</w:t>
      </w:r>
      <w:proofErr w:type="spellEnd"/>
      <w:r>
        <w:rPr>
          <w:rFonts w:ascii="Times New Roman" w:hAnsi="Times New Roman"/>
          <w:lang w:val="pt-PT"/>
        </w:rPr>
        <w:t xml:space="preserve"> (HL L 212., 2017.8.17., 1. o.).</w:t>
      </w:r>
    </w:p>
  </w:footnote>
  <w:footnote w:id="19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proofErr w:type="gramStart"/>
      <w:r>
        <w:rPr>
          <w:rFonts w:ascii="Times New Roman" w:hAnsi="Times New Roman"/>
          <w:lang w:val="pt-PT"/>
        </w:rPr>
        <w:t>COM(</w:t>
      </w:r>
      <w:proofErr w:type="gramEnd"/>
      <w:r>
        <w:rPr>
          <w:rFonts w:ascii="Times New Roman" w:hAnsi="Times New Roman"/>
          <w:lang w:val="pt-PT"/>
        </w:rPr>
        <w:t xml:space="preserve">2017) 57 final – </w:t>
      </w:r>
      <w:proofErr w:type="spellStart"/>
      <w:r>
        <w:rPr>
          <w:rFonts w:ascii="Times New Roman" w:hAnsi="Times New Roman"/>
          <w:lang w:val="pt-PT"/>
        </w:rPr>
        <w:t>Eredményjelentés</w:t>
      </w:r>
      <w:proofErr w:type="spellEnd"/>
      <w:r>
        <w:rPr>
          <w:rFonts w:ascii="Times New Roman" w:hAnsi="Times New Roman"/>
          <w:lang w:val="pt-PT"/>
        </w:rPr>
        <w:t xml:space="preserve"> a </w:t>
      </w:r>
      <w:proofErr w:type="spellStart"/>
      <w:r>
        <w:rPr>
          <w:rFonts w:ascii="Times New Roman" w:hAnsi="Times New Roman"/>
          <w:lang w:val="pt-PT"/>
        </w:rPr>
        <w:t>megújuló</w:t>
      </w:r>
      <w:proofErr w:type="spellEnd"/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energiákról</w:t>
      </w:r>
      <w:proofErr w:type="spellEnd"/>
      <w:r>
        <w:rPr>
          <w:rFonts w:ascii="Times New Roman" w:hAnsi="Times New Roman"/>
          <w:lang w:val="pt-PT"/>
        </w:rPr>
        <w:t>, 5. o.</w:t>
      </w:r>
    </w:p>
  </w:footnote>
  <w:footnote w:id="20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proofErr w:type="gramStart"/>
      <w:r>
        <w:rPr>
          <w:rFonts w:ascii="Times New Roman" w:hAnsi="Times New Roman"/>
          <w:lang w:val="pt-PT"/>
        </w:rPr>
        <w:t>COM(</w:t>
      </w:r>
      <w:proofErr w:type="gramEnd"/>
      <w:r>
        <w:rPr>
          <w:rFonts w:ascii="Times New Roman" w:hAnsi="Times New Roman"/>
          <w:lang w:val="pt-PT"/>
        </w:rPr>
        <w:t xml:space="preserve">2016) 860 final – </w:t>
      </w:r>
      <w:proofErr w:type="spellStart"/>
      <w:r>
        <w:rPr>
          <w:rFonts w:ascii="Times New Roman" w:hAnsi="Times New Roman"/>
          <w:lang w:val="pt-PT"/>
        </w:rPr>
        <w:t>Közlemény</w:t>
      </w:r>
      <w:proofErr w:type="spellEnd"/>
      <w:r>
        <w:rPr>
          <w:rFonts w:ascii="Times New Roman" w:hAnsi="Times New Roman"/>
          <w:lang w:val="pt-PT"/>
        </w:rPr>
        <w:t xml:space="preserve">: </w:t>
      </w:r>
      <w:proofErr w:type="spellStart"/>
      <w:r>
        <w:rPr>
          <w:rFonts w:ascii="Times New Roman" w:hAnsi="Times New Roman"/>
          <w:lang w:val="pt-PT"/>
        </w:rPr>
        <w:t>Tiszta</w:t>
      </w:r>
      <w:proofErr w:type="spellEnd"/>
      <w:r>
        <w:rPr>
          <w:rFonts w:ascii="Times New Roman" w:hAnsi="Times New Roman"/>
          <w:lang w:val="pt-PT"/>
        </w:rPr>
        <w:t xml:space="preserve"> energia </w:t>
      </w:r>
      <w:proofErr w:type="spellStart"/>
      <w:r>
        <w:rPr>
          <w:rFonts w:ascii="Times New Roman" w:hAnsi="Times New Roman"/>
          <w:lang w:val="pt-PT"/>
        </w:rPr>
        <w:t>minden</w:t>
      </w:r>
      <w:proofErr w:type="spellEnd"/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európain</w:t>
      </w:r>
      <w:r>
        <w:rPr>
          <w:rFonts w:ascii="Times New Roman" w:hAnsi="Times New Roman"/>
          <w:lang w:val="pt-PT"/>
        </w:rPr>
        <w:t>ak</w:t>
      </w:r>
      <w:proofErr w:type="spellEnd"/>
      <w:r>
        <w:rPr>
          <w:rFonts w:ascii="Times New Roman" w:hAnsi="Times New Roman"/>
          <w:lang w:val="pt-PT"/>
        </w:rPr>
        <w:t>, 9. o.</w:t>
      </w:r>
    </w:p>
  </w:footnote>
  <w:footnote w:id="21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Lásd</w:t>
      </w:r>
      <w:proofErr w:type="spellEnd"/>
      <w:r>
        <w:rPr>
          <w:rFonts w:ascii="Times New Roman" w:hAnsi="Times New Roman"/>
          <w:lang w:val="pt-PT"/>
        </w:rPr>
        <w:t xml:space="preserve">: </w:t>
      </w:r>
      <w:hyperlink r:id="rId2">
        <w:r>
          <w:rPr>
            <w:rStyle w:val="Hyperlink"/>
            <w:rFonts w:ascii="Times New Roman" w:hAnsi="Times New Roman"/>
            <w:lang w:val="pt-PT"/>
          </w:rPr>
          <w:t>http://ec.europa.eu/environment/eir/index_en.htm</w:t>
        </w:r>
      </w:hyperlink>
      <w:r>
        <w:rPr>
          <w:rFonts w:ascii="Times New Roman" w:hAnsi="Times New Roman"/>
          <w:lang w:val="pt-PT"/>
        </w:rPr>
        <w:t xml:space="preserve"> </w:t>
      </w:r>
    </w:p>
  </w:footnote>
  <w:footnote w:id="22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Lásd</w:t>
      </w:r>
      <w:proofErr w:type="spellEnd"/>
      <w:r>
        <w:rPr>
          <w:rFonts w:ascii="Times New Roman" w:hAnsi="Times New Roman"/>
          <w:lang w:val="pt-PT"/>
        </w:rPr>
        <w:t xml:space="preserve">: </w:t>
      </w:r>
      <w:hyperlink r:id="rId3">
        <w:r>
          <w:rPr>
            <w:rStyle w:val="Hyperlink"/>
            <w:rFonts w:ascii="Times New Roman" w:hAnsi="Times New Roman"/>
            <w:lang w:val="pt-PT"/>
          </w:rPr>
          <w:t>http://ec.europa.eu/environment/air/clean_air/dialogue.htm</w:t>
        </w:r>
      </w:hyperlink>
      <w:r>
        <w:rPr>
          <w:rFonts w:ascii="Times New Roman" w:hAnsi="Times New Roman"/>
          <w:lang w:val="pt-PT"/>
        </w:rPr>
        <w:t xml:space="preserve"> </w:t>
      </w:r>
    </w:p>
    <w:p w:rsidR="00D3421B" w:rsidRDefault="00D3421B">
      <w:pPr>
        <w:pStyle w:val="FootnoteText"/>
        <w:rPr>
          <w:lang w:val="pt-PT"/>
        </w:rPr>
      </w:pPr>
    </w:p>
  </w:footnote>
  <w:footnote w:id="23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proofErr w:type="gramStart"/>
      <w:r>
        <w:rPr>
          <w:rFonts w:ascii="Times New Roman" w:hAnsi="Times New Roman"/>
          <w:lang w:val="pt-PT"/>
        </w:rPr>
        <w:t>COM(</w:t>
      </w:r>
      <w:proofErr w:type="gramEnd"/>
      <w:r>
        <w:rPr>
          <w:rFonts w:ascii="Times New Roman" w:hAnsi="Times New Roman"/>
          <w:lang w:val="pt-PT"/>
        </w:rPr>
        <w:t>2013) 920 final.</w:t>
      </w:r>
    </w:p>
  </w:footnote>
  <w:footnote w:id="24">
    <w:p w:rsidR="00D3421B" w:rsidRDefault="00981AB9">
      <w:pPr>
        <w:pStyle w:val="FootnoteText"/>
        <w:rPr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Az (EU) 2016/1628 </w:t>
      </w:r>
      <w:proofErr w:type="spellStart"/>
      <w:r>
        <w:rPr>
          <w:rFonts w:ascii="Times New Roman" w:hAnsi="Times New Roman"/>
          <w:lang w:val="pt-PT"/>
        </w:rPr>
        <w:t>rendelet</w:t>
      </w:r>
      <w:proofErr w:type="spellEnd"/>
      <w:r>
        <w:rPr>
          <w:rFonts w:ascii="Times New Roman" w:hAnsi="Times New Roman"/>
          <w:lang w:val="pt-PT"/>
        </w:rPr>
        <w:t xml:space="preserve"> (HL L 252., 2016.9.16.).</w:t>
      </w:r>
    </w:p>
  </w:footnote>
  <w:footnote w:id="25">
    <w:p w:rsidR="00D3421B" w:rsidRDefault="00981AB9">
      <w:pPr>
        <w:pStyle w:val="NormalWeb"/>
        <w:spacing w:before="0" w:beforeAutospacing="0" w:after="0" w:afterAutospacing="0"/>
        <w:jc w:val="both"/>
        <w:rPr>
          <w:sz w:val="20"/>
          <w:szCs w:val="20"/>
          <w:lang w:val="pt-PT"/>
        </w:rPr>
      </w:pPr>
      <w:r>
        <w:rPr>
          <w:sz w:val="20"/>
          <w:szCs w:val="20"/>
          <w:vertAlign w:val="superscript"/>
        </w:rPr>
        <w:footnoteRef/>
      </w:r>
      <w:r>
        <w:rPr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A </w:t>
      </w:r>
      <w:proofErr w:type="spellStart"/>
      <w:r>
        <w:rPr>
          <w:sz w:val="20"/>
          <w:szCs w:val="20"/>
          <w:lang w:val="pt-PT"/>
        </w:rPr>
        <w:t>közös</w:t>
      </w:r>
      <w:proofErr w:type="spellEnd"/>
      <w:r>
        <w:rPr>
          <w:sz w:val="20"/>
          <w:szCs w:val="20"/>
          <w:lang w:val="pt-PT"/>
        </w:rPr>
        <w:t xml:space="preserve"> </w:t>
      </w:r>
      <w:proofErr w:type="spellStart"/>
      <w:r>
        <w:rPr>
          <w:sz w:val="20"/>
          <w:szCs w:val="20"/>
          <w:lang w:val="pt-PT"/>
        </w:rPr>
        <w:t>agrárpolitika</w:t>
      </w:r>
      <w:proofErr w:type="spellEnd"/>
      <w:r>
        <w:rPr>
          <w:sz w:val="20"/>
          <w:szCs w:val="20"/>
          <w:lang w:val="pt-PT"/>
        </w:rPr>
        <w:t xml:space="preserve"> </w:t>
      </w:r>
      <w:proofErr w:type="spellStart"/>
      <w:r>
        <w:rPr>
          <w:sz w:val="20"/>
          <w:szCs w:val="20"/>
          <w:lang w:val="pt-PT"/>
        </w:rPr>
        <w:t>finanszírozásáról</w:t>
      </w:r>
      <w:proofErr w:type="spellEnd"/>
      <w:r>
        <w:rPr>
          <w:sz w:val="20"/>
          <w:szCs w:val="20"/>
          <w:lang w:val="pt-PT"/>
        </w:rPr>
        <w:t xml:space="preserve">, </w:t>
      </w:r>
      <w:proofErr w:type="spellStart"/>
      <w:r>
        <w:rPr>
          <w:sz w:val="20"/>
          <w:szCs w:val="20"/>
          <w:lang w:val="pt-PT"/>
        </w:rPr>
        <w:t>irányításáról</w:t>
      </w:r>
      <w:proofErr w:type="spellEnd"/>
      <w:r>
        <w:rPr>
          <w:sz w:val="20"/>
          <w:szCs w:val="20"/>
          <w:lang w:val="pt-PT"/>
        </w:rPr>
        <w:t xml:space="preserve"> és </w:t>
      </w:r>
      <w:proofErr w:type="spellStart"/>
      <w:r>
        <w:rPr>
          <w:sz w:val="20"/>
          <w:szCs w:val="20"/>
          <w:lang w:val="pt-PT"/>
        </w:rPr>
        <w:t>monitoringjáról</w:t>
      </w:r>
      <w:proofErr w:type="spellEnd"/>
      <w:r>
        <w:rPr>
          <w:sz w:val="20"/>
          <w:szCs w:val="20"/>
          <w:lang w:val="pt-PT"/>
        </w:rPr>
        <w:t xml:space="preserve"> </w:t>
      </w:r>
      <w:proofErr w:type="spellStart"/>
      <w:r>
        <w:rPr>
          <w:sz w:val="20"/>
          <w:szCs w:val="20"/>
          <w:lang w:val="pt-PT"/>
        </w:rPr>
        <w:t>szóló</w:t>
      </w:r>
      <w:proofErr w:type="spellEnd"/>
      <w:r>
        <w:rPr>
          <w:sz w:val="20"/>
          <w:szCs w:val="20"/>
          <w:lang w:val="pt-PT"/>
        </w:rPr>
        <w:t xml:space="preserve"> 1306/2013/EU </w:t>
      </w:r>
      <w:proofErr w:type="spellStart"/>
      <w:r>
        <w:rPr>
          <w:sz w:val="20"/>
          <w:szCs w:val="20"/>
          <w:lang w:val="pt-PT"/>
        </w:rPr>
        <w:t>rendelet</w:t>
      </w:r>
      <w:proofErr w:type="spellEnd"/>
      <w:r>
        <w:rPr>
          <w:sz w:val="20"/>
          <w:szCs w:val="20"/>
          <w:lang w:val="pt-PT"/>
        </w:rPr>
        <w:t xml:space="preserve"> </w:t>
      </w:r>
      <w:proofErr w:type="spellStart"/>
      <w:r>
        <w:rPr>
          <w:sz w:val="20"/>
          <w:szCs w:val="20"/>
          <w:lang w:val="pt-PT"/>
        </w:rPr>
        <w:t>kölcsönös</w:t>
      </w:r>
      <w:proofErr w:type="spellEnd"/>
      <w:r>
        <w:rPr>
          <w:sz w:val="20"/>
          <w:szCs w:val="20"/>
          <w:lang w:val="pt-PT"/>
        </w:rPr>
        <w:t xml:space="preserve"> </w:t>
      </w:r>
      <w:proofErr w:type="spellStart"/>
      <w:r>
        <w:rPr>
          <w:sz w:val="20"/>
          <w:szCs w:val="20"/>
          <w:lang w:val="pt-PT"/>
        </w:rPr>
        <w:t>megf</w:t>
      </w:r>
      <w:r>
        <w:rPr>
          <w:sz w:val="20"/>
          <w:szCs w:val="20"/>
          <w:lang w:val="pt-PT"/>
        </w:rPr>
        <w:t>eleltetésről</w:t>
      </w:r>
      <w:proofErr w:type="spellEnd"/>
      <w:r>
        <w:rPr>
          <w:sz w:val="20"/>
          <w:szCs w:val="20"/>
          <w:lang w:val="pt-PT"/>
        </w:rPr>
        <w:t xml:space="preserve"> </w:t>
      </w:r>
      <w:proofErr w:type="spellStart"/>
      <w:r>
        <w:rPr>
          <w:sz w:val="20"/>
          <w:szCs w:val="20"/>
          <w:lang w:val="pt-PT"/>
        </w:rPr>
        <w:t>szóló</w:t>
      </w:r>
      <w:proofErr w:type="spellEnd"/>
      <w:r>
        <w:rPr>
          <w:sz w:val="20"/>
          <w:szCs w:val="20"/>
          <w:lang w:val="pt-PT"/>
        </w:rPr>
        <w:t xml:space="preserve"> II. </w:t>
      </w:r>
      <w:proofErr w:type="spellStart"/>
      <w:r>
        <w:rPr>
          <w:sz w:val="20"/>
          <w:szCs w:val="20"/>
          <w:lang w:val="pt-PT"/>
        </w:rPr>
        <w:t>melléklete</w:t>
      </w:r>
      <w:proofErr w:type="spellEnd"/>
      <w:r>
        <w:rPr>
          <w:sz w:val="20"/>
          <w:szCs w:val="20"/>
          <w:lang w:val="pt-PT"/>
        </w:rPr>
        <w:t>, HL L 347., 2013.12.20., 549. o.</w:t>
      </w:r>
    </w:p>
  </w:footnote>
  <w:footnote w:id="26">
    <w:p w:rsidR="00D3421B" w:rsidRDefault="00981AB9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 xml:space="preserve">Az </w:t>
      </w:r>
      <w:proofErr w:type="spellStart"/>
      <w:r>
        <w:rPr>
          <w:rFonts w:ascii="Times New Roman" w:hAnsi="Times New Roman" w:cs="Times New Roman"/>
          <w:lang w:val="pt-PT"/>
        </w:rPr>
        <w:t>eredeti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bizottsági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javaslat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végrehajtási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költségeire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vonatkozó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becslés</w:t>
      </w:r>
      <w:proofErr w:type="spellEnd"/>
      <w:r>
        <w:rPr>
          <w:rFonts w:ascii="Times New Roman" w:hAnsi="Times New Roman" w:cs="Times New Roman"/>
          <w:lang w:val="pt-PT"/>
        </w:rPr>
        <w:t xml:space="preserve"> a </w:t>
      </w:r>
      <w:proofErr w:type="spellStart"/>
      <w:r>
        <w:rPr>
          <w:rFonts w:ascii="Times New Roman" w:hAnsi="Times New Roman" w:cs="Times New Roman"/>
          <w:lang w:val="pt-PT"/>
        </w:rPr>
        <w:t>levegőszennyezésről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szóló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tematikus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stratégiával</w:t>
      </w:r>
      <w:proofErr w:type="spellEnd"/>
      <w:r>
        <w:rPr>
          <w:rFonts w:ascii="Times New Roman" w:hAnsi="Times New Roman" w:cs="Times New Roman"/>
          <w:lang w:val="pt-PT"/>
        </w:rPr>
        <w:t xml:space="preserve"> (TSAP) </w:t>
      </w:r>
      <w:proofErr w:type="spellStart"/>
      <w:r>
        <w:rPr>
          <w:rFonts w:ascii="Times New Roman" w:hAnsi="Times New Roman" w:cs="Times New Roman"/>
          <w:lang w:val="pt-PT"/>
        </w:rPr>
        <w:t>kapcsolatos</w:t>
      </w:r>
      <w:proofErr w:type="spellEnd"/>
      <w:r>
        <w:rPr>
          <w:rFonts w:ascii="Times New Roman" w:hAnsi="Times New Roman" w:cs="Times New Roman"/>
          <w:lang w:val="pt-PT"/>
        </w:rPr>
        <w:t xml:space="preserve"> 16. </w:t>
      </w:r>
      <w:proofErr w:type="spellStart"/>
      <w:r>
        <w:rPr>
          <w:rFonts w:ascii="Times New Roman" w:hAnsi="Times New Roman" w:cs="Times New Roman"/>
          <w:lang w:val="pt-PT"/>
        </w:rPr>
        <w:t>jelentésben</w:t>
      </w:r>
      <w:proofErr w:type="spellEnd"/>
      <w:r>
        <w:rPr>
          <w:rFonts w:ascii="Times New Roman" w:hAnsi="Times New Roman" w:cs="Times New Roman"/>
          <w:lang w:val="pt-PT"/>
        </w:rPr>
        <w:t xml:space="preserve"> (IIASA) </w:t>
      </w:r>
      <w:proofErr w:type="spellStart"/>
      <w:r>
        <w:rPr>
          <w:rFonts w:ascii="Times New Roman" w:hAnsi="Times New Roman" w:cs="Times New Roman"/>
          <w:lang w:val="pt-PT"/>
        </w:rPr>
        <w:t>található</w:t>
      </w:r>
      <w:proofErr w:type="spellEnd"/>
      <w:r>
        <w:rPr>
          <w:rFonts w:ascii="Times New Roman" w:hAnsi="Times New Roman" w:cs="Times New Roman"/>
          <w:lang w:val="pt-PT"/>
        </w:rPr>
        <w:t xml:space="preserve">.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jelent</w:t>
      </w:r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érhető</w:t>
      </w:r>
      <w:proofErr w:type="spellEnd"/>
      <w:r>
        <w:rPr>
          <w:rFonts w:ascii="Times New Roman" w:hAnsi="Times New Roman" w:cs="Times New Roman"/>
        </w:rPr>
        <w:t xml:space="preserve"> el: </w:t>
      </w:r>
      <w:hyperlink r:id="rId4">
        <w:r>
          <w:rPr>
            <w:rStyle w:val="Hyperlink"/>
            <w:rFonts w:ascii="Times New Roman" w:hAnsi="Times New Roman" w:cs="Times New Roman"/>
          </w:rPr>
          <w:t>http://www.iiasa.ac.at/web/home/research/researchPrograms/air/policy/TSAP-reports.html</w:t>
        </w:r>
      </w:hyperlink>
    </w:p>
  </w:footnote>
  <w:footnote w:id="27">
    <w:p w:rsidR="00D3421B" w:rsidRDefault="00981AB9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főre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jutó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érték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átlagérték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amely</w:t>
      </w:r>
      <w:proofErr w:type="spellEnd"/>
      <w:r>
        <w:rPr>
          <w:rFonts w:ascii="Times New Roman" w:hAnsi="Times New Roman"/>
        </w:rPr>
        <w:t xml:space="preserve"> ne</w:t>
      </w:r>
      <w:r>
        <w:rPr>
          <w:rFonts w:ascii="Times New Roman" w:hAnsi="Times New Roman"/>
        </w:rPr>
        <w:t xml:space="preserve">m </w:t>
      </w:r>
      <w:proofErr w:type="spellStart"/>
      <w:r>
        <w:rPr>
          <w:rFonts w:ascii="Times New Roman" w:hAnsi="Times New Roman"/>
        </w:rPr>
        <w:t>tükrözi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gazdasági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szereplők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régiók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közötti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költségbeli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különbségeket</w:t>
      </w:r>
      <w:proofErr w:type="spellEnd"/>
      <w:r>
        <w:rPr>
          <w:rFonts w:ascii="Times New Roman" w:hAnsi="Times New Roman"/>
        </w:rPr>
        <w:t>.</w:t>
      </w:r>
    </w:p>
  </w:footnote>
  <w:footnote w:id="28">
    <w:p w:rsidR="00D3421B" w:rsidRDefault="00981AB9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Bizottság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javaslatai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alábbi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érhetők</w:t>
      </w:r>
      <w:proofErr w:type="spellEnd"/>
      <w:r>
        <w:rPr>
          <w:rFonts w:ascii="Times New Roman" w:hAnsi="Times New Roman" w:cs="Times New Roman"/>
        </w:rPr>
        <w:t xml:space="preserve"> el:</w:t>
      </w:r>
      <w:hyperlink r:id="rId5" w:anchor="tab-0-0">
        <w:r>
          <w:rPr>
            <w:rFonts w:ascii="Times New Roman" w:hAnsi="Times New Roman" w:cs="Times New Roman"/>
          </w:rPr>
          <w:t>https://ec.europa.eu/clima/policies/s</w:t>
        </w:r>
        <w:r>
          <w:rPr>
            <w:rFonts w:ascii="Times New Roman" w:hAnsi="Times New Roman" w:cs="Times New Roman"/>
          </w:rPr>
          <w:t>trategies/2030_en#tab-0-0</w:t>
        </w:r>
      </w:hyperlink>
      <w:r>
        <w:rPr>
          <w:rFonts w:ascii="Times New Roman" w:hAnsi="Times New Roman" w:cs="Times New Roman"/>
        </w:rPr>
        <w:t xml:space="preserve">; a 2017-es </w:t>
      </w:r>
      <w:proofErr w:type="spellStart"/>
      <w:r>
        <w:rPr>
          <w:rFonts w:ascii="Times New Roman" w:hAnsi="Times New Roman" w:cs="Times New Roman"/>
        </w:rPr>
        <w:t>együttdöntési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megállapodások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hivatalos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elfogadása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még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folyamatban</w:t>
      </w:r>
      <w:proofErr w:type="spellEnd"/>
      <w:r>
        <w:rPr>
          <w:rFonts w:ascii="Times New Roman" w:hAnsi="Times New Roman" w:cs="Times New Roman"/>
        </w:rPr>
        <w:t xml:space="preserve"> van.</w:t>
      </w:r>
    </w:p>
  </w:footnote>
  <w:footnote w:id="29">
    <w:p w:rsidR="00D3421B" w:rsidRDefault="00981AB9">
      <w:pPr>
        <w:pStyle w:val="FootnoteText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További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részletekért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lásd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Nemzetközi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Alkalmazott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Rendszerelemzési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Intézet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által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uniós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levegőminőségi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kibocsátási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célkitűzések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teljesítésé</w:t>
      </w:r>
      <w:r>
        <w:rPr>
          <w:rFonts w:ascii="Times New Roman" w:hAnsi="Times New Roman" w:cs="Times New Roman"/>
        </w:rPr>
        <w:t>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elért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előrelépés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címmel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kiadott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jelentést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30">
    <w:p w:rsidR="00D3421B" w:rsidRDefault="00981AB9">
      <w:pPr>
        <w:pStyle w:val="FootnoteText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Bizottság</w:t>
      </w:r>
      <w:proofErr w:type="spellEnd"/>
      <w:r>
        <w:rPr>
          <w:rFonts w:ascii="Times New Roman" w:hAnsi="Times New Roman"/>
        </w:rPr>
        <w:t xml:space="preserve"> (EU) 2017/302 </w:t>
      </w:r>
      <w:proofErr w:type="spellStart"/>
      <w:r>
        <w:rPr>
          <w:rFonts w:ascii="Times New Roman" w:hAnsi="Times New Roman"/>
        </w:rPr>
        <w:t>végrehajtási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határozata</w:t>
      </w:r>
      <w:proofErr w:type="spellEnd"/>
      <w:r>
        <w:rPr>
          <w:rFonts w:ascii="Times New Roman" w:hAnsi="Times New Roman"/>
        </w:rPr>
        <w:t xml:space="preserve"> (HL L 43., 2017.2.21., 231. o.).</w:t>
      </w:r>
    </w:p>
  </w:footnote>
  <w:footnote w:id="31">
    <w:p w:rsidR="00D3421B" w:rsidRDefault="00981AB9">
      <w:pPr>
        <w:pStyle w:val="FootnoteTex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es-ES"/>
        </w:rPr>
        <w:t xml:space="preserve"> A </w:t>
      </w:r>
      <w:proofErr w:type="spellStart"/>
      <w:r>
        <w:rPr>
          <w:rFonts w:ascii="Times New Roman" w:hAnsi="Times New Roman"/>
          <w:lang w:val="es-ES"/>
        </w:rPr>
        <w:t>Tanács</w:t>
      </w:r>
      <w:proofErr w:type="spellEnd"/>
      <w:r>
        <w:rPr>
          <w:rFonts w:ascii="Times New Roman" w:hAnsi="Times New Roman"/>
          <w:lang w:val="es-ES"/>
        </w:rPr>
        <w:t xml:space="preserve"> 91/676/EGK </w:t>
      </w:r>
      <w:proofErr w:type="spellStart"/>
      <w:r>
        <w:rPr>
          <w:rFonts w:ascii="Times New Roman" w:hAnsi="Times New Roman"/>
          <w:lang w:val="es-ES"/>
        </w:rPr>
        <w:t>irányelve</w:t>
      </w:r>
      <w:proofErr w:type="spellEnd"/>
      <w:r>
        <w:rPr>
          <w:rFonts w:ascii="Times New Roman" w:hAnsi="Times New Roman"/>
          <w:lang w:val="es-ES"/>
        </w:rPr>
        <w:t xml:space="preserve"> (HL L 375., 1991.12.31., 1. o.).</w:t>
      </w:r>
    </w:p>
  </w:footnote>
  <w:footnote w:id="32">
    <w:p w:rsidR="00D3421B" w:rsidRDefault="00981AB9">
      <w:pPr>
        <w:pStyle w:val="FootnoteTex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Az</w:t>
      </w:r>
      <w:proofErr w:type="spellEnd"/>
      <w:r>
        <w:rPr>
          <w:rFonts w:ascii="Times New Roman" w:hAnsi="Times New Roman" w:cs="Times New Roman"/>
          <w:lang w:val="es-ES"/>
        </w:rPr>
        <w:t xml:space="preserve"> ETS-re </w:t>
      </w:r>
      <w:proofErr w:type="spellStart"/>
      <w:r>
        <w:rPr>
          <w:rFonts w:ascii="Times New Roman" w:hAnsi="Times New Roman" w:cs="Times New Roman"/>
          <w:lang w:val="es-ES"/>
        </w:rPr>
        <w:t>és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az</w:t>
      </w:r>
      <w:proofErr w:type="spellEnd"/>
      <w:r>
        <w:rPr>
          <w:rFonts w:ascii="Times New Roman" w:hAnsi="Times New Roman" w:cs="Times New Roman"/>
          <w:lang w:val="es-ES"/>
        </w:rPr>
        <w:t xml:space="preserve"> ETS-en </w:t>
      </w:r>
      <w:proofErr w:type="spellStart"/>
      <w:r>
        <w:rPr>
          <w:rFonts w:ascii="Times New Roman" w:hAnsi="Times New Roman" w:cs="Times New Roman"/>
          <w:lang w:val="es-ES"/>
        </w:rPr>
        <w:t>kívüli</w:t>
      </w:r>
      <w:proofErr w:type="spellEnd"/>
      <w:r>
        <w:rPr>
          <w:rFonts w:ascii="Times New Roman" w:hAnsi="Times New Roman" w:cs="Times New Roman"/>
          <w:lang w:val="es-ES"/>
        </w:rPr>
        <w:t xml:space="preserve"> (ESR) </w:t>
      </w:r>
      <w:proofErr w:type="spellStart"/>
      <w:r>
        <w:rPr>
          <w:rFonts w:ascii="Times New Roman" w:hAnsi="Times New Roman" w:cs="Times New Roman"/>
          <w:lang w:val="es-ES"/>
        </w:rPr>
        <w:t>ágazatokra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vonatkozó</w:t>
      </w:r>
      <w:proofErr w:type="spellEnd"/>
      <w:r>
        <w:rPr>
          <w:rFonts w:ascii="Times New Roman" w:hAnsi="Times New Roman" w:cs="Times New Roman"/>
          <w:lang w:val="es-ES"/>
        </w:rPr>
        <w:t xml:space="preserve">, a 2030-ig </w:t>
      </w:r>
      <w:proofErr w:type="spellStart"/>
      <w:r>
        <w:rPr>
          <w:rFonts w:ascii="Times New Roman" w:hAnsi="Times New Roman" w:cs="Times New Roman"/>
          <w:lang w:val="es-ES"/>
        </w:rPr>
        <w:t>terjedő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időszakra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szóló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bizottsági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javaslatok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hyperlink r:id="rId6">
        <w:r>
          <w:rPr>
            <w:rStyle w:val="Hyperlink"/>
            <w:rFonts w:ascii="Times New Roman" w:hAnsi="Times New Roman" w:cs="Times New Roman"/>
            <w:lang w:val="es-ES"/>
          </w:rPr>
          <w:t>https://ec.europa.eu/clima/policies/strategies/2030_en</w:t>
        </w:r>
      </w:hyperlink>
      <w:r>
        <w:rPr>
          <w:rFonts w:ascii="Times New Roman" w:hAnsi="Times New Roman" w:cs="Times New Roman"/>
          <w:lang w:val="es-ES"/>
        </w:rPr>
        <w:t xml:space="preserve"> </w:t>
      </w:r>
    </w:p>
  </w:footnote>
  <w:footnote w:id="33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Lásd</w:t>
      </w:r>
      <w:proofErr w:type="spellEnd"/>
      <w:r>
        <w:rPr>
          <w:rFonts w:ascii="Times New Roman" w:hAnsi="Times New Roman" w:cs="Times New Roman"/>
          <w:lang w:val="pt-PT"/>
        </w:rPr>
        <w:t xml:space="preserve">: </w:t>
      </w:r>
      <w:hyperlink r:id="rId7">
        <w:r>
          <w:rPr>
            <w:rStyle w:val="Hyperlink"/>
            <w:rFonts w:ascii="Times New Roman" w:hAnsi="Times New Roman" w:cs="Times New Roman"/>
            <w:lang w:val="pt-PT"/>
          </w:rPr>
          <w:t>https://cohesiondata.ec.europa.eu/</w:t>
        </w:r>
      </w:hyperlink>
      <w:r>
        <w:rPr>
          <w:rFonts w:ascii="Times New Roman" w:hAnsi="Times New Roman" w:cs="Times New Roman"/>
          <w:lang w:val="pt-PT"/>
        </w:rPr>
        <w:t xml:space="preserve"> </w:t>
      </w:r>
    </w:p>
  </w:footnote>
  <w:footnote w:id="34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lang w:val="pt-PT"/>
        </w:rPr>
        <w:t xml:space="preserve"> A </w:t>
      </w:r>
      <w:r>
        <w:rPr>
          <w:rFonts w:ascii="Times New Roman" w:hAnsi="Times New Roman" w:cs="Times New Roman"/>
          <w:i/>
          <w:lang w:val="pt-PT"/>
        </w:rPr>
        <w:t xml:space="preserve">Ricardo </w:t>
      </w:r>
      <w:proofErr w:type="spellStart"/>
      <w:r>
        <w:rPr>
          <w:rFonts w:ascii="Times New Roman" w:hAnsi="Times New Roman" w:cs="Times New Roman"/>
          <w:i/>
          <w:lang w:val="pt-PT"/>
        </w:rPr>
        <w:t>Energy</w:t>
      </w:r>
      <w:proofErr w:type="spellEnd"/>
      <w:r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PT"/>
        </w:rPr>
        <w:t>and</w:t>
      </w:r>
      <w:proofErr w:type="spellEnd"/>
      <w:r>
        <w:rPr>
          <w:rFonts w:ascii="Times New Roman" w:hAnsi="Times New Roman" w:cs="Times New Roman"/>
          <w:i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PT"/>
        </w:rPr>
        <w:t>Environment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vállalat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közeljövőben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megjelenő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jelentése</w:t>
      </w:r>
      <w:proofErr w:type="spellEnd"/>
      <w:r>
        <w:rPr>
          <w:rFonts w:ascii="Times New Roman" w:hAnsi="Times New Roman" w:cs="Times New Roman"/>
          <w:lang w:val="pt-PT"/>
        </w:rPr>
        <w:t xml:space="preserve"> a </w:t>
      </w:r>
      <w:proofErr w:type="spellStart"/>
      <w:r>
        <w:rPr>
          <w:rFonts w:ascii="Times New Roman" w:hAnsi="Times New Roman" w:cs="Times New Roman"/>
          <w:lang w:val="pt-PT"/>
        </w:rPr>
        <w:t>levegőminőség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nyomonkövetési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módszertanáról</w:t>
      </w:r>
      <w:proofErr w:type="spellEnd"/>
      <w:r>
        <w:rPr>
          <w:rFonts w:ascii="Times New Roman" w:hAnsi="Times New Roman" w:cs="Times New Roman"/>
          <w:lang w:val="pt-PT"/>
        </w:rPr>
        <w:t>.</w:t>
      </w:r>
    </w:p>
  </w:footnote>
  <w:footnote w:id="35">
    <w:p w:rsidR="00D3421B" w:rsidRDefault="00981AB9">
      <w:pPr>
        <w:pStyle w:val="FootnoteText"/>
        <w:spacing w:after="120"/>
        <w:rPr>
          <w:lang w:val="pt-PT"/>
        </w:rPr>
      </w:pPr>
      <w:r>
        <w:rPr>
          <w:vertAlign w:val="superscript"/>
        </w:rPr>
        <w:footnoteRef/>
      </w:r>
      <w:r>
        <w:rPr>
          <w:lang w:val="pt-PT"/>
        </w:rPr>
        <w:t xml:space="preserve"> </w:t>
      </w:r>
      <w:r>
        <w:rPr>
          <w:lang w:val="pt-PT"/>
        </w:rPr>
        <w:tab/>
      </w:r>
      <w:proofErr w:type="gramStart"/>
      <w:r>
        <w:rPr>
          <w:lang w:val="pt-PT"/>
        </w:rPr>
        <w:t>COM(</w:t>
      </w:r>
      <w:proofErr w:type="gramEnd"/>
      <w:r>
        <w:rPr>
          <w:lang w:val="pt-PT"/>
        </w:rPr>
        <w:t>2018) 321 final.</w:t>
      </w:r>
    </w:p>
  </w:footnote>
  <w:footnote w:id="36">
    <w:p w:rsidR="00D3421B" w:rsidRDefault="00981AB9">
      <w:pPr>
        <w:pStyle w:val="FootnoteTex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CZ, FI, </w:t>
      </w:r>
      <w:proofErr w:type="gramStart"/>
      <w:r>
        <w:rPr>
          <w:rFonts w:ascii="Times New Roman" w:hAnsi="Times New Roman"/>
          <w:lang w:val="pt-PT"/>
        </w:rPr>
        <w:t>DE, NL</w:t>
      </w:r>
      <w:proofErr w:type="gramEnd"/>
      <w:r>
        <w:rPr>
          <w:rFonts w:ascii="Times New Roman" w:hAnsi="Times New Roman"/>
          <w:lang w:val="pt-PT"/>
        </w:rPr>
        <w:t xml:space="preserve">, RO, </w:t>
      </w:r>
      <w:r>
        <w:rPr>
          <w:rFonts w:ascii="Times New Roman" w:hAnsi="Times New Roman"/>
          <w:lang w:val="pt-PT"/>
        </w:rPr>
        <w:t xml:space="preserve">SK, ES, SE. </w:t>
      </w:r>
      <w:proofErr w:type="spellStart"/>
      <w:r>
        <w:rPr>
          <w:rFonts w:ascii="Times New Roman" w:hAnsi="Times New Roman"/>
          <w:lang w:val="pt-PT"/>
        </w:rPr>
        <w:t>Lásd</w:t>
      </w:r>
      <w:proofErr w:type="spellEnd"/>
      <w:r>
        <w:rPr>
          <w:rFonts w:ascii="Times New Roman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még</w:t>
      </w:r>
      <w:proofErr w:type="spellEnd"/>
      <w:r>
        <w:rPr>
          <w:rFonts w:ascii="Times New Roman" w:hAnsi="Times New Roman"/>
          <w:lang w:val="pt-PT"/>
        </w:rPr>
        <w:t xml:space="preserve">: </w:t>
      </w:r>
      <w:hyperlink r:id="rId8">
        <w:r>
          <w:rPr>
            <w:rStyle w:val="Hyperlink"/>
            <w:rFonts w:ascii="Times New Roman" w:hAnsi="Times New Roman"/>
            <w:lang w:val="pt-PT"/>
          </w:rPr>
          <w:t>http://www.unece.org/env/lrtap/status/lrtap_s.html</w:t>
        </w:r>
      </w:hyperlink>
      <w:r>
        <w:rPr>
          <w:rFonts w:ascii="Times New Roman" w:hAnsi="Times New Roman"/>
          <w:lang w:val="pt-PT"/>
        </w:rPr>
        <w:t xml:space="preserve"> </w:t>
      </w:r>
    </w:p>
    <w:p w:rsidR="00D3421B" w:rsidRDefault="00D3421B">
      <w:pPr>
        <w:pStyle w:val="FootnoteText"/>
        <w:rPr>
          <w:lang w:val="pt-PT"/>
        </w:rPr>
      </w:pPr>
    </w:p>
  </w:footnote>
  <w:footnote w:id="37">
    <w:p w:rsidR="00D3421B" w:rsidRDefault="00981AB9">
      <w:pPr>
        <w:pStyle w:val="FootnoteText"/>
        <w:rPr>
          <w:lang w:val="pt-PT"/>
        </w:rPr>
      </w:pPr>
      <w:r>
        <w:rPr>
          <w:vertAlign w:val="superscript"/>
        </w:rPr>
        <w:footnoteRef/>
      </w:r>
      <w:r>
        <w:rPr>
          <w:lang w:val="pt-PT"/>
        </w:rPr>
        <w:t xml:space="preserve"> </w:t>
      </w:r>
      <w:proofErr w:type="gramStart"/>
      <w:r>
        <w:rPr>
          <w:lang w:val="pt-PT"/>
        </w:rPr>
        <w:t>COM(</w:t>
      </w:r>
      <w:proofErr w:type="gramEnd"/>
      <w:r>
        <w:rPr>
          <w:lang w:val="pt-PT"/>
        </w:rPr>
        <w:t>2018) 330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B9" w:rsidRPr="00981AB9" w:rsidRDefault="00981AB9" w:rsidP="00981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B9" w:rsidRPr="00981AB9" w:rsidRDefault="00981AB9" w:rsidP="00981AB9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B9" w:rsidRPr="00981AB9" w:rsidRDefault="00981AB9" w:rsidP="00981AB9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1B" w:rsidRDefault="00D342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1B" w:rsidRDefault="00D342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1B" w:rsidRDefault="00D34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6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FB04E9"/>
    <w:multiLevelType w:val="hybridMultilevel"/>
    <w:tmpl w:val="00A0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59B3"/>
    <w:multiLevelType w:val="hybridMultilevel"/>
    <w:tmpl w:val="CC6A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D2CB0"/>
    <w:multiLevelType w:val="hybridMultilevel"/>
    <w:tmpl w:val="A2FE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This document corrects document COM (2018) 446 final of 7.6.2018._x000b__x000b_Concerns all language versions._x000b__x000b_Replacement of figure 2a on page 7 and of figure 5 on page 12_x000b_The text shall read as follows:_x000b_"/>
    <w:docVar w:name="LW_COVERPAGE_EXISTS" w:val="True"/>
    <w:docVar w:name="LW_COVERPAGE_GUID" w:val="2C5C5771-81F2-40B2-80B3-1663559C01CB"/>
    <w:docVar w:name="LW_COVERPAGE_TYPE" w:val="1"/>
    <w:docVar w:name="LW_CROSSREFERENCE" w:val="&lt;UNUSED&gt;"/>
    <w:docVar w:name="LW_DocType" w:val="NORMAL"/>
    <w:docVar w:name="LW_EMISSION" w:val="2019.1.30."/>
    <w:docVar w:name="LW_EMISSION_ISODATE" w:val="2019-01-30"/>
    <w:docVar w:name="LW_EMISSION_LOCATION" w:val="BRX"/>
    <w:docVar w:name="LW_EMISSION_PREFIX" w:val="Brüsszel, "/>
    <w:docVar w:name="LW_EMISSION_SUFFIX" w:val=" "/>
    <w:docVar w:name="LW_ID_DOCTYPE_NONLW" w:val="CP-008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/2"/>
    <w:docVar w:name="LW_REF.INST.NEW_TEXT" w:val="(2018) 4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ELS\u336? KITEKINTÉS A TISZTA LEVEG\u336?VEL KAPCSOLATBAN"/>
    <w:docVar w:name="LW_TYPE.DOC.CP" w:val="A BIZOTTSÁG JELENTÉSE AZ EURÓPAI PARLAMENTNEK, A TANÁCSNAK, AZ EURÓPAI GAZDASÁGI ÉS SZOCIÁLIS BIZOTTSÁGNAK ÉS A RÉGIÓK BIZOTTSÁGÁNAK"/>
  </w:docVars>
  <w:rsids>
    <w:rsidRoot w:val="00D3421B"/>
    <w:rsid w:val="00981AB9"/>
    <w:rsid w:val="00D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4A8738-70D9-46FE-9194-86CE458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lang w:val="fr-FR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fr-FR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png"/><Relationship Id="rId28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emf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env/lrtap/status/lrtap_s.html" TargetMode="External"/><Relationship Id="rId3" Type="http://schemas.openxmlformats.org/officeDocument/2006/relationships/hyperlink" Target="http://ec.europa.eu/environment/air/clean_air/dialogue.htm" TargetMode="External"/><Relationship Id="rId7" Type="http://schemas.openxmlformats.org/officeDocument/2006/relationships/hyperlink" Target="https://cohesiondata.ec.europa.eu/" TargetMode="External"/><Relationship Id="rId2" Type="http://schemas.openxmlformats.org/officeDocument/2006/relationships/hyperlink" Target="http://ec.europa.eu/environment/eir/index_en.htm" TargetMode="External"/><Relationship Id="rId1" Type="http://schemas.openxmlformats.org/officeDocument/2006/relationships/hyperlink" Target="http://ec.europa.eu/environment/air/clean_air/review.htm" TargetMode="External"/><Relationship Id="rId6" Type="http://schemas.openxmlformats.org/officeDocument/2006/relationships/hyperlink" Target="https://ec.europa.eu/clima/policies/strategies/2030_en" TargetMode="External"/><Relationship Id="rId5" Type="http://schemas.openxmlformats.org/officeDocument/2006/relationships/hyperlink" Target="https://ec.europa.eu/clima/policies/strategies/2030_en" TargetMode="External"/><Relationship Id="rId4" Type="http://schemas.openxmlformats.org/officeDocument/2006/relationships/hyperlink" Target="http://www.iiasa.ac.at/web/home/research/researchPrograms/air/policy/TSAP-repo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9D63-9597-4CA5-819C-D03A6CDB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4742</Words>
  <Characters>33910</Characters>
  <Application>Microsoft Office Word</Application>
  <DocSecurity>0</DocSecurity>
  <Lines>639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BALSA GARCIA Maria Del Carmen (SG)</cp:lastModifiedBy>
  <cp:revision>16</cp:revision>
  <cp:lastPrinted>2018-05-25T05:58:00Z</cp:lastPrinted>
  <dcterms:created xsi:type="dcterms:W3CDTF">2019-01-10T12:42:00Z</dcterms:created>
  <dcterms:modified xsi:type="dcterms:W3CDTF">2019-01-29T14:28:00Z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