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31400B8-B561-4AA8-9DB8-2CAE74C2792C" style="width:450.35pt;height:307.7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709" w:footer="709" w:gutter="0"/>
          <w:pgNumType w:start="1"/>
          <w:cols w:space="720"/>
          <w:docGrid w:linePitch="326"/>
        </w:sectPr>
      </w:pPr>
    </w:p>
    <w:p>
      <w:pPr>
        <w:pStyle w:val="Style1"/>
        <w:numPr>
          <w:ilvl w:val="0"/>
          <w:numId w:val="22"/>
        </w:numPr>
        <w:rPr>
          <w:noProof/>
        </w:rPr>
      </w:pPr>
      <w:bookmarkStart w:id="1" w:name="_GoBack"/>
      <w:bookmarkEnd w:id="1"/>
      <w:r>
        <w:rPr>
          <w:noProof/>
        </w:rPr>
        <w:lastRenderedPageBreak/>
        <w:t>Įvadas</w:t>
      </w:r>
    </w:p>
    <w:p>
      <w:pPr>
        <w:spacing w:after="240"/>
        <w:jc w:val="both"/>
        <w:rPr>
          <w:noProof/>
        </w:rPr>
      </w:pPr>
      <w:r>
        <w:rPr>
          <w:noProof/>
        </w:rPr>
        <w:t>2012 m. liepos 4 d. Reglamente dėl ne biržos išvestinių finansinių priemonių, pagrindinių sandorio šalių ir sandorių duomenų saugyklų (ERIR), be kita ko, reikalaujama atlikti visų standartizuotų ne biržos išvestinių finansinių priemonių sutarčių centrinę tarpuskaitą, apie visas išvestinių finansinių priemonių sutartis pranešti sandorių duomenų saugykloms ir sandoriams, kurių centrinė tarpuskaita neatliekama, taikyti rizikos mažinimo būdus.</w:t>
      </w:r>
    </w:p>
    <w:p>
      <w:pPr>
        <w:spacing w:after="240"/>
        <w:jc w:val="both"/>
        <w:rPr>
          <w:noProof/>
        </w:rPr>
      </w:pPr>
      <w:r>
        <w:rPr>
          <w:noProof/>
        </w:rPr>
        <w:t>Pagal ERIR 1 straipsnio 4 dalį ERIR netaikomas Sąjungos centriniams bankams ir Sąjungos valstybės įstaigoms, įpareigotoms valdyti arba dalyvaujančioms valdant valstybės skolą, todėl minėtos prievolės joms netaikomos.</w:t>
      </w:r>
    </w:p>
    <w:p>
      <w:pPr>
        <w:spacing w:after="240"/>
        <w:jc w:val="both"/>
        <w:rPr>
          <w:noProof/>
        </w:rPr>
      </w:pPr>
      <w:r>
        <w:rPr>
          <w:noProof/>
        </w:rPr>
        <w:t>Pagal ERIR 1 straipsnio 6 dalį Europos Komisija yra įgaliota deleguotaisiais aktais iš dalies keisti subjektų, kuriems ERIR nėra taikomas, sąrašą, jei, išanalizavusi centrinių bankų ir valstybės įstaigų, valdančių valstybės skolą, traktavimą tarptautiniu lygmeniu kitų šalių teisinėse sistemose ir Europos Parlamentui ir Tarybai pranešusi rezultatus, Komisija padaro išvadą, kad šių trečiųjų šalių centrinių bankų ir valstybės įstaigų, įpareigotų valdyti arba dalyvaujančių valdant valstybės skolą, fiskalinei atsakomybei būtina netaikyti tarpuskaitos bei ataskaitų teikimo prievolės ir rizikos mažinimo būdų.</w:t>
      </w:r>
    </w:p>
    <w:p>
      <w:pPr>
        <w:pStyle w:val="Style1"/>
        <w:numPr>
          <w:ilvl w:val="0"/>
          <w:numId w:val="22"/>
        </w:numPr>
        <w:rPr>
          <w:noProof/>
        </w:rPr>
      </w:pPr>
      <w:r>
        <w:rPr>
          <w:noProof/>
        </w:rPr>
        <w:t>Ankstesni Komisijos vertinimai</w:t>
      </w:r>
    </w:p>
    <w:p>
      <w:pPr>
        <w:spacing w:after="240"/>
        <w:jc w:val="both"/>
        <w:rPr>
          <w:noProof/>
        </w:rPr>
      </w:pPr>
      <w:r>
        <w:rPr>
          <w:noProof/>
        </w:rPr>
        <w:t xml:space="preserve">Komisija atliko dvi centrinių bankų ir kitų valstybės įstaigų, įpareigotų valdyti arba dalyvaujančių valdant valstybės skolą, traktavimo tarptautiniu lygmeniu, kai jie vykdo ne biržos išvestinių finansinių priemonių sandorius, peržiūras. </w:t>
      </w:r>
    </w:p>
    <w:p>
      <w:pPr>
        <w:spacing w:after="240"/>
        <w:jc w:val="both"/>
        <w:rPr>
          <w:noProof/>
        </w:rPr>
      </w:pPr>
      <w:r>
        <w:rPr>
          <w:noProof/>
        </w:rPr>
        <w:t>Atliekant pirmą peržiūrą nagrinėtos Japonijos, Šveicarijos, Jungtinių Valstijų, Australijos, Kanados ir Honkongo teisinės sistemos ir 2013 m. padaryta išvada</w:t>
      </w:r>
      <w:r>
        <w:rPr>
          <w:rStyle w:val="FootnoteReference"/>
          <w:noProof/>
        </w:rPr>
        <w:footnoteReference w:id="1"/>
      </w:r>
      <w:r>
        <w:rPr>
          <w:noProof/>
        </w:rPr>
        <w:t>, kad Japonija ir Jungtinės Valstijos atitiko sąlygas, kad būtų galima centrinius bankus ir valstybės įstaigas, atsakingus už valstybės skolos valdymą šių dviejų jurisdikcijų šalyse, įtraukti į ERIR</w:t>
      </w:r>
      <w:r>
        <w:rPr>
          <w:rStyle w:val="FootnoteReference"/>
          <w:noProof/>
        </w:rPr>
        <w:footnoteReference w:id="2"/>
      </w:r>
      <w:r>
        <w:rPr>
          <w:noProof/>
        </w:rPr>
        <w:t xml:space="preserve"> 1 straipsnio 4 dalyje pateiktą subjektų, kuriems netaikomas ERIR, sąrašą. </w:t>
      </w:r>
    </w:p>
    <w:p>
      <w:pPr>
        <w:spacing w:after="240"/>
        <w:jc w:val="both"/>
        <w:rPr>
          <w:b/>
          <w:bCs/>
          <w:noProof/>
        </w:rPr>
      </w:pPr>
      <w:r>
        <w:rPr>
          <w:noProof/>
        </w:rPr>
        <w:t>Atliekant antrą peržiūrą nagrinėtos Australijos, Kanados, Honkongo, Meksikos, Singapūro ir Šveicarijos teisinės sistemos ir 2017 m. padaryta išvada</w:t>
      </w:r>
      <w:r>
        <w:rPr>
          <w:rStyle w:val="FootnoteReference"/>
          <w:noProof/>
        </w:rPr>
        <w:footnoteReference w:id="3"/>
      </w:r>
      <w:r>
        <w:rPr>
          <w:noProof/>
        </w:rPr>
        <w:t>, kad visų šių jurisdikcijų šalys atitiko sąlygas, kad būtų galima centrinius bankus ir valstybės įstaigas, atsakingus už valstybės skolos valdymą šių jurisdikcijų šalyse, įtraukti į ERIR</w:t>
      </w:r>
      <w:r>
        <w:rPr>
          <w:rStyle w:val="FootnoteReference"/>
          <w:noProof/>
        </w:rPr>
        <w:footnoteReference w:id="4"/>
      </w:r>
      <w:r>
        <w:rPr>
          <w:noProof/>
        </w:rPr>
        <w:t xml:space="preserve"> 1 straipsnio 4 dalyje pateiktą subjektų, kuriems netaikomas ERIR, sąrašą. </w:t>
      </w:r>
    </w:p>
    <w:p>
      <w:pPr>
        <w:pStyle w:val="Heading1"/>
        <w:keepNext/>
        <w:numPr>
          <w:ilvl w:val="0"/>
          <w:numId w:val="22"/>
        </w:numPr>
        <w:tabs>
          <w:tab w:val="left" w:pos="480"/>
        </w:tabs>
        <w:spacing w:before="240" w:after="240"/>
        <w:jc w:val="both"/>
        <w:rPr>
          <w:b/>
          <w:bCs/>
          <w:smallCaps/>
          <w:noProof/>
        </w:rPr>
      </w:pPr>
      <w:r>
        <w:rPr>
          <w:b/>
          <w:smallCaps/>
          <w:noProof/>
        </w:rPr>
        <w:t>Dabartinis vertinimas</w:t>
      </w:r>
    </w:p>
    <w:p>
      <w:pPr>
        <w:spacing w:after="240"/>
        <w:jc w:val="both"/>
        <w:rPr>
          <w:noProof/>
        </w:rPr>
      </w:pPr>
      <w:r>
        <w:rPr>
          <w:noProof/>
        </w:rPr>
        <w:t>Šis vertinimas pradėtas rengti dėl to, kad 2017 m. kovo 29 d. Jungtinė Karalystė pranešė apie ketinimą išstoti iš Sąjungos pagal Europos Sąjungos sutarties 50 straipsnį. Kai Jungtinei Karalystei ir joje nebebus taikoma Sąjungos teisė, Sąjungos centriniams bankams ir valstybės įstaigoms, įpareigotoms valdyti arba dalyvaujančioms valdant valstybės skolą, taikoma išimtis pagal ERIR 1 straipsnio 4 dalies a punktą nebebus taikoma nei Jungtinės Karalystės centriniam bankui, nei jos valstybės skolos valdymo įstaigoms.</w:t>
      </w:r>
    </w:p>
    <w:p>
      <w:pPr>
        <w:spacing w:after="240"/>
        <w:jc w:val="both"/>
        <w:rPr>
          <w:noProof/>
        </w:rPr>
      </w:pPr>
      <w:r>
        <w:rPr>
          <w:noProof/>
        </w:rPr>
        <w:t xml:space="preserve">Iki Jungtinės Karalystės išstojimo iš Sąjungos ERIR, įskaitant jo nuostatas dėl tarpuskaitos ir ataskaitų teikimo prievolių bei rizikos mažinimo būdų, Jungtinėje Karalystėje taikomas tiesiogiai. Pagal 2018 m. (išstojimo iš) Europos Sąjungos aktą Jungtinė Karalystė 2018 m. birželio 26 d. įtraukė ERIR nuostatas į JK nacionalinę teisę ir jos įsigalioja nuo Jungtinės Karalystės išstojimo iš Sąjungos dienos. </w:t>
      </w:r>
      <w:r>
        <w:rPr>
          <w:noProof/>
          <w:color w:val="000000"/>
        </w:rPr>
        <w:t>Kad pašalintų dėl ERIR įtraukimo į JK nacionalinę teisę atsiradusias problemas ir trūkumus, Jungtinė Karalystė iš dalies pakeis</w:t>
      </w:r>
      <w:r>
        <w:rPr>
          <w:rStyle w:val="FootnoteReference"/>
          <w:noProof/>
        </w:rPr>
        <w:footnoteReference w:id="5"/>
      </w:r>
      <w:r>
        <w:rPr>
          <w:noProof/>
          <w:color w:val="000000"/>
        </w:rPr>
        <w:t xml:space="preserve"> arba jau iš dalies pakeitė</w:t>
      </w:r>
      <w:r>
        <w:rPr>
          <w:rStyle w:val="FootnoteReference"/>
          <w:noProof/>
        </w:rPr>
        <w:footnoteReference w:id="6"/>
      </w:r>
      <w:r>
        <w:rPr>
          <w:noProof/>
          <w:color w:val="000000"/>
        </w:rPr>
        <w:t xml:space="preserve"> 2000 m. Finansinių paslaugų ir rinkų aktą (FSMA) ir JK nacionalinės teisės aktą, į kurį įtrauktos ERIR nuostatos, pvz., perduodama Komisijai arba Europos vertybinių popierių ir rinkų institucijai (ESMA) suteiktas pareigas ir užduotis Iždo departamentui arba kitoms JK valdžios institucijoms. </w:t>
      </w:r>
      <w:r>
        <w:rPr>
          <w:noProof/>
        </w:rPr>
        <w:t>Vertinimas šioje ataskaitoje grindžiamas šia teisine sistema.</w:t>
      </w:r>
    </w:p>
    <w:p>
      <w:pPr>
        <w:pStyle w:val="Style1"/>
        <w:numPr>
          <w:ilvl w:val="0"/>
          <w:numId w:val="22"/>
        </w:numPr>
        <w:rPr>
          <w:noProof/>
        </w:rPr>
      </w:pPr>
      <w:r>
        <w:rPr>
          <w:noProof/>
        </w:rPr>
        <w:t>Ne biržos išvestinių finansinių priemonių rinkų reformų pažanga</w:t>
      </w:r>
    </w:p>
    <w:p>
      <w:pPr>
        <w:pStyle w:val="HeaderCoverPage"/>
        <w:numPr>
          <w:ilvl w:val="0"/>
          <w:numId w:val="0"/>
        </w:numPr>
        <w:rPr>
          <w:rFonts w:eastAsia="MS Gothic"/>
          <w:noProof/>
          <w:color w:val="000000"/>
        </w:rPr>
      </w:pPr>
      <w:r>
        <w:rPr>
          <w:noProof/>
          <w:u w:val="single"/>
        </w:rPr>
        <w:t>Tarpuskaitos prievolė</w:t>
      </w:r>
    </w:p>
    <w:p>
      <w:pPr>
        <w:jc w:val="both"/>
        <w:rPr>
          <w:rFonts w:eastAsia="MS Gothic"/>
          <w:noProof/>
          <w:color w:val="000000"/>
          <w:sz w:val="22"/>
          <w:szCs w:val="22"/>
        </w:rPr>
      </w:pPr>
      <w:r>
        <w:rPr>
          <w:noProof/>
        </w:rPr>
        <w:t>Remiantis JK nacionalinės teisės akto, į kurį įtrauktos ERIR nuostatos, projektu, bus išlaikyta prievolė atlikti ne biržos išvestinių finansinių priemonių sandorių tarpuskaitą.</w:t>
      </w:r>
      <w:r>
        <w:rPr>
          <w:noProof/>
          <w:color w:val="000000"/>
          <w:sz w:val="22"/>
        </w:rPr>
        <w:t xml:space="preserve"> </w:t>
      </w:r>
      <w:r>
        <w:rPr>
          <w:noProof/>
          <w:color w:val="000000"/>
        </w:rPr>
        <w:t xml:space="preserve">Tarpuskaitos prievolė iš esmės būtų taikoma visiems ne biržos išvestinių finansinių priemonių sandoriams, taikant išimtis, panašias į pagal ERIR galiojančias išimtis. </w:t>
      </w:r>
    </w:p>
    <w:p>
      <w:pPr>
        <w:rPr>
          <w:rFonts w:eastAsia="MS Gothic"/>
          <w:noProof/>
          <w:u w:val="single"/>
        </w:rPr>
      </w:pPr>
    </w:p>
    <w:p>
      <w:pPr>
        <w:spacing w:after="240"/>
        <w:jc w:val="both"/>
        <w:rPr>
          <w:rFonts w:eastAsia="MS Gothic"/>
          <w:noProof/>
          <w:u w:val="single"/>
        </w:rPr>
      </w:pPr>
      <w:r>
        <w:rPr>
          <w:noProof/>
          <w:u w:val="single"/>
        </w:rPr>
        <w:t>Prievolė teikti ataskaitas</w:t>
      </w:r>
    </w:p>
    <w:p>
      <w:pPr>
        <w:spacing w:after="240"/>
        <w:jc w:val="both"/>
        <w:rPr>
          <w:rFonts w:eastAsia="MS Gothic"/>
          <w:noProof/>
          <w:u w:val="single"/>
        </w:rPr>
      </w:pPr>
      <w:r>
        <w:rPr>
          <w:noProof/>
        </w:rPr>
        <w:t>Pagal JK nacionalinės teisės akto, į kurį įtrauktos ERIR nuostatos, projektą bus išlaikyta prievolė teikti ataskaitas apie visus ne biržos išvestinių finansinių priemonių sandorius ir taisyklės, pagal kurias nustatoma, kuriai sandorio šaliai tenka atsakomybė pranešti apie sandorį ir kokia informacija turi būti pateikta.</w:t>
      </w:r>
    </w:p>
    <w:p>
      <w:pPr>
        <w:spacing w:after="240"/>
        <w:jc w:val="both"/>
        <w:rPr>
          <w:rFonts w:eastAsia="MS Gothic"/>
          <w:noProof/>
          <w:u w:val="single"/>
        </w:rPr>
      </w:pPr>
      <w:r>
        <w:rPr>
          <w:noProof/>
          <w:u w:val="single"/>
        </w:rPr>
        <w:t>Rizikos mažinimo būdai</w:t>
      </w:r>
    </w:p>
    <w:p>
      <w:pPr>
        <w:spacing w:after="240"/>
        <w:jc w:val="both"/>
        <w:rPr>
          <w:rFonts w:eastAsia="MS Gothic"/>
          <w:noProof/>
        </w:rPr>
      </w:pPr>
      <w:r>
        <w:rPr>
          <w:noProof/>
        </w:rPr>
        <w:t xml:space="preserve">Pagal JK nacionalinės teisės akto, į kurį įtrauktos ERIR nuostatos, projektą būtų išlaikytos rizikos mažinimo būdų taikymo taisyklės, taikytinos ne biržos išvestinių finansinių priemonių sandoriams, kurių tarpuskaitos pagrindinė sandorio šalis neatlieka, ir sandorių patvirtinimo laiku, portfelio suderinimo ir ginčų sprendimo procedūrų taisyklės. </w:t>
      </w:r>
    </w:p>
    <w:p>
      <w:pPr>
        <w:pStyle w:val="Style1"/>
        <w:numPr>
          <w:ilvl w:val="0"/>
          <w:numId w:val="22"/>
        </w:numPr>
        <w:rPr>
          <w:rFonts w:eastAsia="MS Gothic"/>
          <w:noProof/>
        </w:rPr>
      </w:pPr>
      <w:r>
        <w:rPr>
          <w:noProof/>
        </w:rPr>
        <w:t>Tarptautinis centrinių bankų ir valstybės skolos valdymo įstaigų traktavimas</w:t>
      </w:r>
    </w:p>
    <w:p>
      <w:pPr>
        <w:pStyle w:val="HeaderCoverPage"/>
        <w:keepNext/>
        <w:numPr>
          <w:ilvl w:val="0"/>
          <w:numId w:val="0"/>
        </w:numPr>
        <w:rPr>
          <w:rFonts w:eastAsia="MS Gothic"/>
          <w:noProof/>
          <w:u w:val="single"/>
        </w:rPr>
      </w:pPr>
      <w:r>
        <w:rPr>
          <w:noProof/>
          <w:u w:val="single"/>
        </w:rPr>
        <w:t>Tarpuskaitos prievolė</w:t>
      </w:r>
    </w:p>
    <w:p>
      <w:pPr>
        <w:pStyle w:val="HeaderCoverPage"/>
        <w:numPr>
          <w:ilvl w:val="0"/>
          <w:numId w:val="0"/>
        </w:numPr>
        <w:rPr>
          <w:rFonts w:eastAsia="MS Gothic"/>
          <w:noProof/>
        </w:rPr>
      </w:pPr>
      <w:r>
        <w:rPr>
          <w:noProof/>
        </w:rPr>
        <w:t>Pagal JK nacionalinės teisės akto, į kurį įtrauktos ERIR nuostatos</w:t>
      </w:r>
      <w:r>
        <w:rPr>
          <w:rStyle w:val="FootnoteReference"/>
          <w:noProof/>
        </w:rPr>
        <w:footnoteReference w:id="7"/>
      </w:r>
      <w:r>
        <w:rPr>
          <w:noProof/>
        </w:rPr>
        <w:t xml:space="preserve">, projektą JK ir tam tikriems užsienio centriniams bankams ir kitoms valstybės įstaigoms, įpareigotoms valdyti arba dalyvaujančioms valdant valstybės skolą, tarpuskaitos prievolė būtų netaikoma. Iždo departamentas teisės aktais galėtų šią išimtį pradėti taikyti ir kitoms užsienio jurisdikcijoms. Be to, tarpuskaitos prievolė būtų netaikoma Tarptautinių atsiskaitymų bankui ir tam tikriems daugiašaliams plėtros bankams bei kitiems centrinės valdžios subjektams priklausantiems viešojo sektoriaus subjektams. </w:t>
      </w:r>
    </w:p>
    <w:p>
      <w:pPr>
        <w:spacing w:after="240"/>
        <w:jc w:val="both"/>
        <w:rPr>
          <w:rFonts w:eastAsia="MS Gothic"/>
          <w:noProof/>
          <w:u w:val="single"/>
        </w:rPr>
      </w:pPr>
      <w:r>
        <w:rPr>
          <w:noProof/>
          <w:u w:val="single"/>
        </w:rPr>
        <w:t>Prievolė teikti ataskaitas</w:t>
      </w:r>
    </w:p>
    <w:p>
      <w:pPr>
        <w:spacing w:after="240"/>
        <w:jc w:val="both"/>
        <w:rPr>
          <w:rFonts w:eastAsia="MS Gothic"/>
          <w:noProof/>
        </w:rPr>
      </w:pPr>
      <w:r>
        <w:rPr>
          <w:noProof/>
        </w:rPr>
        <w:t>Kiek tai susiję su tarpuskaitos prievole, Jungtinė Karalystė ketina netaikyti JK ir tam tikriems užsienio centriniams bankams ir kitoms valstybės įstaigoms, įpareigotoms valdyti arba dalyvaujančioms valdant valstybės skolą, prievolės teikti ataskaitas. Šią išimtį būtų įmanoma pradėti taikyti ir kitoms užsienio jurisdikcijoms. Be to, prievolė teikti ataskaitas būtų netaikoma Tarptautinių atsiskaitymų bankui.</w:t>
      </w:r>
    </w:p>
    <w:p>
      <w:pPr>
        <w:spacing w:after="240"/>
        <w:jc w:val="both"/>
        <w:rPr>
          <w:rFonts w:eastAsia="MS Gothic"/>
          <w:noProof/>
          <w:u w:val="single"/>
        </w:rPr>
      </w:pPr>
      <w:r>
        <w:rPr>
          <w:noProof/>
          <w:u w:val="single"/>
        </w:rPr>
        <w:t>Rizikos mažinimo būdai</w:t>
      </w:r>
    </w:p>
    <w:p>
      <w:pPr>
        <w:spacing w:after="240"/>
        <w:jc w:val="both"/>
        <w:rPr>
          <w:rFonts w:eastAsia="MS Gothic"/>
          <w:noProof/>
        </w:rPr>
      </w:pPr>
      <w:r>
        <w:rPr>
          <w:noProof/>
        </w:rPr>
        <w:t xml:space="preserve">Pagal JK nacionalinės teisės akto projektą JK ir tam tikriems užsienio centriniams bankams ir kitoms valstybės įstaigoms, įpareigotoms valdyti arba dalyvaujančioms valdant valstybės skolą, prievolė taikyti rizikos mažinimo būdus ne biržos išvestinių finansinių priemonių sandoriams, kurių tarpuskaitos pagrindinė sandorio šalis neatlieka, būtų netaikoma. Iždo departamentas galėtų šią išimtį pradėti taikyti ir kitoms užsienio jurisdikcijoms. Ši išimtis taip pat būtų taikoma Tarptautinių atsiskaitymų bankui ir tam tikriems daugiašaliams plėtros bankams bei kitiems centrinės valdžios subjektams priklausantiems viešojo sektoriaus subjektams. </w:t>
      </w:r>
    </w:p>
    <w:p>
      <w:pPr>
        <w:pStyle w:val="Style1"/>
        <w:numPr>
          <w:ilvl w:val="0"/>
          <w:numId w:val="22"/>
        </w:numPr>
        <w:rPr>
          <w:rFonts w:eastAsia="MS Gothic"/>
          <w:noProof/>
        </w:rPr>
      </w:pPr>
      <w:r>
        <w:rPr>
          <w:noProof/>
        </w:rPr>
        <w:t>Išvada</w:t>
      </w:r>
    </w:p>
    <w:p>
      <w:pPr>
        <w:pStyle w:val="Text1"/>
        <w:ind w:left="0"/>
        <w:rPr>
          <w:noProof/>
        </w:rPr>
      </w:pPr>
      <w:r>
        <w:rPr>
          <w:noProof/>
        </w:rPr>
        <w:t>Jei įsigalios paskelbti teisės aktai, Jungtinei Karalystei išstojus iš Sąjungos šalyje bus taikoma teisės aktų sistema, kuria įgyvendinamos 2009 m. Pitsburge priimtos ne biržos išvestinių finansinių priemonių reformos. Pagal JK nacionalinės teisės aktų sistemos, apimančios ERIR, projektą Jungtinei Karalystei ir tam tikriems trečiųjų šalių centriniams bankams ir valstybės įstaigoms, įpareigotoms valdyti arba dalyvaujančioms valdant valstybės skolą, netaikomos tarpuskaitos ir ataskaitų teikimo prievolės bei prievolė taikyti rizikos mažinimo būdus. Į JK teisės aktų sistemos projektą taip pat įtrauktos nuostatos, kuriomis suteikiama galimybė taikyti išimtį ir kitų užsienio šalių centriniams bankams bei valstybės skolos valdymo įstaigoms.</w:t>
      </w:r>
    </w:p>
    <w:p>
      <w:pPr>
        <w:pStyle w:val="Text1"/>
        <w:ind w:left="0"/>
        <w:rPr>
          <w:noProof/>
        </w:rPr>
      </w:pPr>
      <w:r>
        <w:rPr>
          <w:noProof/>
        </w:rPr>
        <w:t>Įtraukus JK centrinį banką ir valstybės skolos valdymo įstaigas į subjektų, kuriems netaikomas ERIR, sąrašą, jų fiskalinei atsakomybei ERIR nebus taikomas ir bus skatinamos vienodos sąlygos taikant ERIR reformas, susijusias su sandoriais su centriniais bankais skirtingų jurisdikcijų šalyse. Be to, taip bus padedama siekti didesnio nuoseklumo ir suderinamumo tarptautiniu mastu.</w:t>
      </w:r>
    </w:p>
    <w:p>
      <w:pPr>
        <w:spacing w:after="240"/>
        <w:jc w:val="both"/>
        <w:rPr>
          <w:rFonts w:eastAsia="MS Gothic"/>
          <w:noProof/>
        </w:rPr>
      </w:pPr>
      <w:r>
        <w:rPr>
          <w:noProof/>
        </w:rPr>
        <w:t>Todėl Komisija daro išvadą, kad ERIR 1 straipsnio 4 dalis turėtų būti iš dalies pakeista, kad JK centriniam bankui ir kitoms valstybės įstaigoms, įpareigotoms valdyti arba dalyvaujančioms valdant valstybės skolą, ERIR nebūtų taikomas.</w:t>
      </w:r>
    </w:p>
    <w:p>
      <w:pPr>
        <w:spacing w:after="240"/>
        <w:jc w:val="both"/>
        <w:rPr>
          <w:noProof/>
        </w:rPr>
      </w:pPr>
      <w:r>
        <w:rPr>
          <w:noProof/>
        </w:rPr>
        <w:t xml:space="preserve">Šioje ataskaitoje pateikta lyginamoji analizė nėra baigtinė. Ji grindžiama JK nacionaline teise, apimančia ERIR, kurios dalys dar nėra visiškai patvirtintos. </w:t>
      </w:r>
    </w:p>
    <w:p>
      <w:pPr>
        <w:pStyle w:val="Text1"/>
        <w:ind w:left="0"/>
        <w:rPr>
          <w:noProof/>
        </w:rPr>
      </w:pPr>
      <w:r>
        <w:rPr>
          <w:noProof/>
        </w:rPr>
        <w:t xml:space="preserve">Komisija ir toliau reguliariai peržiūrės centrinių bankų ir valstybės įstaigų traktavimą tarptautiniu lygmeniu, susijusį su ne biržos išvestinėmis finansinėmis priemonėmis trečiosiose šalyse, taip pat ERIR 1 straipsnio 4 dalyje išvardytose trečiosiose šalyse. Subjektų, kuriems reglamentas netaikomas, sąrašas, gali būti atnaujintas atsižvelgiant į reglamentavimo tvarkos raidą trečiosiose šalyse ir visus svarbius naujus informacijos šaltinius. Atlikus tą pakartotinį vertinimą, trečiosios šalys taip pat galėtų būti išbrauktos iš subjektų, kuriems reglamentas netaikomas, sąrašo. </w:t>
      </w:r>
    </w:p>
    <w:sectPr>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42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Dėl peržiūros rezultatų 2013 m. kovo 22 d. buvo priimta ataskaita, </w:t>
      </w:r>
      <w:r>
        <w:rPr>
          <w:rFonts w:ascii="Times New Roman" w:hAnsi="Times New Roman"/>
        </w:rPr>
        <w:t xml:space="preserve">COM(2013) 158 </w:t>
      </w:r>
      <w:r>
        <w:rPr>
          <w:rFonts w:ascii="Times New Roman" w:hAnsi="Times New Roman"/>
          <w:i/>
        </w:rPr>
        <w:t>final</w:t>
      </w:r>
      <w:r>
        <w:rPr>
          <w:rFonts w:ascii="Times New Roman" w:hAnsi="Times New Roman"/>
        </w:rPr>
        <w:t>.</w:t>
      </w:r>
    </w:p>
  </w:footnote>
  <w:footnote w:id="2">
    <w:p>
      <w:pPr>
        <w:pStyle w:val="FootnoteText"/>
      </w:pPr>
      <w:r>
        <w:rPr>
          <w:rStyle w:val="FootnoteReference"/>
        </w:rPr>
        <w:footnoteRef/>
      </w:r>
      <w:r>
        <w:t xml:space="preserve"> 2013 m. liepos 12 d. Komisijos deleguotasis reglamentas (ES) Nr. 1002/2013, kuriuo iš dalies keičiamos Reglamento (ES) Nr. 648/2012 nuostatos, OL L 279, 2013 10 19, p. 2.</w:t>
      </w:r>
    </w:p>
  </w:footnote>
  <w:footnote w:id="3">
    <w:p>
      <w:pPr>
        <w:pStyle w:val="FootnoteText"/>
      </w:pPr>
      <w:r>
        <w:rPr>
          <w:rStyle w:val="FootnoteReference"/>
        </w:rPr>
        <w:footnoteRef/>
      </w:r>
      <w:r>
        <w:t xml:space="preserve"> Dėl peržiūros rezultatų 2017 m. kovo 2 d. buvo priimta ataskaita, COM(2017) 104 </w:t>
      </w:r>
      <w:r>
        <w:rPr>
          <w:i/>
        </w:rPr>
        <w:t>final</w:t>
      </w:r>
      <w:r>
        <w:t>.</w:t>
      </w:r>
    </w:p>
  </w:footnote>
  <w:footnote w:id="4">
    <w:p>
      <w:pPr>
        <w:pStyle w:val="FootnoteText"/>
      </w:pPr>
      <w:r>
        <w:rPr>
          <w:rStyle w:val="FootnoteReference"/>
        </w:rPr>
        <w:footnoteRef/>
      </w:r>
      <w:r>
        <w:t xml:space="preserve"> 2017 m. kovo 2 d. Komisijos deleguotasis reglamentas (ES) 2017/979, OL L 148, 2017 6 10, p. 1.</w:t>
      </w:r>
    </w:p>
  </w:footnote>
  <w:footnote w:id="5">
    <w:p>
      <w:pPr>
        <w:pStyle w:val="FootnoteText"/>
      </w:pPr>
      <w:r>
        <w:rPr>
          <w:rStyle w:val="FootnoteReference"/>
        </w:rPr>
        <w:footnoteRef/>
      </w:r>
      <w:r>
        <w:t xml:space="preserve"> 2018 m. lapkričio 13 d. priimti reglamentai dėl pagrindinių sandorio šalių (pakeitimas ir kt. ir pereinamojo laikotarpio nuostata) (pasitraukimas iš ES) (SI 2018 Nr. 1184); 2018 m. gruodžio 6 d. priimti reglamentai dėl sandorių duomenų saugyklų (pakeitimas ir pereinamojo laikotarpio nuostata) (pasitraukimas iš ES) (SI 2018 Nr. 1318).</w:t>
      </w:r>
    </w:p>
  </w:footnote>
  <w:footnote w:id="6">
    <w:p>
      <w:pPr>
        <w:pStyle w:val="FootnoteText"/>
      </w:pPr>
      <w:r>
        <w:rPr>
          <w:rStyle w:val="FootnoteReference"/>
        </w:rPr>
        <w:footnoteRef/>
      </w:r>
      <w:r>
        <w:t xml:space="preserve"> 2018 m. reglamentai dėl ne biržos išvestinių finansinių priemonių, pagrindinių sandorio šalių ir sandorių duomenų saugyklų (pakeitimas ir kt. ir pereinamojo laikotarpio nuostata) (pasitraukimas iš ES), konsultacijoms skirtas projektas paskelbtas 2018 m. spalio 22 d.</w:t>
      </w:r>
    </w:p>
  </w:footnote>
  <w:footnote w:id="7">
    <w:p>
      <w:pPr>
        <w:pStyle w:val="FootnoteText"/>
      </w:pPr>
      <w:r>
        <w:rPr>
          <w:rStyle w:val="FootnoteReference"/>
        </w:rPr>
        <w:footnoteRef/>
      </w:r>
      <w:r>
        <w:t xml:space="preserve"> 2018 m. reglamentai dėl ne biržos išvestinių finansinių priemonių, pagrindinių sandorio šalių ir sandorių duomenų saugyklų (pakeitimas ir kt. ir pereinamojo laikotarpio nuostata) (pasitraukimas iš ES), konsultacijoms skirtas projektas paskelbtas 2018 m. spalio 22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FD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9C1CEB"/>
    <w:multiLevelType w:val="singleLevel"/>
    <w:tmpl w:val="45AEB0BC"/>
    <w:lvl w:ilvl="0">
      <w:start w:val="10"/>
      <w:numFmt w:val="decimal"/>
      <w:lvlText w:val="%1"/>
      <w:legacy w:legacy="1" w:legacySpace="0" w:legacyIndent="360"/>
      <w:lvlJc w:val="left"/>
      <w:rPr>
        <w:rFonts w:ascii="Times New Roman" w:hAnsi="Times New Roman" w:cs="Times New Roman" w:hint="default"/>
      </w:rPr>
    </w:lvl>
  </w:abstractNum>
  <w:abstractNum w:abstractNumId="2">
    <w:nsid w:val="0BFF54F2"/>
    <w:multiLevelType w:val="singleLevel"/>
    <w:tmpl w:val="2D64B794"/>
    <w:lvl w:ilvl="0">
      <w:start w:val="13"/>
      <w:numFmt w:val="decimal"/>
      <w:lvlText w:val="%1"/>
      <w:legacy w:legacy="1" w:legacySpace="0" w:legacyIndent="360"/>
      <w:lvlJc w:val="left"/>
      <w:rPr>
        <w:rFonts w:ascii="Times New Roman" w:hAnsi="Times New Roman" w:cs="Times New Roman" w:hint="default"/>
      </w:rPr>
    </w:lvl>
  </w:abstractNum>
  <w:abstractNum w:abstractNumId="3">
    <w:nsid w:val="0D9B1EED"/>
    <w:multiLevelType w:val="hybridMultilevel"/>
    <w:tmpl w:val="3430798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1F10200"/>
    <w:multiLevelType w:val="hybridMultilevel"/>
    <w:tmpl w:val="E500CECE"/>
    <w:lvl w:ilvl="0" w:tplc="7966C6AA">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42E4C83"/>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65154FB"/>
    <w:multiLevelType w:val="singleLevel"/>
    <w:tmpl w:val="E7EE1D06"/>
    <w:lvl w:ilvl="0">
      <w:start w:val="14"/>
      <w:numFmt w:val="decimal"/>
      <w:lvlText w:val="%1"/>
      <w:legacy w:legacy="1" w:legacySpace="0" w:legacyIndent="360"/>
      <w:lvlJc w:val="left"/>
      <w:rPr>
        <w:rFonts w:ascii="Times New Roman" w:hAnsi="Times New Roman" w:cs="Times New Roman" w:hint="default"/>
      </w:rPr>
    </w:lvl>
  </w:abstractNum>
  <w:abstractNum w:abstractNumId="7">
    <w:nsid w:val="16BC5609"/>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762F6D"/>
    <w:multiLevelType w:val="singleLevel"/>
    <w:tmpl w:val="31BA27F6"/>
    <w:lvl w:ilvl="0">
      <w:start w:val="8"/>
      <w:numFmt w:val="decimal"/>
      <w:lvlText w:val="%1"/>
      <w:legacy w:legacy="1" w:legacySpace="0" w:legacyIndent="360"/>
      <w:lvlJc w:val="left"/>
      <w:rPr>
        <w:rFonts w:ascii="Times New Roman" w:hAnsi="Times New Roman" w:cs="Times New Roman" w:hint="default"/>
      </w:rPr>
    </w:lvl>
  </w:abstractNum>
  <w:abstractNum w:abstractNumId="10">
    <w:nsid w:val="20CF4B17"/>
    <w:multiLevelType w:val="singleLevel"/>
    <w:tmpl w:val="01684F14"/>
    <w:lvl w:ilvl="0">
      <w:start w:val="7"/>
      <w:numFmt w:val="decimal"/>
      <w:lvlText w:val="%1"/>
      <w:legacy w:legacy="1" w:legacySpace="0" w:legacyIndent="360"/>
      <w:lvlJc w:val="left"/>
      <w:rPr>
        <w:rFonts w:ascii="Times New Roman" w:hAnsi="Times New Roman" w:cs="Times New Roman" w:hint="default"/>
      </w:rPr>
    </w:lvl>
  </w:abstractNum>
  <w:abstractNum w:abstractNumId="11">
    <w:nsid w:val="29FE1F55"/>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1954B81"/>
    <w:multiLevelType w:val="singleLevel"/>
    <w:tmpl w:val="A680144A"/>
    <w:lvl w:ilvl="0">
      <w:start w:val="4"/>
      <w:numFmt w:val="decimal"/>
      <w:lvlText w:val="%1"/>
      <w:legacy w:legacy="1" w:legacySpace="0" w:legacyIndent="360"/>
      <w:lvlJc w:val="left"/>
      <w:rPr>
        <w:rFonts w:ascii="Times New Roman" w:hAnsi="Times New Roman" w:cs="Times New Roman" w:hint="default"/>
      </w:rPr>
    </w:lvl>
  </w:abstractNum>
  <w:abstractNum w:abstractNumId="13">
    <w:nsid w:val="32EF2D94"/>
    <w:multiLevelType w:val="hybridMultilevel"/>
    <w:tmpl w:val="A08C988A"/>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14">
    <w:nsid w:val="330F0390"/>
    <w:multiLevelType w:val="hybridMultilevel"/>
    <w:tmpl w:val="CD5CF3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6A62B94"/>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074B32"/>
    <w:multiLevelType w:val="singleLevel"/>
    <w:tmpl w:val="EE582FDA"/>
    <w:lvl w:ilvl="0">
      <w:start w:val="12"/>
      <w:numFmt w:val="decimal"/>
      <w:lvlText w:val="%1"/>
      <w:legacy w:legacy="1" w:legacySpace="0" w:legacyIndent="360"/>
      <w:lvlJc w:val="left"/>
      <w:rPr>
        <w:rFonts w:ascii="Times New Roman" w:hAnsi="Times New Roman" w:cs="Times New Roman" w:hint="default"/>
      </w:rPr>
    </w:lvl>
  </w:abstractNum>
  <w:abstractNum w:abstractNumId="17">
    <w:nsid w:val="3B77160C"/>
    <w:multiLevelType w:val="singleLevel"/>
    <w:tmpl w:val="D9A4EC58"/>
    <w:lvl w:ilvl="0">
      <w:start w:val="9"/>
      <w:numFmt w:val="decimal"/>
      <w:lvlText w:val="%1"/>
      <w:legacy w:legacy="1" w:legacySpace="0" w:legacyIndent="360"/>
      <w:lvlJc w:val="left"/>
      <w:rPr>
        <w:rFonts w:ascii="Times New Roman" w:hAnsi="Times New Roman" w:cs="Times New Roman" w:hint="default"/>
      </w:rPr>
    </w:lvl>
  </w:abstractNum>
  <w:abstractNum w:abstractNumId="18">
    <w:nsid w:val="40856300"/>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0B225B1"/>
    <w:multiLevelType w:val="hybridMultilevel"/>
    <w:tmpl w:val="8312E56E"/>
    <w:lvl w:ilvl="0" w:tplc="FFFFFFFF">
      <w:start w:val="1"/>
      <w:numFmt w:val="decimal"/>
      <w:lvlText w:val="%1."/>
      <w:lvlJc w:val="left"/>
      <w:pPr>
        <w:ind w:left="1200" w:hanging="360"/>
      </w:pPr>
      <w:rPr>
        <w:rFonts w:cs="Times New Roman"/>
      </w:rPr>
    </w:lvl>
    <w:lvl w:ilvl="1" w:tplc="FFFFFFFF" w:tentative="1">
      <w:start w:val="1"/>
      <w:numFmt w:val="lowerLetter"/>
      <w:lvlText w:val="%2."/>
      <w:lvlJc w:val="left"/>
      <w:pPr>
        <w:ind w:left="1920" w:hanging="360"/>
      </w:pPr>
      <w:rPr>
        <w:rFonts w:cs="Times New Roman"/>
      </w:rPr>
    </w:lvl>
    <w:lvl w:ilvl="2" w:tplc="FFFFFFFF" w:tentative="1">
      <w:start w:val="1"/>
      <w:numFmt w:val="lowerRoman"/>
      <w:lvlText w:val="%3."/>
      <w:lvlJc w:val="right"/>
      <w:pPr>
        <w:ind w:left="2640" w:hanging="180"/>
      </w:pPr>
      <w:rPr>
        <w:rFonts w:cs="Times New Roman"/>
      </w:rPr>
    </w:lvl>
    <w:lvl w:ilvl="3" w:tplc="FFFFFFFF" w:tentative="1">
      <w:start w:val="1"/>
      <w:numFmt w:val="decimal"/>
      <w:lvlText w:val="%4."/>
      <w:lvlJc w:val="left"/>
      <w:pPr>
        <w:ind w:left="3360" w:hanging="360"/>
      </w:pPr>
      <w:rPr>
        <w:rFonts w:cs="Times New Roman"/>
      </w:rPr>
    </w:lvl>
    <w:lvl w:ilvl="4" w:tplc="FFFFFFFF" w:tentative="1">
      <w:start w:val="1"/>
      <w:numFmt w:val="lowerLetter"/>
      <w:lvlText w:val="%5."/>
      <w:lvlJc w:val="left"/>
      <w:pPr>
        <w:ind w:left="4080" w:hanging="360"/>
      </w:pPr>
      <w:rPr>
        <w:rFonts w:cs="Times New Roman"/>
      </w:rPr>
    </w:lvl>
    <w:lvl w:ilvl="5" w:tplc="FFFFFFFF" w:tentative="1">
      <w:start w:val="1"/>
      <w:numFmt w:val="lowerRoman"/>
      <w:lvlText w:val="%6."/>
      <w:lvlJc w:val="right"/>
      <w:pPr>
        <w:ind w:left="4800" w:hanging="180"/>
      </w:pPr>
      <w:rPr>
        <w:rFonts w:cs="Times New Roman"/>
      </w:rPr>
    </w:lvl>
    <w:lvl w:ilvl="6" w:tplc="FFFFFFFF" w:tentative="1">
      <w:start w:val="1"/>
      <w:numFmt w:val="decimal"/>
      <w:lvlText w:val="%7."/>
      <w:lvlJc w:val="left"/>
      <w:pPr>
        <w:ind w:left="5520" w:hanging="360"/>
      </w:pPr>
      <w:rPr>
        <w:rFonts w:cs="Times New Roman"/>
      </w:rPr>
    </w:lvl>
    <w:lvl w:ilvl="7" w:tplc="FFFFFFFF" w:tentative="1">
      <w:start w:val="1"/>
      <w:numFmt w:val="lowerLetter"/>
      <w:lvlText w:val="%8."/>
      <w:lvlJc w:val="left"/>
      <w:pPr>
        <w:ind w:left="6240" w:hanging="360"/>
      </w:pPr>
      <w:rPr>
        <w:rFonts w:cs="Times New Roman"/>
      </w:rPr>
    </w:lvl>
    <w:lvl w:ilvl="8" w:tplc="FFFFFFFF" w:tentative="1">
      <w:start w:val="1"/>
      <w:numFmt w:val="lowerRoman"/>
      <w:lvlText w:val="%9."/>
      <w:lvlJc w:val="right"/>
      <w:pPr>
        <w:ind w:left="6960" w:hanging="180"/>
      </w:pPr>
      <w:rPr>
        <w:rFonts w:cs="Times New Roman"/>
      </w:rPr>
    </w:lvl>
  </w:abstractNum>
  <w:abstractNum w:abstractNumId="20">
    <w:nsid w:val="419C42D5"/>
    <w:multiLevelType w:val="hybridMultilevel"/>
    <w:tmpl w:val="6CD82C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20A3C88"/>
    <w:multiLevelType w:val="singleLevel"/>
    <w:tmpl w:val="9F5CFA80"/>
    <w:lvl w:ilvl="0">
      <w:start w:val="1"/>
      <w:numFmt w:val="decimal"/>
      <w:lvlText w:val="%1"/>
      <w:legacy w:legacy="1" w:legacySpace="0" w:legacyIndent="360"/>
      <w:lvlJc w:val="left"/>
      <w:rPr>
        <w:rFonts w:ascii="Times New Roman" w:hAnsi="Times New Roman" w:cs="Times New Roman" w:hint="default"/>
      </w:rPr>
    </w:lvl>
  </w:abstractNum>
  <w:abstractNum w:abstractNumId="22">
    <w:nsid w:val="437D5F2A"/>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3">
    <w:nsid w:val="4553571C"/>
    <w:multiLevelType w:val="hybridMultilevel"/>
    <w:tmpl w:val="1B3C199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9656756"/>
    <w:multiLevelType w:val="singleLevel"/>
    <w:tmpl w:val="CFB4C1C0"/>
    <w:lvl w:ilvl="0">
      <w:start w:val="11"/>
      <w:numFmt w:val="decimal"/>
      <w:lvlText w:val="%1"/>
      <w:legacy w:legacy="1" w:legacySpace="0" w:legacyIndent="360"/>
      <w:lvlJc w:val="left"/>
      <w:rPr>
        <w:rFonts w:ascii="Times New Roman" w:hAnsi="Times New Roman" w:cs="Times New Roman" w:hint="default"/>
        <w:b/>
      </w:rPr>
    </w:lvl>
  </w:abstractNum>
  <w:abstractNum w:abstractNumId="25">
    <w:nsid w:val="4A6258B7"/>
    <w:multiLevelType w:val="hybridMultilevel"/>
    <w:tmpl w:val="D7428D3A"/>
    <w:lvl w:ilvl="0" w:tplc="FFFFFFFF">
      <w:start w:val="1"/>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AAC68EF"/>
    <w:multiLevelType w:val="singleLevel"/>
    <w:tmpl w:val="E7180BD4"/>
    <w:lvl w:ilvl="0">
      <w:start w:val="2"/>
      <w:numFmt w:val="decimal"/>
      <w:lvlText w:val="%1"/>
      <w:legacy w:legacy="1" w:legacySpace="0" w:legacyIndent="360"/>
      <w:lvlJc w:val="left"/>
      <w:rPr>
        <w:rFonts w:ascii="Times New Roman" w:hAnsi="Times New Roman" w:cs="Times New Roman" w:hint="default"/>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BB90BE2"/>
    <w:multiLevelType w:val="singleLevel"/>
    <w:tmpl w:val="292A81C8"/>
    <w:lvl w:ilvl="0">
      <w:start w:val="6"/>
      <w:numFmt w:val="decimal"/>
      <w:lvlText w:val="%1"/>
      <w:legacy w:legacy="1" w:legacySpace="0" w:legacyIndent="360"/>
      <w:lvlJc w:val="left"/>
      <w:rPr>
        <w:rFonts w:ascii="Times New Roman" w:hAnsi="Times New Roman" w:cs="Times New Roman" w:hint="default"/>
      </w:rPr>
    </w:lvl>
  </w:abstractNum>
  <w:abstractNum w:abstractNumId="29">
    <w:nsid w:val="5C6D06A1"/>
    <w:multiLevelType w:val="singleLevel"/>
    <w:tmpl w:val="DB307F60"/>
    <w:lvl w:ilvl="0">
      <w:start w:val="15"/>
      <w:numFmt w:val="decimal"/>
      <w:lvlText w:val="%1"/>
      <w:legacy w:legacy="1" w:legacySpace="0" w:legacyIndent="360"/>
      <w:lvlJc w:val="left"/>
      <w:rPr>
        <w:rFonts w:ascii="Times New Roman" w:hAnsi="Times New Roman" w:cs="Times New Roman" w:hint="default"/>
      </w:rPr>
    </w:lvl>
  </w:abstractNum>
  <w:abstractNum w:abstractNumId="30">
    <w:nsid w:val="639A6627"/>
    <w:multiLevelType w:val="multilevel"/>
    <w:tmpl w:val="C7D6F24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4D04590"/>
    <w:multiLevelType w:val="hybridMultilevel"/>
    <w:tmpl w:val="C56EB60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nsid w:val="65524950"/>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5CB6740"/>
    <w:multiLevelType w:val="multilevel"/>
    <w:tmpl w:val="96DC18E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90005A"/>
    <w:multiLevelType w:val="hybridMultilevel"/>
    <w:tmpl w:val="3A588D2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6E5203A"/>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E04266"/>
    <w:multiLevelType w:val="hybridMultilevel"/>
    <w:tmpl w:val="0882E102"/>
    <w:lvl w:ilvl="0" w:tplc="93BAED52">
      <w:start w:val="1"/>
      <w:numFmt w:val="decimal"/>
      <w:pStyle w:val="HeaderCoverPage"/>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98A0F54"/>
    <w:multiLevelType w:val="hybridMultilevel"/>
    <w:tmpl w:val="8C10C7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F764DFD"/>
    <w:multiLevelType w:val="multilevel"/>
    <w:tmpl w:val="4846313A"/>
    <w:lvl w:ilvl="0">
      <w:start w:val="1"/>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09A073E"/>
    <w:multiLevelType w:val="multilevel"/>
    <w:tmpl w:val="08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0F067E6"/>
    <w:multiLevelType w:val="singleLevel"/>
    <w:tmpl w:val="1196F6A8"/>
    <w:lvl w:ilvl="0">
      <w:start w:val="1"/>
      <w:numFmt w:val="decimal"/>
      <w:lvlText w:val="1.%1"/>
      <w:lvlJc w:val="left"/>
      <w:pPr>
        <w:ind w:left="360" w:hanging="360"/>
      </w:pPr>
      <w:rPr>
        <w:rFonts w:cs="Times New Roman" w:hint="default"/>
      </w:rPr>
    </w:lvl>
  </w:abstractNum>
  <w:abstractNum w:abstractNumId="41">
    <w:nsid w:val="7556301F"/>
    <w:multiLevelType w:val="hybridMultilevel"/>
    <w:tmpl w:val="9D069C5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nsid w:val="78E5296C"/>
    <w:multiLevelType w:val="singleLevel"/>
    <w:tmpl w:val="9ABCBCD8"/>
    <w:lvl w:ilvl="0">
      <w:start w:val="16"/>
      <w:numFmt w:val="decimal"/>
      <w:lvlText w:val="%1"/>
      <w:legacy w:legacy="1" w:legacySpace="0" w:legacyIndent="360"/>
      <w:lvlJc w:val="left"/>
      <w:rPr>
        <w:rFonts w:ascii="Times New Roman" w:hAnsi="Times New Roman" w:cs="Times New Roman" w:hint="default"/>
      </w:rPr>
    </w:lvl>
  </w:abstractNum>
  <w:abstractNum w:abstractNumId="43">
    <w:nsid w:val="7EA01310"/>
    <w:multiLevelType w:val="singleLevel"/>
    <w:tmpl w:val="BC76824E"/>
    <w:lvl w:ilvl="0">
      <w:start w:val="3"/>
      <w:numFmt w:val="decimal"/>
      <w:lvlText w:val="%1"/>
      <w:legacy w:legacy="1" w:legacySpace="0" w:legacyIndent="360"/>
      <w:lvlJc w:val="left"/>
      <w:rPr>
        <w:rFonts w:ascii="Times New Roman" w:hAnsi="Times New Roman" w:cs="Times New Roman" w:hint="default"/>
      </w:rPr>
    </w:lvl>
  </w:abstractNum>
  <w:num w:numId="1">
    <w:abstractNumId w:val="33"/>
  </w:num>
  <w:num w:numId="2">
    <w:abstractNumId w:val="26"/>
  </w:num>
  <w:num w:numId="3">
    <w:abstractNumId w:val="7"/>
  </w:num>
  <w:num w:numId="4">
    <w:abstractNumId w:val="12"/>
  </w:num>
  <w:num w:numId="5">
    <w:abstractNumId w:val="30"/>
  </w:num>
  <w:num w:numId="6">
    <w:abstractNumId w:val="28"/>
  </w:num>
  <w:num w:numId="7">
    <w:abstractNumId w:val="10"/>
  </w:num>
  <w:num w:numId="8">
    <w:abstractNumId w:val="9"/>
  </w:num>
  <w:num w:numId="9">
    <w:abstractNumId w:val="17"/>
  </w:num>
  <w:num w:numId="10">
    <w:abstractNumId w:val="21"/>
  </w:num>
  <w:num w:numId="11">
    <w:abstractNumId w:val="1"/>
  </w:num>
  <w:num w:numId="12">
    <w:abstractNumId w:val="24"/>
  </w:num>
  <w:num w:numId="13">
    <w:abstractNumId w:val="22"/>
  </w:num>
  <w:num w:numId="14">
    <w:abstractNumId w:val="43"/>
  </w:num>
  <w:num w:numId="15">
    <w:abstractNumId w:val="16"/>
  </w:num>
  <w:num w:numId="16">
    <w:abstractNumId w:val="2"/>
  </w:num>
  <w:num w:numId="17">
    <w:abstractNumId w:val="6"/>
  </w:num>
  <w:num w:numId="18">
    <w:abstractNumId w:val="29"/>
  </w:num>
  <w:num w:numId="19">
    <w:abstractNumId w:val="42"/>
  </w:num>
  <w:num w:numId="20">
    <w:abstractNumId w:val="34"/>
  </w:num>
  <w:num w:numId="21">
    <w:abstractNumId w:val="41"/>
  </w:num>
  <w:num w:numId="22">
    <w:abstractNumId w:val="36"/>
  </w:num>
  <w:num w:numId="23">
    <w:abstractNumId w:val="25"/>
  </w:num>
  <w:num w:numId="24">
    <w:abstractNumId w:val="31"/>
  </w:num>
  <w:num w:numId="25">
    <w:abstractNumId w:val="23"/>
  </w:num>
  <w:num w:numId="26">
    <w:abstractNumId w:val="19"/>
  </w:num>
  <w:num w:numId="27">
    <w:abstractNumId w:val="13"/>
  </w:num>
  <w:num w:numId="28">
    <w:abstractNumId w:val="3"/>
  </w:num>
  <w:num w:numId="29">
    <w:abstractNumId w:val="14"/>
  </w:num>
  <w:num w:numId="30">
    <w:abstractNumId w:val="37"/>
  </w:num>
  <w:num w:numId="31">
    <w:abstractNumId w:val="20"/>
  </w:num>
  <w:num w:numId="32">
    <w:abstractNumId w:val="40"/>
  </w:num>
  <w:num w:numId="33">
    <w:abstractNumId w:val="11"/>
  </w:num>
  <w:num w:numId="34">
    <w:abstractNumId w:val="15"/>
  </w:num>
  <w:num w:numId="35">
    <w:abstractNumId w:val="39"/>
  </w:num>
  <w:num w:numId="36">
    <w:abstractNumId w:val="32"/>
  </w:num>
  <w:num w:numId="37">
    <w:abstractNumId w:val="0"/>
  </w:num>
  <w:num w:numId="38">
    <w:abstractNumId w:val="35"/>
  </w:num>
  <w:num w:numId="39">
    <w:abstractNumId w:val="18"/>
  </w:num>
  <w:num w:numId="40">
    <w:abstractNumId w:val="5"/>
  </w:num>
  <w:num w:numId="41">
    <w:abstractNumId w:val="38"/>
  </w:num>
  <w:num w:numId="42">
    <w:abstractNumId w:val="4"/>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31400B8-B561-4AA8-9DB8-2CAE74C2792C"/>
    <w:docVar w:name="LW_COVERPAGE_TYPE" w:val="1"/>
    <w:docVar w:name="LW_CROSSREFERENCE" w:val="&lt;UNUSED&gt;"/>
    <w:docVar w:name="LW_DocType" w:val="NORMAL"/>
    <w:docVar w:name="LW_EMISSION" w:val="2019 01 30"/>
    <w:docVar w:name="LW_EMISSION_ISODATE" w:val="2019-01-30"/>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centrini\u371? bank\u371? ir valstyb\u279?s skol\u261? valdan\u269?i\u371? valstyb\u279?s subjekt\u371? traktavimo tarptautiniu lygmeniu, kai jie vykdo ne bir\u382?os i\u353?vestini\u371? finansini\u371? priemoni\u371? sandorius"/>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lt-LT" w:eastAsia="lt-LT"/>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lt-LT" w:eastAsia="lt-LT"/>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lt-LT" w:eastAsia="lt-LT"/>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lt-LT"/>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lt-LT" w:eastAsia="lt-LT"/>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lt-LT" w:eastAsia="lt-LT"/>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lt-LT" w:eastAsia="lt-LT"/>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lt-LT" w:eastAsia="lt-LT"/>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lt-LT" w:eastAsia="lt-LT"/>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
    <w:unhideWhenUsed/>
    <w:qFormat/>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heme="minorEastAsia" w:hAnsi="Times New Roman" w:cs="Times New Roman"/>
      <w:sz w:val="24"/>
      <w:szCs w:val="24"/>
      <w:lang w:val="lt-LT" w:eastAsia="lt-LT"/>
    </w:rPr>
  </w:style>
  <w:style w:type="character" w:customStyle="1" w:styleId="Heading2Char">
    <w:name w:val="Heading 2 Char"/>
    <w:basedOn w:val="DefaultParagraphFont"/>
    <w:link w:val="Heading2"/>
    <w:uiPriority w:val="99"/>
    <w:rPr>
      <w:rFonts w:ascii="Times New Roman" w:eastAsiaTheme="minorEastAsia" w:hAnsi="Times New Roman" w:cs="Times New Roman"/>
      <w:sz w:val="24"/>
      <w:szCs w:val="24"/>
      <w:lang w:val="lt-LT" w:eastAsia="lt-LT"/>
    </w:rPr>
  </w:style>
  <w:style w:type="character" w:customStyle="1" w:styleId="Heading3Char">
    <w:name w:val="Heading 3 Char"/>
    <w:basedOn w:val="DefaultParagraphFont"/>
    <w:link w:val="Heading3"/>
    <w:uiPriority w:val="9"/>
    <w:rPr>
      <w:rFonts w:asciiTheme="majorHAnsi" w:eastAsiaTheme="majorEastAsia" w:hAnsiTheme="majorHAnsi" w:cs="Times New Roman"/>
      <w:b/>
      <w:bCs/>
      <w:sz w:val="26"/>
      <w:szCs w:val="26"/>
      <w:lang w:val="lt-LT" w:eastAsia="lt-LT"/>
    </w:rPr>
  </w:style>
  <w:style w:type="paragraph" w:styleId="FootnoteText">
    <w:name w:val="footnote text"/>
    <w:aliases w:val="Car"/>
    <w:basedOn w:val="Normal"/>
    <w:link w:val="FootnoteTextChar"/>
    <w:uiPriority w:val="99"/>
    <w:pPr>
      <w:widowControl/>
      <w:autoSpaceDE/>
      <w:autoSpaceDN/>
      <w:adjustRightInd/>
      <w:spacing w:line="200" w:lineRule="exact"/>
    </w:pPr>
    <w:rPr>
      <w:rFonts w:ascii="Georgia" w:hAnsi="Georgia"/>
      <w:sz w:val="16"/>
      <w:szCs w:val="20"/>
    </w:rPr>
  </w:style>
  <w:style w:type="character" w:customStyle="1" w:styleId="FootnoteTextChar">
    <w:name w:val="Footnote Text Char"/>
    <w:aliases w:val="Car Char"/>
    <w:basedOn w:val="DefaultParagraphFont"/>
    <w:link w:val="FootnoteText"/>
    <w:uiPriority w:val="99"/>
    <w:rPr>
      <w:rFonts w:ascii="Georgia" w:eastAsiaTheme="minorEastAsia" w:hAnsi="Georgia" w:cs="Times New Roman"/>
      <w:sz w:val="16"/>
      <w:szCs w:val="20"/>
      <w:lang w:eastAsia="lt-LT"/>
    </w:rPr>
  </w:style>
  <w:style w:type="character" w:styleId="FootnoteReference">
    <w:name w:val="footnote reference"/>
    <w:aliases w:val="Footnote Reference Superscript,SUPERS,BVI fnr,Footnote symbol,Footnote,(Footnote Reference),Footnote reference number,note TESI,EN Footnote Reference,Voetnootverwijzing,Times 10 Point,Exposant 3 Point,16 Point"/>
    <w:basedOn w:val="DefaultParagraphFont"/>
    <w:uiPriority w:val="99"/>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lt-LT" w:eastAsia="lt-LT"/>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lt-LT" w:eastAsia="lt-LT"/>
    </w:rPr>
  </w:style>
  <w:style w:type="paragraph" w:styleId="Header">
    <w:name w:val="header"/>
    <w:basedOn w:val="Normal"/>
    <w:link w:val="HeaderChar"/>
    <w:uiPriority w:val="99"/>
    <w:unhideWhenUsed/>
    <w:pPr>
      <w:widowControl/>
      <w:tabs>
        <w:tab w:val="center" w:pos="4535"/>
        <w:tab w:val="right" w:pos="9071"/>
      </w:tabs>
      <w:autoSpaceDE/>
      <w:autoSpaceDN/>
      <w:adjustRightInd/>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widowControl/>
      <w:tabs>
        <w:tab w:val="center" w:pos="4535"/>
        <w:tab w:val="right" w:pos="9071"/>
        <w:tab w:val="right" w:pos="9921"/>
      </w:tabs>
      <w:autoSpaceDE/>
      <w:autoSpaceDN/>
      <w:adjustRightInd/>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customStyle="1" w:styleId="Style1">
    <w:name w:val="Style1"/>
    <w:basedOn w:val="Heading1"/>
    <w:link w:val="Style1Char"/>
    <w:qFormat/>
    <w:pPr>
      <w:keepNext/>
      <w:tabs>
        <w:tab w:val="left" w:pos="480"/>
      </w:tabs>
      <w:spacing w:before="240" w:after="240"/>
      <w:ind w:left="480" w:hanging="480"/>
    </w:pPr>
    <w:rPr>
      <w:b/>
      <w:bCs/>
      <w:smallCaps/>
    </w:rPr>
  </w:style>
  <w:style w:type="character" w:customStyle="1" w:styleId="Style1Char">
    <w:name w:val="Style1 Char"/>
    <w:basedOn w:val="Heading1Char"/>
    <w:link w:val="Style1"/>
    <w:locked/>
    <w:rPr>
      <w:rFonts w:ascii="Times New Roman" w:eastAsiaTheme="minorEastAsia" w:hAnsi="Times New Roman" w:cs="Times New Roman"/>
      <w:b/>
      <w:bCs/>
      <w:smallCaps/>
      <w:sz w:val="24"/>
      <w:szCs w:val="24"/>
      <w:lang w:val="lt-LT" w:eastAsia="lt-LT"/>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autoSpaceDE/>
      <w:autoSpaceDN/>
      <w:adjustRightInd/>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FooterCoverPageChar">
    <w:name w:val="Footer Cover Page Char"/>
    <w:basedOn w:val="Style1Char"/>
    <w:link w:val="FooterCoverPage"/>
    <w:locked/>
    <w:rPr>
      <w:rFonts w:ascii="Times New Roman" w:eastAsiaTheme="minorEastAsia" w:hAnsi="Times New Roman" w:cs="Times New Roman"/>
      <w:b w:val="0"/>
      <w:bCs w:val="0"/>
      <w:smallCaps w:val="0"/>
      <w:sz w:val="24"/>
      <w:szCs w:val="24"/>
      <w:lang w:val="lt-LT" w:eastAsia="lt-LT"/>
    </w:rPr>
  </w:style>
  <w:style w:type="paragraph" w:customStyle="1" w:styleId="HeaderCoverPage">
    <w:name w:val="Header Cover Page"/>
    <w:basedOn w:val="Normal"/>
    <w:link w:val="HeaderCoverPageChar"/>
    <w:pPr>
      <w:numPr>
        <w:numId w:val="22"/>
      </w:numPr>
      <w:tabs>
        <w:tab w:val="center" w:pos="4535"/>
        <w:tab w:val="right" w:pos="9071"/>
      </w:tabs>
      <w:spacing w:after="120"/>
      <w:ind w:left="0"/>
      <w:jc w:val="both"/>
    </w:pPr>
  </w:style>
  <w:style w:type="character" w:customStyle="1" w:styleId="HeaderCoverPageChar">
    <w:name w:val="Header Cover Page Char"/>
    <w:basedOn w:val="Style1Char"/>
    <w:link w:val="HeaderCoverPage"/>
    <w:locked/>
    <w:rPr>
      <w:rFonts w:ascii="Times New Roman" w:eastAsiaTheme="minorEastAsia" w:hAnsi="Times New Roman" w:cs="Times New Roman"/>
      <w:b w:val="0"/>
      <w:bCs w:val="0"/>
      <w:smallCaps w:val="0"/>
      <w:sz w:val="24"/>
      <w:szCs w:val="24"/>
      <w:lang w:val="lt-LT" w:eastAsia="lt-LT"/>
    </w:rPr>
  </w:style>
  <w:style w:type="paragraph" w:customStyle="1" w:styleId="Titreobjet">
    <w:name w:val="Titre objet"/>
    <w:basedOn w:val="Normal"/>
    <w:next w:val="Normal"/>
    <w:pPr>
      <w:widowControl/>
      <w:autoSpaceDE/>
      <w:autoSpaceDN/>
      <w:adjustRightInd/>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widowControl/>
      <w:autoSpaceDE/>
      <w:autoSpaceDN/>
      <w:adjustRightInd/>
      <w:jc w:val="both"/>
    </w:pPr>
    <w:rPr>
      <w:rFonts w:eastAsiaTheme="minorHAnsi"/>
      <w:szCs w:val="22"/>
    </w:rPr>
  </w:style>
  <w:style w:type="paragraph" w:customStyle="1" w:styleId="HeaderLandscape">
    <w:name w:val="HeaderLandscape"/>
    <w:basedOn w:val="Normal"/>
    <w:pPr>
      <w:widowControl/>
      <w:tabs>
        <w:tab w:val="center" w:pos="7285"/>
        <w:tab w:val="right" w:pos="14003"/>
      </w:tabs>
      <w:autoSpaceDE/>
      <w:autoSpaceDN/>
      <w:adjustRightInd/>
      <w:spacing w:after="120"/>
      <w:jc w:val="both"/>
    </w:pPr>
    <w:rPr>
      <w:rFonts w:eastAsiaTheme="minorHAnsi"/>
      <w:szCs w:val="22"/>
    </w:rPr>
  </w:style>
  <w:style w:type="paragraph" w:customStyle="1" w:styleId="HeaderSensitivity">
    <w:name w:val="Head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after="120"/>
      <w:ind w:left="113" w:right="113"/>
      <w:jc w:val="center"/>
    </w:pPr>
    <w:rPr>
      <w:b/>
      <w:sz w:val="32"/>
    </w:rPr>
  </w:style>
  <w:style w:type="paragraph" w:customStyle="1" w:styleId="FooterLandscape">
    <w:name w:val="FooterLandscape"/>
    <w:basedOn w:val="Normal"/>
    <w:pPr>
      <w:widowControl/>
      <w:tabs>
        <w:tab w:val="center" w:pos="7285"/>
        <w:tab w:val="center" w:pos="10913"/>
        <w:tab w:val="right" w:pos="15137"/>
      </w:tabs>
      <w:autoSpaceDE/>
      <w:autoSpaceDN/>
      <w:adjustRightInd/>
      <w:spacing w:before="360"/>
      <w:ind w:left="-567" w:right="-567"/>
    </w:pPr>
    <w:rPr>
      <w:rFonts w:eastAsiaTheme="minorHAnsi"/>
      <w:szCs w:val="22"/>
    </w:rPr>
  </w:style>
  <w:style w:type="paragraph" w:customStyle="1" w:styleId="FooterSensitivity">
    <w:name w:val="Footer Sensitivity"/>
    <w:basedOn w:val="Normal"/>
    <w:pPr>
      <w:widowControl/>
      <w:pBdr>
        <w:top w:val="single" w:sz="4" w:space="1" w:color="auto"/>
        <w:left w:val="single" w:sz="4" w:space="4" w:color="auto"/>
        <w:bottom w:val="single" w:sz="4" w:space="1" w:color="auto"/>
        <w:right w:val="single" w:sz="4" w:space="4" w:color="auto"/>
      </w:pBdr>
      <w:autoSpaceDE/>
      <w:autoSpaceDN/>
      <w:adjustRightInd/>
      <w:spacing w:before="360"/>
      <w:ind w:left="113" w:right="113"/>
      <w:jc w:val="center"/>
    </w:pPr>
    <w:rPr>
      <w:b/>
      <w:sz w:val="32"/>
    </w:rPr>
  </w:style>
  <w:style w:type="paragraph" w:customStyle="1" w:styleId="Point0number">
    <w:name w:val="Point 0 (number)"/>
    <w:basedOn w:val="Normal"/>
    <w:pPr>
      <w:widowControl/>
      <w:numPr>
        <w:numId w:val="43"/>
      </w:numPr>
      <w:autoSpaceDE/>
      <w:autoSpaceDN/>
      <w:adjustRightInd/>
      <w:spacing w:before="120" w:after="120"/>
      <w:jc w:val="both"/>
    </w:pPr>
    <w:rPr>
      <w:rFonts w:eastAsiaTheme="minorHAnsi"/>
      <w:szCs w:val="22"/>
    </w:rPr>
  </w:style>
  <w:style w:type="paragraph" w:customStyle="1" w:styleId="Point1number">
    <w:name w:val="Point 1 (number)"/>
    <w:basedOn w:val="Normal"/>
    <w:pPr>
      <w:widowControl/>
      <w:numPr>
        <w:ilvl w:val="2"/>
        <w:numId w:val="43"/>
      </w:numPr>
      <w:autoSpaceDE/>
      <w:autoSpaceDN/>
      <w:adjustRightInd/>
      <w:spacing w:before="120" w:after="120"/>
      <w:jc w:val="both"/>
    </w:pPr>
    <w:rPr>
      <w:rFonts w:eastAsiaTheme="minorHAnsi"/>
      <w:szCs w:val="22"/>
    </w:rPr>
  </w:style>
  <w:style w:type="paragraph" w:customStyle="1" w:styleId="Point2number">
    <w:name w:val="Point 2 (number)"/>
    <w:basedOn w:val="Normal"/>
    <w:pPr>
      <w:widowControl/>
      <w:numPr>
        <w:ilvl w:val="4"/>
        <w:numId w:val="43"/>
      </w:numPr>
      <w:autoSpaceDE/>
      <w:autoSpaceDN/>
      <w:adjustRightInd/>
      <w:spacing w:before="120" w:after="120"/>
      <w:jc w:val="both"/>
    </w:pPr>
    <w:rPr>
      <w:rFonts w:eastAsiaTheme="minorHAnsi"/>
      <w:szCs w:val="22"/>
    </w:rPr>
  </w:style>
  <w:style w:type="paragraph" w:customStyle="1" w:styleId="Point3number">
    <w:name w:val="Point 3 (number)"/>
    <w:basedOn w:val="Normal"/>
    <w:pPr>
      <w:widowControl/>
      <w:numPr>
        <w:ilvl w:val="6"/>
        <w:numId w:val="43"/>
      </w:numPr>
      <w:autoSpaceDE/>
      <w:autoSpaceDN/>
      <w:adjustRightInd/>
      <w:spacing w:before="120" w:after="120"/>
      <w:jc w:val="both"/>
    </w:pPr>
    <w:rPr>
      <w:rFonts w:eastAsiaTheme="minorHAnsi"/>
      <w:szCs w:val="22"/>
    </w:rPr>
  </w:style>
  <w:style w:type="paragraph" w:customStyle="1" w:styleId="Point0letter">
    <w:name w:val="Point 0 (letter)"/>
    <w:basedOn w:val="Normal"/>
    <w:pPr>
      <w:widowControl/>
      <w:numPr>
        <w:ilvl w:val="1"/>
        <w:numId w:val="43"/>
      </w:numPr>
      <w:autoSpaceDE/>
      <w:autoSpaceDN/>
      <w:adjustRightInd/>
      <w:spacing w:before="120" w:after="120"/>
      <w:jc w:val="both"/>
    </w:pPr>
    <w:rPr>
      <w:rFonts w:eastAsiaTheme="minorHAnsi"/>
      <w:szCs w:val="22"/>
    </w:rPr>
  </w:style>
  <w:style w:type="paragraph" w:customStyle="1" w:styleId="Point1letter">
    <w:name w:val="Point 1 (letter)"/>
    <w:basedOn w:val="Normal"/>
    <w:pPr>
      <w:widowControl/>
      <w:numPr>
        <w:ilvl w:val="3"/>
        <w:numId w:val="43"/>
      </w:numPr>
      <w:autoSpaceDE/>
      <w:autoSpaceDN/>
      <w:adjustRightInd/>
      <w:spacing w:before="120" w:after="120"/>
      <w:jc w:val="both"/>
    </w:pPr>
    <w:rPr>
      <w:rFonts w:eastAsiaTheme="minorHAnsi"/>
      <w:szCs w:val="22"/>
    </w:rPr>
  </w:style>
  <w:style w:type="paragraph" w:customStyle="1" w:styleId="Point2letter">
    <w:name w:val="Point 2 (letter)"/>
    <w:basedOn w:val="Normal"/>
    <w:pPr>
      <w:widowControl/>
      <w:numPr>
        <w:ilvl w:val="5"/>
        <w:numId w:val="43"/>
      </w:numPr>
      <w:autoSpaceDE/>
      <w:autoSpaceDN/>
      <w:adjustRightInd/>
      <w:spacing w:before="120" w:after="120"/>
      <w:jc w:val="both"/>
    </w:pPr>
    <w:rPr>
      <w:rFonts w:eastAsiaTheme="minorHAnsi"/>
      <w:szCs w:val="22"/>
    </w:rPr>
  </w:style>
  <w:style w:type="paragraph" w:customStyle="1" w:styleId="Point3letter">
    <w:name w:val="Point 3 (letter)"/>
    <w:basedOn w:val="Normal"/>
    <w:pPr>
      <w:widowControl/>
      <w:numPr>
        <w:ilvl w:val="7"/>
        <w:numId w:val="43"/>
      </w:numPr>
      <w:autoSpaceDE/>
      <w:autoSpaceDN/>
      <w:adjustRightInd/>
      <w:spacing w:before="120" w:after="120"/>
      <w:jc w:val="both"/>
    </w:pPr>
    <w:rPr>
      <w:rFonts w:eastAsiaTheme="minorHAnsi"/>
      <w:szCs w:val="22"/>
    </w:rPr>
  </w:style>
  <w:style w:type="paragraph" w:customStyle="1" w:styleId="Point4letter">
    <w:name w:val="Point 4 (letter)"/>
    <w:basedOn w:val="Normal"/>
    <w:pPr>
      <w:widowControl/>
      <w:numPr>
        <w:ilvl w:val="8"/>
        <w:numId w:val="43"/>
      </w:numPr>
      <w:autoSpaceDE/>
      <w:autoSpaceDN/>
      <w:adjustRightInd/>
      <w:spacing w:before="120" w:after="120"/>
      <w:jc w:val="both"/>
    </w:pPr>
    <w:rPr>
      <w:rFonts w:eastAsiaTheme="minorHAnsi"/>
      <w:szCs w:val="22"/>
    </w:rPr>
  </w:style>
  <w:style w:type="paragraph" w:customStyle="1" w:styleId="Bullet4">
    <w:name w:val="Bullet 4"/>
    <w:basedOn w:val="Normal"/>
    <w:pPr>
      <w:widowControl/>
      <w:numPr>
        <w:numId w:val="44"/>
      </w:numPr>
      <w:autoSpaceDE/>
      <w:autoSpaceDN/>
      <w:adjustRightInd/>
      <w:spacing w:before="120" w:after="120"/>
      <w:jc w:val="both"/>
    </w:pPr>
    <w:rPr>
      <w:rFonts w:eastAsiaTheme="minorHAnsi"/>
      <w:szCs w:val="22"/>
    </w:rPr>
  </w:style>
  <w:style w:type="paragraph" w:customStyle="1" w:styleId="Text1">
    <w:name w:val="Text 1"/>
    <w:basedOn w:val="Normal"/>
    <w:pPr>
      <w:widowControl/>
      <w:autoSpaceDE/>
      <w:autoSpaceDN/>
      <w:adjustRightInd/>
      <w:spacing w:after="240"/>
      <w:ind w:left="482"/>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1137</Words>
  <Characters>7759</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2019-01-29T12:21:00Z</dcterms:created>
  <dcterms:modified xsi:type="dcterms:W3CDTF">2019-01-29T17:33:00Z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