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047083BE-E57D-463A-AA00-822627052ABD" style="width:450.75pt;height:32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ListParagraph"/>
        <w:numPr>
          <w:ilvl w:val="0"/>
          <w:numId w:val="1"/>
        </w:numPr>
        <w:rPr>
          <w:rFonts w:ascii="Times New Roman" w:hAnsi="Times New Roman" w:cs="Times New Roman"/>
          <w:b/>
          <w:bCs/>
          <w:noProof/>
          <w:sz w:val="24"/>
          <w:szCs w:val="24"/>
        </w:rPr>
      </w:pPr>
      <w:bookmarkStart w:id="1" w:name="_GoBack"/>
      <w:bookmarkEnd w:id="1"/>
      <w:r>
        <w:rPr>
          <w:rFonts w:ascii="Times New Roman" w:hAnsi="Times New Roman"/>
          <w:b/>
          <w:noProof/>
          <w:sz w:val="24"/>
        </w:rPr>
        <w:lastRenderedPageBreak/>
        <w:t xml:space="preserve">ÚVOD </w:t>
      </w:r>
    </w:p>
    <w:p>
      <w:pPr>
        <w:jc w:val="both"/>
        <w:rPr>
          <w:rFonts w:ascii="Times New Roman" w:hAnsi="Times New Roman" w:cs="Times New Roman"/>
          <w:noProof/>
          <w:sz w:val="24"/>
          <w:szCs w:val="24"/>
        </w:rPr>
      </w:pPr>
      <w:r>
        <w:rPr>
          <w:rFonts w:ascii="Times New Roman" w:hAnsi="Times New Roman"/>
          <w:noProof/>
          <w:sz w:val="24"/>
        </w:rPr>
        <w:t>V čl. 6 odst. 1 nařízení (EU) č. 596/2014 o zneužívání trhu (dále jen „nařízení MAR“)</w:t>
      </w:r>
      <w:r>
        <w:rPr>
          <w:rStyle w:val="FootnoteReference"/>
          <w:rFonts w:ascii="Times New Roman" w:hAnsi="Times New Roman"/>
          <w:noProof/>
          <w:sz w:val="24"/>
        </w:rPr>
        <w:footnoteReference w:id="1"/>
      </w:r>
      <w:r>
        <w:rPr>
          <w:rFonts w:ascii="Times New Roman" w:hAnsi="Times New Roman"/>
          <w:noProof/>
          <w:sz w:val="24"/>
        </w:rPr>
        <w:t xml:space="preserve"> jsou členské státy, včetně členů federace v případě členského státu, který je federálním státem, členové Evropského systému centrálních bank (ESCB), ministerstva a jiné agentury a subjekty zvláštního určení jednoho či několika členských států nebo osoby jednající jejich jménem vyňaty z oblasti působnosti nařízení, pokud jde o obchody, pokyny nebo jednání, které provádějí v rámci řízení měnové nebo kurzové politiky či politiky v oblasti správy veřejného dluhu.</w:t>
      </w:r>
    </w:p>
    <w:p>
      <w:pPr>
        <w:jc w:val="both"/>
        <w:rPr>
          <w:rFonts w:ascii="Times New Roman" w:hAnsi="Times New Roman" w:cs="Times New Roman"/>
          <w:noProof/>
          <w:sz w:val="24"/>
          <w:szCs w:val="24"/>
        </w:rPr>
      </w:pPr>
      <w:r>
        <w:rPr>
          <w:rFonts w:ascii="Times New Roman" w:hAnsi="Times New Roman"/>
          <w:noProof/>
          <w:sz w:val="24"/>
        </w:rPr>
        <w:t>Toto vynětí některých operací prováděných ve veřejném zájmu z oblasti působnosti nařízení MAR může být podle čl. 6 odst. 5 nařízení MAR aktem Komise přijatým v přenesené pravomoci v souladu s článkem 35 nařízení MAR rozšířeno na některé veřejné orgány a centrální banky třetích zemí. V této souvislosti a v souladu s čl. 6 odst. 5 druhým pododstavcem nařízení MAR měla Komise do 3. ledna 2016 vypracovat a předložit Evropskému parlamentu a Radě zprávu o tom, jak se v mezinárodním prostředí přistupuje k veřejným orgánům pověřeným správou veřejného dluhu nebo do správy veřejného dluhu zasahujícím a k centrálním bankám třetích zemí.</w:t>
      </w:r>
    </w:p>
    <w:p>
      <w:pPr>
        <w:jc w:val="both"/>
        <w:rPr>
          <w:rFonts w:ascii="Times New Roman" w:hAnsi="Times New Roman" w:cs="Times New Roman"/>
          <w:noProof/>
          <w:sz w:val="24"/>
          <w:szCs w:val="24"/>
        </w:rPr>
      </w:pPr>
      <w:r>
        <w:rPr>
          <w:rFonts w:ascii="Times New Roman" w:hAnsi="Times New Roman"/>
          <w:noProof/>
          <w:sz w:val="24"/>
        </w:rPr>
        <w:t>Za tímto účelem zadala Komise Centru pro evropská politická studia (CEPS) a Boloňské univerzitě vypracování externí studie nazvané „Výjimky pro centrální banky třetích zemí a jiné subjekty podle nařízení o zneužívání trhu a nařízení o trzích finančních nástrojů“ (dále jen „studie“)</w:t>
      </w:r>
      <w:r>
        <w:rPr>
          <w:rStyle w:val="FootnoteReference"/>
          <w:rFonts w:ascii="Times New Roman" w:hAnsi="Times New Roman"/>
          <w:noProof/>
          <w:sz w:val="24"/>
        </w:rPr>
        <w:footnoteReference w:id="2"/>
      </w:r>
      <w:r>
        <w:rPr>
          <w:rFonts w:ascii="Times New Roman" w:hAnsi="Times New Roman"/>
          <w:noProof/>
          <w:sz w:val="24"/>
        </w:rPr>
        <w:t>. Studie vychází z průzkumu a sekundárního výzkumu. Analyzuje rámce týkající se zneužívání trhu a normy v oblasti řízení rizik, které platí pro centrální banky a subjekty pověřené správou veřejného dluhu (dále jen „SUB“) ve 13 jurisdikcích třetích zemí. Tyto jurisdikce byly vybrány za prioritní mimo jiné vzhledem k tomu, že jsou kvalifikovány jako systémově významné finanční sektory. Aby studie mohla posoudit nezbytnost a vhodnost udělení výjimky podle čl. 6 odst. 5 nařízení MAR, hodnotí soubor pravidel týkajících se zneužívání trhu a norem v oblasti řízení rizik ve vztahu k „evropské referenční úrovni“, která je založena na odpovídajících pravidlech a normách platných v Evropské unii a jejích členských státech.</w:t>
      </w:r>
    </w:p>
    <w:p>
      <w:pPr>
        <w:jc w:val="both"/>
        <w:rPr>
          <w:rFonts w:ascii="Times New Roman" w:hAnsi="Times New Roman" w:cs="Times New Roman"/>
          <w:noProof/>
          <w:sz w:val="24"/>
          <w:szCs w:val="24"/>
        </w:rPr>
      </w:pPr>
      <w:r>
        <w:rPr>
          <w:rFonts w:ascii="Times New Roman" w:hAnsi="Times New Roman"/>
          <w:noProof/>
          <w:sz w:val="24"/>
        </w:rPr>
        <w:t>Komise představila spolunormotvůrcům svou zprávu vyžadovanou podle čl. 6 odst. 5 nařízení MAR</w:t>
      </w:r>
      <w:r>
        <w:rPr>
          <w:rStyle w:val="FootnoteReference"/>
          <w:rFonts w:ascii="Times New Roman" w:hAnsi="Times New Roman"/>
          <w:noProof/>
          <w:sz w:val="24"/>
        </w:rPr>
        <w:footnoteReference w:id="3"/>
      </w:r>
      <w:r>
        <w:rPr>
          <w:rFonts w:ascii="Times New Roman" w:hAnsi="Times New Roman"/>
          <w:noProof/>
          <w:sz w:val="24"/>
        </w:rPr>
        <w:t xml:space="preserve"> dne 16. prosince 2015. V souladu se závěry této zprávy přijala Komise dne 17. prosince 2015 nařízení v přenesené pravomoci (EU) 2016/522</w:t>
      </w:r>
      <w:r>
        <w:rPr>
          <w:rStyle w:val="FootnoteReference"/>
          <w:rFonts w:ascii="Times New Roman" w:hAnsi="Times New Roman"/>
          <w:noProof/>
          <w:sz w:val="24"/>
        </w:rPr>
        <w:footnoteReference w:id="4"/>
      </w:r>
      <w:r>
        <w:rPr>
          <w:rFonts w:ascii="Times New Roman" w:hAnsi="Times New Roman"/>
          <w:noProof/>
          <w:sz w:val="24"/>
        </w:rPr>
        <w:t>, jímž rozšířila výjimku z oblasti působnosti nařízení MAR na specifikované veřejné subjekty a centrální banky jurisdikcí třetích zemí analyzovaných v její zprávě.</w:t>
      </w:r>
    </w:p>
    <w:p>
      <w:pPr>
        <w:pStyle w:val="ListParagraph"/>
        <w:numPr>
          <w:ilvl w:val="0"/>
          <w:numId w:val="1"/>
        </w:numPr>
        <w:jc w:val="both"/>
        <w:rPr>
          <w:rFonts w:ascii="Times New Roman" w:hAnsi="Times New Roman" w:cs="Times New Roman"/>
          <w:noProof/>
          <w:sz w:val="24"/>
          <w:szCs w:val="24"/>
        </w:rPr>
      </w:pPr>
      <w:r>
        <w:rPr>
          <w:rFonts w:ascii="Times New Roman" w:hAnsi="Times New Roman"/>
          <w:b/>
          <w:noProof/>
          <w:sz w:val="24"/>
        </w:rPr>
        <w:t>PRÁVNÍ ZÁKLAD ZPRÁVY: USTANOVENÍ ČL. 6 ODST. 5 NAŘÍZENÍ MAR</w:t>
      </w:r>
    </w:p>
    <w:p>
      <w:pPr>
        <w:jc w:val="both"/>
        <w:rPr>
          <w:rFonts w:ascii="Times New Roman" w:hAnsi="Times New Roman" w:cs="Times New Roman"/>
          <w:noProof/>
          <w:sz w:val="24"/>
          <w:szCs w:val="24"/>
        </w:rPr>
      </w:pPr>
      <w:r>
        <w:rPr>
          <w:rFonts w:ascii="Times New Roman" w:hAnsi="Times New Roman"/>
          <w:noProof/>
          <w:sz w:val="24"/>
        </w:rPr>
        <w:t>V čl. 6 odst. 5 druhém pododstavci nařízení MAR se vyžaduje, aby Komise do 3. ledna 2016 vypracovala a předložila Evropskému parlamentu a Radě zprávu o tom, jak se v mezinárodním prostředí přistupuje k veřejným orgánům pověřeným správou veřejného dluhu nebo do správy veřejného dluhu zasahujícím a k centrálním bankám třetích zemí.</w:t>
      </w:r>
    </w:p>
    <w:p>
      <w:pPr>
        <w:jc w:val="both"/>
        <w:rPr>
          <w:rFonts w:ascii="Times New Roman" w:hAnsi="Times New Roman" w:cs="Times New Roman"/>
          <w:noProof/>
          <w:sz w:val="24"/>
          <w:szCs w:val="24"/>
        </w:rPr>
      </w:pPr>
      <w:r>
        <w:rPr>
          <w:rFonts w:ascii="Times New Roman" w:hAnsi="Times New Roman"/>
          <w:noProof/>
          <w:sz w:val="24"/>
        </w:rPr>
        <w:t>Pokud jde o obsah zprávy, v čl. 6 odst. 5 třetím pododstavci nařízení MAR je stanoveno, že zpráva Komise obsahuje srovnávací analýzu toho, jakým způsobem se přistupuje k veřejným orgánům pověřeným správou veřejného dluhu nebo do správy veřejného dluhu zasahujícím a k centrálním bankám v právních řádech třetích zemí, a rovněž normám v oblasti řízení rizik, které se uplatňují na obchody prováděné těmito orgány a centrálními bankami. V čl. 6 odst. 5 třetím pododstavci nařízení MAR je dále stanoveno, že pokud zpráva dospěje k závěru, zejména na základě srovnávací analýzy, že je nezbytné vyjmout měnové úkoly těchto centrálních bank třetích zemí z působnosti povinností a zákazů nařízení MAR, měla by Komise rozšířit výše uvedenou výjimku rovněž na centrální banky těchto třetích zemí.</w:t>
      </w:r>
    </w:p>
    <w:p>
      <w:pPr>
        <w:jc w:val="both"/>
        <w:rPr>
          <w:rFonts w:ascii="Times New Roman" w:hAnsi="Times New Roman" w:cs="Times New Roman"/>
          <w:noProof/>
          <w:sz w:val="24"/>
          <w:szCs w:val="24"/>
        </w:rPr>
      </w:pPr>
      <w:r>
        <w:rPr>
          <w:rFonts w:ascii="Times New Roman" w:hAnsi="Times New Roman"/>
          <w:noProof/>
          <w:sz w:val="24"/>
        </w:rPr>
        <w:t>V prosinci 2016 přijala Komise zprávu vyžadovanou v čl. 6 odst. 5 nařízení MAR a také nařízení v přenesené pravomoci 2016/522, které uvádí seznam subjektů, na které se vztahuje rozšíření výjimky z oblasti působnosti nařízení.</w:t>
      </w:r>
    </w:p>
    <w:p>
      <w:pPr>
        <w:jc w:val="both"/>
        <w:rPr>
          <w:rFonts w:ascii="Times New Roman" w:hAnsi="Times New Roman" w:cs="Times New Roman"/>
          <w:noProof/>
          <w:sz w:val="24"/>
          <w:szCs w:val="24"/>
        </w:rPr>
      </w:pPr>
      <w:r>
        <w:rPr>
          <w:rFonts w:ascii="Times New Roman" w:hAnsi="Times New Roman"/>
          <w:noProof/>
          <w:sz w:val="24"/>
        </w:rPr>
        <w:t>Přístup Spojeného království k subjektům pověřeným správou veřejného dluhu a centrálním bankám v jeho právním řádu a rovněž normám v oblasti řízení rizik platným pro obchody, do nichž tyto subjekty vstupují, nebyl ve výše uvedené zprávě ani v nařízení v přenesené pravomoci posuzován, protože Spojené království mělo status členského státu. S ohledem na blížící se změnu statusu Spojeného království na třetí zemi je však nyní vhodné předložit Evropskému parlamentu a Radě zprávu podle čl. 6 odst. 5 nařízení MAR analyzující, zda je vhodné rozšířit výjimku z oblasti působnosti nařízení MAR na příslušné subjekty této země.</w:t>
      </w:r>
    </w:p>
    <w:p>
      <w:pPr>
        <w:rPr>
          <w:rFonts w:ascii="Times New Roman" w:hAnsi="Times New Roman" w:cs="Times New Roman"/>
          <w:noProof/>
          <w:sz w:val="24"/>
          <w:szCs w:val="24"/>
        </w:rPr>
      </w:pPr>
      <w:r>
        <w:rPr>
          <w:noProof/>
        </w:rPr>
        <w:br w:type="page"/>
      </w:r>
    </w:p>
    <w:p>
      <w:pPr>
        <w:pStyle w:val="ListParagraph"/>
        <w:numPr>
          <w:ilvl w:val="0"/>
          <w:numId w:val="1"/>
        </w:numPr>
        <w:spacing w:after="120"/>
        <w:ind w:left="357" w:hanging="357"/>
        <w:contextualSpacing w:val="0"/>
        <w:jc w:val="both"/>
        <w:rPr>
          <w:rFonts w:ascii="Times New Roman" w:hAnsi="Times New Roman" w:cs="Times New Roman"/>
          <w:noProof/>
          <w:sz w:val="24"/>
          <w:szCs w:val="24"/>
        </w:rPr>
      </w:pPr>
      <w:r>
        <w:rPr>
          <w:rFonts w:ascii="Times New Roman" w:hAnsi="Times New Roman"/>
          <w:b/>
          <w:noProof/>
          <w:sz w:val="24"/>
        </w:rPr>
        <w:t>ANALÝZA VHODNOSTI ROZŠÍŘENÍ VÝJIMKY NA SPOJENÉ KRÁLOVSTVÍ</w:t>
      </w:r>
    </w:p>
    <w:p>
      <w:pPr>
        <w:pStyle w:val="ListParagraph"/>
        <w:numPr>
          <w:ilvl w:val="1"/>
          <w:numId w:val="1"/>
        </w:numPr>
        <w:ind w:left="426"/>
        <w:jc w:val="both"/>
        <w:rPr>
          <w:rFonts w:ascii="Times New Roman" w:hAnsi="Times New Roman" w:cs="Times New Roman"/>
          <w:noProof/>
          <w:sz w:val="24"/>
          <w:szCs w:val="24"/>
        </w:rPr>
      </w:pPr>
      <w:r>
        <w:rPr>
          <w:rFonts w:ascii="Times New Roman" w:hAnsi="Times New Roman"/>
          <w:b/>
          <w:noProof/>
          <w:sz w:val="24"/>
        </w:rPr>
        <w:t>Kritéria použitá pro posouzení</w:t>
      </w:r>
    </w:p>
    <w:p>
      <w:pPr>
        <w:jc w:val="both"/>
        <w:rPr>
          <w:rFonts w:ascii="Times New Roman" w:hAnsi="Times New Roman" w:cs="Times New Roman"/>
          <w:noProof/>
          <w:sz w:val="24"/>
          <w:szCs w:val="24"/>
        </w:rPr>
      </w:pPr>
      <w:r>
        <w:rPr>
          <w:rFonts w:ascii="Times New Roman" w:hAnsi="Times New Roman"/>
          <w:noProof/>
          <w:sz w:val="24"/>
        </w:rPr>
        <w:t>Vzhledem k významnému objemu obchodů v oblasti působnosti nařízení MAR, které pochází ze Spojeného království, existuje jasný důvod pro posouzení vhodnosti rozšíření výjimky podle článku 6 na jeho centrální banku a případně i na jeho veřejné orgány pověřené správou veřejného dluhu nebo do správy veřejného dluhu zasahující. Subjekty, na které se působnost tohoto posouzení jednoznačně vztahuje, jsou banka Bank of England a úřad United Kingdom Debt Management Office.</w:t>
      </w:r>
    </w:p>
    <w:p>
      <w:pPr>
        <w:spacing w:after="120"/>
        <w:jc w:val="both"/>
        <w:rPr>
          <w:rFonts w:ascii="Times New Roman" w:hAnsi="Times New Roman" w:cs="Times New Roman"/>
          <w:noProof/>
          <w:sz w:val="24"/>
          <w:szCs w:val="24"/>
        </w:rPr>
      </w:pPr>
      <w:r>
        <w:rPr>
          <w:rFonts w:ascii="Times New Roman" w:hAnsi="Times New Roman"/>
          <w:noProof/>
          <w:sz w:val="24"/>
        </w:rPr>
        <w:t>Analýza je v první řadě založena na posouzení souboru pravidel týkajících se zneužívání trhu platných ve Spojeném království. Patří mezi ně zejména pravidla týkající se:</w:t>
      </w:r>
    </w:p>
    <w:p>
      <w:pPr>
        <w:pStyle w:val="ListParagraph"/>
        <w:spacing w:before="60"/>
        <w:ind w:left="0"/>
        <w:jc w:val="both"/>
        <w:rPr>
          <w:rFonts w:ascii="Times New Roman" w:hAnsi="Times New Roman" w:cs="Times New Roman"/>
          <w:noProof/>
          <w:sz w:val="24"/>
          <w:szCs w:val="24"/>
        </w:rPr>
      </w:pPr>
      <w:r>
        <w:rPr>
          <w:rFonts w:ascii="Times New Roman" w:hAnsi="Times New Roman"/>
          <w:noProof/>
          <w:sz w:val="24"/>
        </w:rPr>
        <w:t>i)</w:t>
      </w:r>
      <w:r>
        <w:rPr>
          <w:noProof/>
        </w:rPr>
        <w:tab/>
      </w:r>
      <w:r>
        <w:rPr>
          <w:rFonts w:ascii="Times New Roman" w:hAnsi="Times New Roman"/>
          <w:noProof/>
          <w:sz w:val="24"/>
        </w:rPr>
        <w:t xml:space="preserve">obchodování zasvěcené osoby a nedovoleného zpřístupnění vnitřní informace </w:t>
      </w:r>
    </w:p>
    <w:p>
      <w:pPr>
        <w:pStyle w:val="ListParagraph"/>
        <w:spacing w:before="60"/>
        <w:ind w:left="0"/>
        <w:jc w:val="both"/>
        <w:rPr>
          <w:rFonts w:ascii="Times New Roman" w:hAnsi="Times New Roman" w:cs="Times New Roman"/>
          <w:noProof/>
          <w:sz w:val="24"/>
          <w:szCs w:val="24"/>
        </w:rPr>
      </w:pPr>
      <w:r>
        <w:rPr>
          <w:rFonts w:ascii="Times New Roman" w:hAnsi="Times New Roman"/>
          <w:noProof/>
          <w:sz w:val="24"/>
        </w:rPr>
        <w:t xml:space="preserve">ii) </w:t>
      </w:r>
      <w:r>
        <w:rPr>
          <w:noProof/>
        </w:rPr>
        <w:tab/>
      </w:r>
      <w:r>
        <w:rPr>
          <w:rFonts w:ascii="Times New Roman" w:hAnsi="Times New Roman"/>
          <w:noProof/>
          <w:sz w:val="24"/>
        </w:rPr>
        <w:t>manipulace s trhem</w:t>
      </w:r>
    </w:p>
    <w:p>
      <w:pPr>
        <w:pStyle w:val="ListParagraph"/>
        <w:spacing w:before="60"/>
        <w:ind w:left="0"/>
        <w:jc w:val="both"/>
        <w:rPr>
          <w:rFonts w:ascii="Times New Roman" w:hAnsi="Times New Roman" w:cs="Times New Roman"/>
          <w:noProof/>
          <w:sz w:val="24"/>
          <w:szCs w:val="24"/>
        </w:rPr>
      </w:pPr>
      <w:r>
        <w:rPr>
          <w:rFonts w:ascii="Times New Roman" w:hAnsi="Times New Roman"/>
          <w:noProof/>
          <w:sz w:val="24"/>
        </w:rPr>
        <w:t xml:space="preserve">iii) </w:t>
      </w:r>
      <w:r>
        <w:rPr>
          <w:noProof/>
        </w:rPr>
        <w:tab/>
      </w:r>
      <w:r>
        <w:rPr>
          <w:rFonts w:ascii="Times New Roman" w:hAnsi="Times New Roman"/>
          <w:noProof/>
          <w:sz w:val="24"/>
        </w:rPr>
        <w:t>výjimky z nařízení o zneužívání trhu</w:t>
      </w:r>
    </w:p>
    <w:p>
      <w:pPr>
        <w:jc w:val="both"/>
        <w:rPr>
          <w:rFonts w:ascii="Times New Roman" w:hAnsi="Times New Roman" w:cs="Times New Roman"/>
          <w:noProof/>
          <w:sz w:val="24"/>
          <w:szCs w:val="24"/>
        </w:rPr>
      </w:pPr>
      <w:r>
        <w:rPr>
          <w:rFonts w:ascii="Times New Roman" w:hAnsi="Times New Roman"/>
          <w:noProof/>
          <w:sz w:val="24"/>
        </w:rPr>
        <w:t>Za druhé analýza zahrnuje posouzení norem v oblasti řízení rizik, mezi něž patří interní ujednání, systémy a postupy, jejichž cílem je zabránit pracovníkům, aby přímo či nepřímo prováděli obchody nebo pokyny či se zapojovali do jednání na svůj vlastní účet. Patří mezi ně mimo jiné pravidla chování týkající se těchto otázek:</w:t>
      </w:r>
    </w:p>
    <w:p>
      <w:pPr>
        <w:pStyle w:val="ListParagraph"/>
        <w:spacing w:before="60"/>
        <w:ind w:left="0"/>
        <w:jc w:val="both"/>
        <w:rPr>
          <w:rFonts w:ascii="Times New Roman" w:hAnsi="Times New Roman" w:cs="Times New Roman"/>
          <w:noProof/>
          <w:sz w:val="24"/>
          <w:szCs w:val="24"/>
        </w:rPr>
      </w:pPr>
      <w:r>
        <w:rPr>
          <w:rFonts w:ascii="Times New Roman" w:hAnsi="Times New Roman"/>
          <w:noProof/>
          <w:sz w:val="24"/>
        </w:rPr>
        <w:t>i)</w:t>
      </w:r>
      <w:r>
        <w:rPr>
          <w:noProof/>
        </w:rPr>
        <w:tab/>
      </w:r>
      <w:r>
        <w:rPr>
          <w:rFonts w:ascii="Times New Roman" w:hAnsi="Times New Roman"/>
          <w:noProof/>
          <w:sz w:val="24"/>
        </w:rPr>
        <w:t xml:space="preserve">používání důvěrných údajů pracovníky </w:t>
      </w:r>
    </w:p>
    <w:p>
      <w:pPr>
        <w:pStyle w:val="ListParagraph"/>
        <w:spacing w:before="60"/>
        <w:ind w:left="0"/>
        <w:jc w:val="both"/>
        <w:rPr>
          <w:rFonts w:ascii="Times New Roman" w:hAnsi="Times New Roman" w:cs="Times New Roman"/>
          <w:noProof/>
          <w:sz w:val="24"/>
          <w:szCs w:val="24"/>
        </w:rPr>
      </w:pPr>
      <w:r>
        <w:rPr>
          <w:rFonts w:ascii="Times New Roman" w:hAnsi="Times New Roman"/>
          <w:noProof/>
          <w:sz w:val="24"/>
        </w:rPr>
        <w:t>ii)</w:t>
      </w:r>
      <w:r>
        <w:rPr>
          <w:noProof/>
        </w:rPr>
        <w:tab/>
      </w:r>
      <w:r>
        <w:rPr>
          <w:rFonts w:ascii="Times New Roman" w:hAnsi="Times New Roman"/>
          <w:noProof/>
          <w:sz w:val="24"/>
        </w:rPr>
        <w:t>obchodování s aktivy a finančními nástroji ze strany pracovníků</w:t>
      </w:r>
    </w:p>
    <w:p>
      <w:pPr>
        <w:pStyle w:val="ListParagraph"/>
        <w:spacing w:before="60"/>
        <w:ind w:left="0"/>
        <w:jc w:val="both"/>
        <w:rPr>
          <w:rFonts w:ascii="Times New Roman" w:hAnsi="Times New Roman" w:cs="Times New Roman"/>
          <w:noProof/>
          <w:sz w:val="24"/>
          <w:szCs w:val="24"/>
        </w:rPr>
      </w:pPr>
      <w:r>
        <w:rPr>
          <w:rFonts w:ascii="Times New Roman" w:hAnsi="Times New Roman"/>
          <w:noProof/>
          <w:sz w:val="24"/>
        </w:rPr>
        <w:t>iii)</w:t>
      </w:r>
      <w:r>
        <w:rPr>
          <w:noProof/>
        </w:rPr>
        <w:tab/>
      </w:r>
      <w:r>
        <w:rPr>
          <w:rFonts w:ascii="Times New Roman" w:hAnsi="Times New Roman"/>
          <w:noProof/>
          <w:sz w:val="24"/>
        </w:rPr>
        <w:t>nezávislost pracovníků a střet zájmů</w:t>
      </w:r>
    </w:p>
    <w:p>
      <w:pPr>
        <w:pStyle w:val="ListParagraph"/>
        <w:spacing w:before="60"/>
        <w:ind w:left="0"/>
        <w:jc w:val="both"/>
        <w:rPr>
          <w:rFonts w:ascii="Times New Roman" w:hAnsi="Times New Roman" w:cs="Times New Roman"/>
          <w:noProof/>
          <w:sz w:val="24"/>
          <w:szCs w:val="24"/>
        </w:rPr>
      </w:pPr>
      <w:r>
        <w:rPr>
          <w:rFonts w:ascii="Times New Roman" w:hAnsi="Times New Roman"/>
          <w:noProof/>
          <w:sz w:val="24"/>
        </w:rPr>
        <w:t>iv)</w:t>
      </w:r>
      <w:r>
        <w:rPr>
          <w:noProof/>
        </w:rPr>
        <w:tab/>
      </w:r>
      <w:r>
        <w:rPr>
          <w:rFonts w:ascii="Times New Roman" w:hAnsi="Times New Roman"/>
          <w:noProof/>
          <w:sz w:val="24"/>
        </w:rPr>
        <w:t>prosazování pravidel chování</w:t>
      </w:r>
    </w:p>
    <w:p>
      <w:pPr>
        <w:jc w:val="both"/>
        <w:rPr>
          <w:rFonts w:ascii="Times New Roman" w:hAnsi="Times New Roman" w:cs="Times New Roman"/>
          <w:noProof/>
          <w:sz w:val="24"/>
          <w:szCs w:val="24"/>
        </w:rPr>
      </w:pPr>
      <w:r>
        <w:rPr>
          <w:rFonts w:ascii="Times New Roman" w:hAnsi="Times New Roman"/>
          <w:noProof/>
          <w:sz w:val="24"/>
        </w:rPr>
        <w:t>Analýza vychází ze závěrů studie provedené Centrem pro evropská politická studia (CEPS). I když studie přezkoumává výše uvedená pravidla platná ve Spojeném království v kontextu jeho statusu coby členského státu, přináší nicméně veškeré informace, které jsou nutné ke komplexnímu posouzení, zda je vhodné rozšířit výjimku podle čl. 6 odst. 1 na banku Bank of England a úřad United Kingdom Debt Management Office.</w:t>
      </w:r>
    </w:p>
    <w:p>
      <w:pPr>
        <w:jc w:val="both"/>
        <w:rPr>
          <w:rFonts w:ascii="Times New Roman" w:hAnsi="Times New Roman" w:cs="Times New Roman"/>
          <w:noProof/>
          <w:sz w:val="24"/>
          <w:szCs w:val="24"/>
        </w:rPr>
      </w:pPr>
      <w:r>
        <w:rPr>
          <w:rFonts w:ascii="Times New Roman" w:hAnsi="Times New Roman"/>
          <w:noProof/>
          <w:sz w:val="24"/>
        </w:rPr>
        <w:t>Podrobný popis kritérií zvažovaných v analýze lze najít ve studii, kterou vypracovalo Centrum pro evropská politická studia (CEPS).</w:t>
      </w:r>
    </w:p>
    <w:p>
      <w:pPr>
        <w:pStyle w:val="ListParagraph"/>
        <w:numPr>
          <w:ilvl w:val="1"/>
          <w:numId w:val="1"/>
        </w:numPr>
        <w:ind w:left="426"/>
        <w:jc w:val="both"/>
        <w:rPr>
          <w:rFonts w:ascii="Times New Roman" w:hAnsi="Times New Roman" w:cs="Times New Roman"/>
          <w:noProof/>
          <w:sz w:val="24"/>
          <w:szCs w:val="24"/>
        </w:rPr>
      </w:pPr>
      <w:r>
        <w:rPr>
          <w:rFonts w:ascii="Times New Roman" w:hAnsi="Times New Roman"/>
          <w:b/>
          <w:noProof/>
          <w:sz w:val="24"/>
        </w:rPr>
        <w:t>Shrnutí analýzy týkající se Spojeného království</w:t>
      </w:r>
    </w:p>
    <w:p>
      <w:pPr>
        <w:jc w:val="both"/>
        <w:rPr>
          <w:rFonts w:ascii="Times New Roman" w:hAnsi="Times New Roman" w:cs="Times New Roman"/>
          <w:noProof/>
          <w:sz w:val="24"/>
          <w:szCs w:val="24"/>
          <w:u w:val="single"/>
        </w:rPr>
      </w:pPr>
      <w:r>
        <w:rPr>
          <w:rFonts w:ascii="Times New Roman" w:hAnsi="Times New Roman"/>
          <w:noProof/>
          <w:sz w:val="24"/>
          <w:u w:val="single"/>
        </w:rPr>
        <w:t>Režim týkající se zneužívání trhu</w:t>
      </w:r>
    </w:p>
    <w:p>
      <w:pPr>
        <w:jc w:val="both"/>
        <w:rPr>
          <w:rFonts w:ascii="Times New Roman" w:hAnsi="Times New Roman" w:cs="Times New Roman"/>
          <w:noProof/>
          <w:sz w:val="24"/>
          <w:szCs w:val="24"/>
        </w:rPr>
      </w:pPr>
      <w:r>
        <w:rPr>
          <w:rFonts w:ascii="Times New Roman" w:hAnsi="Times New Roman"/>
          <w:noProof/>
          <w:sz w:val="24"/>
        </w:rPr>
        <w:t>Pravidla nařízení MAR jsou v současnosti ve Spojeném království přímo použitelná, protože jde o členský stát. Vzhledem k tomu, že nařízení MAR tvoří uhelný kámen unijního rámce týkajícího se zneužívání trhu, znamená to, že Spojené království má odpovídající pravidla týkající se obchodování zasvěcených osob, nedovoleného zpřístupňování vnitřních informací a všech forem manipulace s trhem, jakož i výjimek z tohoto rámce. Jelikož se však Spojené království nachází v procesu vystoupení z Evropské unie, je vhodné zvážit plánované budoucí změny, které může ve svém režimu týkajícím se zneužívání trhu učinit. V tomto ohledu z důvodové zprávy doprovázející návrh právního předpisu o zneužívání trhu „The Market Abuse (Amendment) (EU Exit) Regulations 2018“</w:t>
      </w:r>
      <w:r>
        <w:rPr>
          <w:rStyle w:val="FootnoteReference"/>
          <w:rFonts w:ascii="Times New Roman" w:hAnsi="Times New Roman"/>
          <w:noProof/>
          <w:sz w:val="24"/>
        </w:rPr>
        <w:footnoteReference w:id="5"/>
      </w:r>
      <w:r>
        <w:rPr>
          <w:rFonts w:ascii="Times New Roman" w:hAnsi="Times New Roman"/>
          <w:noProof/>
          <w:sz w:val="24"/>
        </w:rPr>
        <w:t xml:space="preserve"> se jeví, že zjevným záměrem vlády Spojeného království je nečinit v blízké budoucnosti žádné změny politiky ohledně svého režimu týkajícího se zneužívání trhu, jenž byl zaveden nařízením MAR, s výjimkou toho, kdy je to vhodné v souvislosti s novým postavením země mimo EU, a pro usnadnění přechodu.</w:t>
      </w:r>
    </w:p>
    <w:p>
      <w:pPr>
        <w:jc w:val="both"/>
        <w:rPr>
          <w:rFonts w:ascii="Times New Roman" w:hAnsi="Times New Roman" w:cs="Times New Roman"/>
          <w:noProof/>
          <w:sz w:val="24"/>
          <w:szCs w:val="24"/>
          <w:u w:val="single"/>
        </w:rPr>
      </w:pPr>
      <w:r>
        <w:rPr>
          <w:rFonts w:ascii="Times New Roman" w:hAnsi="Times New Roman"/>
          <w:noProof/>
          <w:sz w:val="24"/>
          <w:u w:val="single"/>
        </w:rPr>
        <w:t>Normy v oblasti řízení rizik</w:t>
      </w:r>
    </w:p>
    <w:p>
      <w:pPr>
        <w:jc w:val="both"/>
        <w:rPr>
          <w:rFonts w:ascii="Times New Roman" w:hAnsi="Times New Roman" w:cs="Times New Roman"/>
          <w:noProof/>
          <w:sz w:val="24"/>
          <w:szCs w:val="24"/>
        </w:rPr>
      </w:pPr>
      <w:r>
        <w:rPr>
          <w:rFonts w:ascii="Times New Roman" w:hAnsi="Times New Roman"/>
          <w:noProof/>
          <w:sz w:val="24"/>
        </w:rPr>
        <w:t>Banka Bank of England uplatňuje extenzívní normy v oblasti řízení rizik, pokud jde o obchody, pokyny nebo jednání, které provádí v rámci řízení měnové nebo kurzové politiky či politiky v oblasti správy veřejného dluhu. Podle těchto pravidel mají pracovníci povinnost zachovávat profesní tajemství a nesmí vnitřní informace zpřístupňovat ani je užívat k osobnímu prospěchu. Existují navíc interní pravidla chování, která stanoví omezení na obchodování s aktivy a finančními nástroji ze strany pracovníků, pravidla upravující střet zájmů a rovněž jasná pravidla o hierarchických vztazích v případě uplatňování jakéhokoliv z pravidel chování. Konečně banka Bank of England má disciplinární řízení sankcionující nedodržování těchto pravidel.</w:t>
      </w:r>
    </w:p>
    <w:p>
      <w:pPr>
        <w:jc w:val="both"/>
        <w:rPr>
          <w:rFonts w:ascii="Times New Roman" w:hAnsi="Times New Roman" w:cs="Times New Roman"/>
          <w:noProof/>
          <w:sz w:val="24"/>
          <w:szCs w:val="24"/>
        </w:rPr>
      </w:pPr>
      <w:r>
        <w:rPr>
          <w:rFonts w:ascii="Times New Roman" w:hAnsi="Times New Roman"/>
          <w:noProof/>
          <w:sz w:val="24"/>
        </w:rPr>
        <w:t>Úřad United Kingdom Debt Management Office má spolehlivý systém pravidel chování, který platí pro jeho pracovníky. Většina z těchto pravidel je obsažena v kodexu řízení veřejné služby (Civil Service Management Code). Stejně jako ostatní úředníci mají pracovníci tohoto úřadu za povinnost zachovávat profesní tajemství a vyhnout se užívání vnitřních informací k prosazování svých vlastních finančních zájmů. Pracovníci úřadu nesmí investovat do obchodních podílů a jiných cenných papírů, jsou-li takové investice v rozporu s povahou jejich práce. Platná pravidla pro střet zájmů jim navíc brání v tom, aby se zapojovali do jakýchkoliv rozhodnutí, která by mohla ovlivnit hodnotu jejich investic. Tento úřad má zavedeno disciplinární řízení pro porušení pravidel pro pracovníky, jakož i pro jiné situace, ve kterých jednání pracovníků narušuje nebo poškozuje činnost nebo dobré jméno organizace.</w:t>
      </w:r>
    </w:p>
    <w:p>
      <w:pPr>
        <w:pStyle w:val="ListParagraph"/>
        <w:numPr>
          <w:ilvl w:val="0"/>
          <w:numId w:val="1"/>
        </w:numPr>
        <w:jc w:val="both"/>
        <w:rPr>
          <w:rFonts w:ascii="Times New Roman" w:hAnsi="Times New Roman" w:cs="Times New Roman"/>
          <w:b/>
          <w:noProof/>
          <w:sz w:val="24"/>
          <w:szCs w:val="24"/>
        </w:rPr>
      </w:pPr>
      <w:r>
        <w:rPr>
          <w:rFonts w:ascii="Times New Roman" w:hAnsi="Times New Roman"/>
          <w:b/>
          <w:noProof/>
          <w:sz w:val="24"/>
        </w:rPr>
        <w:t>ZÁVĚRY</w:t>
      </w:r>
    </w:p>
    <w:p>
      <w:pPr>
        <w:jc w:val="both"/>
        <w:rPr>
          <w:rFonts w:ascii="Times New Roman" w:hAnsi="Times New Roman" w:cs="Times New Roman"/>
          <w:noProof/>
          <w:sz w:val="24"/>
          <w:szCs w:val="24"/>
        </w:rPr>
      </w:pPr>
      <w:r>
        <w:rPr>
          <w:rFonts w:ascii="Times New Roman" w:hAnsi="Times New Roman"/>
          <w:noProof/>
          <w:sz w:val="24"/>
        </w:rPr>
        <w:t>Na základě získaných informací a provedené analýzy Komise konstatuje, že je vhodné udělit výjimku z oblasti působnosti požadavků nařízení MAR centrální bance a SUB Spojeného království, jmenovitě bance Bank of England a úřadu United Kingdom Debt Management Office, jakmile se Spojené království stane třetí zemí.</w:t>
      </w:r>
    </w:p>
    <w:p>
      <w:pPr>
        <w:jc w:val="both"/>
        <w:rPr>
          <w:rFonts w:ascii="Times New Roman" w:hAnsi="Times New Roman" w:cs="Times New Roman"/>
          <w:noProof/>
          <w:sz w:val="24"/>
          <w:szCs w:val="24"/>
        </w:rPr>
      </w:pPr>
      <w:r>
        <w:rPr>
          <w:rFonts w:ascii="Times New Roman" w:hAnsi="Times New Roman"/>
          <w:noProof/>
          <w:sz w:val="24"/>
        </w:rPr>
        <w:t>Závěry uvedenými v této zprávě nejsou dotčeny případné budoucí změny s přihlédnutím ke změnám právních předpisů třetích zemí nebo ke změněným skutkovým okolnostem, jež mohou vést k potřebě revize seznamu vyňatých centrálních bank a subjektů pověřených správou veřejného dluhu ze třetích zemí.</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6361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Nařízení Evropského parlamentu a Rady (EU) č. 596/2014 ze dne 16. dubna 2014 o zneužívání trhu (nařízení o zneužívání trhu) a o zrušení směrnice Evropského parlamentu a Rady 2003/6/ES a směrnic Komise 2003/124/ES, 2003/125/ES a 2004/72/ES (Úř. věst. L 173, 12.6.2014, s. 1).</w:t>
      </w:r>
    </w:p>
  </w:footnote>
  <w:footnote w:id="2">
    <w:p>
      <w:pPr>
        <w:pStyle w:val="FootnoteText"/>
      </w:pPr>
      <w:r>
        <w:rPr>
          <w:rStyle w:val="FootnoteReference"/>
        </w:rPr>
        <w:footnoteRef/>
      </w:r>
      <w:r>
        <w:t xml:space="preserve"> </w:t>
      </w:r>
      <w:hyperlink r:id="rId1">
        <w:r>
          <w:rPr>
            <w:rStyle w:val="Hyperlink"/>
          </w:rPr>
          <w:t>https://www.ceps.eu/publications/study-exemptions-third-country-central-banks-and-debt-management-offices-under-mifir</w:t>
        </w:r>
      </w:hyperlink>
      <w:r>
        <w:t xml:space="preserve"> </w:t>
      </w:r>
    </w:p>
  </w:footnote>
  <w:footnote w:id="3">
    <w:p>
      <w:pPr>
        <w:pStyle w:val="FootnoteText"/>
        <w:jc w:val="both"/>
        <w:rPr>
          <w:rFonts w:ascii="Times New Roman" w:hAnsi="Times New Roman" w:cs="Times New Roman"/>
        </w:rPr>
      </w:pPr>
      <w:r>
        <w:rPr>
          <w:rStyle w:val="FootnoteReference"/>
        </w:rPr>
        <w:footnoteRef/>
      </w:r>
      <w:r>
        <w:t xml:space="preserve"> </w:t>
      </w:r>
      <w:r>
        <w:rPr>
          <w:rFonts w:ascii="Times New Roman" w:hAnsi="Times New Roman"/>
        </w:rPr>
        <w:t>Zpráva Komise Evropskému parlamentu a Radě: Přístup k veřejným subjektům pověřeným správou veřejného dluhu nebo do správy veřejného dluhu zasahujícím a k centrálním bankám třetích zemí v mezinárodním prostředí podle nařízení (EU) č. 596/2014 o zneužívání trhu [COM(2015) 647 final].</w:t>
      </w:r>
    </w:p>
  </w:footnote>
  <w:footnote w:id="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Nařízení Komise v přenesené pravomoci (EU) 2016/522 ze dne 17. prosince 2015, kterým se doplňuje nařízení Evropského parlamentu a Rady (EU) č. 596/2014, pokud jde o výjimku pro některé veřejné orgány a centrální banky třetích zemí, ukazatele manipulace s trhem, prahové hodnoty pro zveřejnění, příslušný orgán pro oznamování odložení zveřejnění, povolování obchodů během uzavřeného období a druhy obchodů osob s řídicí pravomocí podléhající oznamovací povinnosti (Úř. věst. L 88, 5.4.2016, s. 1).</w:t>
      </w:r>
    </w:p>
  </w:footnote>
  <w:footnote w:id="5">
    <w:p>
      <w:pPr>
        <w:pStyle w:val="FootnoteText"/>
      </w:pPr>
      <w:r>
        <w:rPr>
          <w:rStyle w:val="FootnoteReference"/>
        </w:rPr>
        <w:footnoteRef/>
      </w:r>
      <w:r>
        <w:t xml:space="preserve"> </w:t>
      </w:r>
      <w:hyperlink r:id="rId2">
        <w:r>
          <w:rPr>
            <w:rStyle w:val="Hyperlink"/>
          </w:rPr>
          <w:t>https://www.gov.uk/government/publications/draft-market-abuse-amendment-eu-exit-regulations-2018</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2F4"/>
    <w:multiLevelType w:val="hybridMultilevel"/>
    <w:tmpl w:val="89D425A2"/>
    <w:lvl w:ilvl="0" w:tplc="0980BF76">
      <w:start w:val="1"/>
      <w:numFmt w:val="lowerRoman"/>
      <w:lvlText w:val="(%1)"/>
      <w:lvlJc w:val="right"/>
      <w:pPr>
        <w:ind w:left="720" w:hanging="360"/>
      </w:pPr>
      <w:rPr>
        <w:rFonts w:ascii="Times New Roman" w:eastAsiaTheme="minorHAnsi" w:hAnsi="Times New Roman" w:cs="Times New Roman"/>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77C432A"/>
    <w:multiLevelType w:val="multilevel"/>
    <w:tmpl w:val="45F08D78"/>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BCE3F98"/>
    <w:multiLevelType w:val="multilevel"/>
    <w:tmpl w:val="45F08D78"/>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11A20AC"/>
    <w:multiLevelType w:val="hybridMultilevel"/>
    <w:tmpl w:val="C31E0122"/>
    <w:lvl w:ilvl="0" w:tplc="C2D0445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02C474B"/>
    <w:multiLevelType w:val="hybridMultilevel"/>
    <w:tmpl w:val="97E82F0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72CA70B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A780E4D"/>
    <w:multiLevelType w:val="hybridMultilevel"/>
    <w:tmpl w:val="1FBE43D2"/>
    <w:lvl w:ilvl="0" w:tplc="2DBC05FC">
      <w:start w:val="1"/>
      <w:numFmt w:val="lowerRoman"/>
      <w:lvlText w:val="(%1)"/>
      <w:lvlJc w:val="right"/>
      <w:pPr>
        <w:ind w:left="720" w:hanging="360"/>
      </w:pPr>
      <w:rPr>
        <w:rFonts w:ascii="Times New Roman" w:eastAsiaTheme="minorHAnsi" w:hAnsi="Times New Roman" w:cs="Times New Roman"/>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47083BE-E57D-463A-AA00-822627052ABD"/>
    <w:docVar w:name="LW_COVERPAGE_TYPE" w:val="1"/>
    <w:docVar w:name="LW_CROSSREFERENCE" w:val="&lt;UNUSED&gt;"/>
    <w:docVar w:name="LW_DocType" w:val="NORMAL"/>
    <w:docVar w:name="LW_EMISSION" w:val="30.1.2019"/>
    <w:docVar w:name="LW_EMISSION_ISODATE" w:val="2019-01-30"/>
    <w:docVar w:name="LW_EMISSION_LOCATION" w:val="BRX"/>
    <w:docVar w:name="LW_EMISSION_PREFIX" w:val="V Bruselu dne "/>
    <w:docVar w:name="LW_EMISSION_SUFFIX" w:val=" "/>
    <w:docVar w:name="LW_ID_DOCTYPE_NONLW" w:val="CP-006"/>
    <w:docVar w:name="LW_LANGUE" w:val="CS"/>
    <w:docVar w:name="LW_LEVEL_OF_SENSITIVITY" w:val="Standard treatment"/>
    <w:docVar w:name="LW_NOM.INST" w:val="EVROPSKÁ KOMISE"/>
    <w:docVar w:name="LW_NOM.INST_JOINTDOC" w:val="&lt;EMPTY&gt;"/>
    <w:docVar w:name="LW_PART_NBR" w:val="1"/>
    <w:docVar w:name="LW_PART_NBR_TOTAL" w:val="1"/>
    <w:docVar w:name="LW_REF.INST.NEW" w:val="COM"/>
    <w:docVar w:name="LW_REF.INST.NEW_ADOPTED" w:val="final"/>
    <w:docVar w:name="LW_REF.INST.NEW_TEXT" w:val="(2019) 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Výjimka pro Bank of England a United Kingdom Debt Management Office podle na\u345?ízení o zneu\u382?ívání trhu_x000d__x000d__x000d__x000d__x000d__x000d__x000d__x000b_"/>
    <w:docVar w:name="LW_TYPE.DOC.CP" w:val="ZPRÁVA KOMISE EVROPSKÉMU PARLAMENTU A RAD\u282?"/>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pPr>
      <w:spacing w:line="240" w:lineRule="auto"/>
    </w:pPr>
    <w:rPr>
      <w:i/>
      <w:iCs/>
      <w:color w:val="1F497D" w:themeColor="text2"/>
      <w:sz w:val="18"/>
      <w:szCs w:val="18"/>
    </w:rPr>
  </w:style>
  <w:style w:type="paragraph" w:styleId="Revision">
    <w:name w:val="Revision"/>
    <w:hidden/>
    <w:uiPriority w:val="99"/>
    <w:semiHidden/>
    <w:pPr>
      <w:spacing w:after="0" w:line="240" w:lineRule="auto"/>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pPr>
      <w:spacing w:line="240" w:lineRule="auto"/>
    </w:pPr>
    <w:rPr>
      <w:i/>
      <w:iCs/>
      <w:color w:val="1F497D" w:themeColor="text2"/>
      <w:sz w:val="18"/>
      <w:szCs w:val="18"/>
    </w:rPr>
  </w:style>
  <w:style w:type="paragraph" w:styleId="Revision">
    <w:name w:val="Revision"/>
    <w:hidden/>
    <w:uiPriority w:val="99"/>
    <w:semiHidden/>
    <w:pPr>
      <w:spacing w:after="0" w:line="240" w:lineRule="auto"/>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17083">
      <w:bodyDiv w:val="1"/>
      <w:marLeft w:val="0"/>
      <w:marRight w:val="0"/>
      <w:marTop w:val="0"/>
      <w:marBottom w:val="0"/>
      <w:divBdr>
        <w:top w:val="none" w:sz="0" w:space="0" w:color="auto"/>
        <w:left w:val="none" w:sz="0" w:space="0" w:color="auto"/>
        <w:bottom w:val="none" w:sz="0" w:space="0" w:color="auto"/>
        <w:right w:val="none" w:sz="0" w:space="0" w:color="auto"/>
      </w:divBdr>
    </w:div>
    <w:div w:id="702171720">
      <w:bodyDiv w:val="1"/>
      <w:marLeft w:val="0"/>
      <w:marRight w:val="0"/>
      <w:marTop w:val="0"/>
      <w:marBottom w:val="0"/>
      <w:divBdr>
        <w:top w:val="none" w:sz="0" w:space="0" w:color="auto"/>
        <w:left w:val="none" w:sz="0" w:space="0" w:color="auto"/>
        <w:bottom w:val="none" w:sz="0" w:space="0" w:color="auto"/>
        <w:right w:val="none" w:sz="0" w:space="0" w:color="auto"/>
      </w:divBdr>
    </w:div>
    <w:div w:id="742488318">
      <w:bodyDiv w:val="1"/>
      <w:marLeft w:val="0"/>
      <w:marRight w:val="0"/>
      <w:marTop w:val="0"/>
      <w:marBottom w:val="0"/>
      <w:divBdr>
        <w:top w:val="none" w:sz="0" w:space="0" w:color="auto"/>
        <w:left w:val="none" w:sz="0" w:space="0" w:color="auto"/>
        <w:bottom w:val="none" w:sz="0" w:space="0" w:color="auto"/>
        <w:right w:val="none" w:sz="0" w:space="0" w:color="auto"/>
      </w:divBdr>
    </w:div>
    <w:div w:id="818426016">
      <w:bodyDiv w:val="1"/>
      <w:marLeft w:val="0"/>
      <w:marRight w:val="0"/>
      <w:marTop w:val="0"/>
      <w:marBottom w:val="0"/>
      <w:divBdr>
        <w:top w:val="none" w:sz="0" w:space="0" w:color="auto"/>
        <w:left w:val="none" w:sz="0" w:space="0" w:color="auto"/>
        <w:bottom w:val="none" w:sz="0" w:space="0" w:color="auto"/>
        <w:right w:val="none" w:sz="0" w:space="0" w:color="auto"/>
      </w:divBdr>
    </w:div>
    <w:div w:id="952635949">
      <w:bodyDiv w:val="1"/>
      <w:marLeft w:val="0"/>
      <w:marRight w:val="0"/>
      <w:marTop w:val="0"/>
      <w:marBottom w:val="0"/>
      <w:divBdr>
        <w:top w:val="none" w:sz="0" w:space="0" w:color="auto"/>
        <w:left w:val="none" w:sz="0" w:space="0" w:color="auto"/>
        <w:bottom w:val="none" w:sz="0" w:space="0" w:color="auto"/>
        <w:right w:val="none" w:sz="0" w:space="0" w:color="auto"/>
      </w:divBdr>
    </w:div>
    <w:div w:id="1015499575">
      <w:bodyDiv w:val="1"/>
      <w:marLeft w:val="0"/>
      <w:marRight w:val="0"/>
      <w:marTop w:val="0"/>
      <w:marBottom w:val="0"/>
      <w:divBdr>
        <w:top w:val="none" w:sz="0" w:space="0" w:color="auto"/>
        <w:left w:val="none" w:sz="0" w:space="0" w:color="auto"/>
        <w:bottom w:val="none" w:sz="0" w:space="0" w:color="auto"/>
        <w:right w:val="none" w:sz="0" w:space="0" w:color="auto"/>
      </w:divBdr>
    </w:div>
    <w:div w:id="1089423914">
      <w:bodyDiv w:val="1"/>
      <w:marLeft w:val="0"/>
      <w:marRight w:val="0"/>
      <w:marTop w:val="0"/>
      <w:marBottom w:val="0"/>
      <w:divBdr>
        <w:top w:val="none" w:sz="0" w:space="0" w:color="auto"/>
        <w:left w:val="none" w:sz="0" w:space="0" w:color="auto"/>
        <w:bottom w:val="none" w:sz="0" w:space="0" w:color="auto"/>
        <w:right w:val="none" w:sz="0" w:space="0" w:color="auto"/>
      </w:divBdr>
    </w:div>
    <w:div w:id="1243369618">
      <w:bodyDiv w:val="1"/>
      <w:marLeft w:val="0"/>
      <w:marRight w:val="0"/>
      <w:marTop w:val="0"/>
      <w:marBottom w:val="0"/>
      <w:divBdr>
        <w:top w:val="none" w:sz="0" w:space="0" w:color="auto"/>
        <w:left w:val="none" w:sz="0" w:space="0" w:color="auto"/>
        <w:bottom w:val="none" w:sz="0" w:space="0" w:color="auto"/>
        <w:right w:val="none" w:sz="0" w:space="0" w:color="auto"/>
      </w:divBdr>
    </w:div>
    <w:div w:id="1455830351">
      <w:bodyDiv w:val="1"/>
      <w:marLeft w:val="0"/>
      <w:marRight w:val="0"/>
      <w:marTop w:val="0"/>
      <w:marBottom w:val="0"/>
      <w:divBdr>
        <w:top w:val="none" w:sz="0" w:space="0" w:color="auto"/>
        <w:left w:val="none" w:sz="0" w:space="0" w:color="auto"/>
        <w:bottom w:val="none" w:sz="0" w:space="0" w:color="auto"/>
        <w:right w:val="none" w:sz="0" w:space="0" w:color="auto"/>
      </w:divBdr>
    </w:div>
    <w:div w:id="1526869530">
      <w:bodyDiv w:val="1"/>
      <w:marLeft w:val="0"/>
      <w:marRight w:val="0"/>
      <w:marTop w:val="0"/>
      <w:marBottom w:val="0"/>
      <w:divBdr>
        <w:top w:val="none" w:sz="0" w:space="0" w:color="auto"/>
        <w:left w:val="none" w:sz="0" w:space="0" w:color="auto"/>
        <w:bottom w:val="none" w:sz="0" w:space="0" w:color="auto"/>
        <w:right w:val="none" w:sz="0" w:space="0" w:color="auto"/>
      </w:divBdr>
    </w:div>
    <w:div w:id="201309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draft-market-abuse-amendment-eu-exit-regulations-2018" TargetMode="External"/><Relationship Id="rId1" Type="http://schemas.openxmlformats.org/officeDocument/2006/relationships/hyperlink" Target="https://www.ceps.eu/publications/study-exemptions-third-country-central-banks-and-debt-management-offices-under-mif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B7E9D52-A44B-42D5-8BC0-299C59E52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1478</Words>
  <Characters>8490</Characters>
  <Application>Microsoft Office Word</Application>
  <DocSecurity>0</DocSecurity>
  <Lines>132</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19</cp:revision>
  <cp:lastPrinted>2018-10-11T07:04:00Z</cp:lastPrinted>
  <dcterms:created xsi:type="dcterms:W3CDTF">2019-01-25T11:21:00Z</dcterms:created>
  <dcterms:modified xsi:type="dcterms:W3CDTF">2019-01-29T18:00:00Z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