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alt="F76E91FB-B1A6-4A10-97F6-683EA6F5E950" style="width:450.75pt;height:379.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UZASADNIENIE</w:t>
      </w:r>
    </w:p>
    <w:p>
      <w:pPr>
        <w:pStyle w:val="ManualHeading1"/>
        <w:spacing w:before="120"/>
        <w:rPr>
          <w:noProof/>
        </w:rPr>
      </w:pPr>
      <w:r>
        <w:rPr>
          <w:noProof/>
        </w:rPr>
        <w:t>1.</w:t>
      </w:r>
      <w:r>
        <w:rPr>
          <w:noProof/>
        </w:rPr>
        <w:tab/>
        <w:t>KONTEKST WNIOSKU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Przyczyny i cele wniosku</w:t>
      </w:r>
    </w:p>
    <w:p>
      <w:pPr>
        <w:rPr>
          <w:noProof/>
        </w:rPr>
      </w:pPr>
      <w:r>
        <w:rPr>
          <w:noProof/>
        </w:rPr>
        <w:t>W dniu 29 marca 2017 r. Zjednoczone Królestwo Wielkiej Brytanii i Irlandii Północnej („Zjednoczone Królestwo”) złożyło notyfikację o zamiarze wystąpienia z Unii Europejskiej zgodnie z art. 50 Traktatu o Unii Europejskiej. Oznacza to, że jeżeli umowa o wystąpieniu nie zostanie ratyfikowana, prawo pierwotne i wtórne Unii przestanie mieć zastosowanie do Zjednoczonego Królestwa od dnia 30 marca 2019 r. („data wystąpienia”). Zjednoczone Królestwo stanie się wtedy „państwem trzecim”.</w:t>
      </w:r>
    </w:p>
    <w:p>
      <w:pPr>
        <w:rPr>
          <w:noProof/>
        </w:rPr>
      </w:pPr>
      <w:r>
        <w:rPr>
          <w:noProof/>
        </w:rPr>
        <w:t>Dnia 13 grudnia 2018 r. Rada Europejska (art. 50) ponowiła swój apel o to, by prace służące osiągnięciu gotowości na skutki wystąpienia Zjednoczonego Królestwa z UE zintensyfikować na wszystkich szczeblach, uwzględniając wszelkie możliwe scenariusze. Niniejszy akt prawny stanowi część pakietu środków, które Komisja przyjmuje w odpowiedzi na to wezwanie.</w:t>
      </w:r>
    </w:p>
    <w:p>
      <w:pPr>
        <w:rPr>
          <w:noProof/>
        </w:rPr>
      </w:pPr>
      <w:r>
        <w:rPr>
          <w:noProof/>
        </w:rPr>
        <w:t>Program Erasmus+ jest inicjatywą przewodnią UE i jest uważany za jedno z największych osiągnięć Unii Europejskiej. Od czasu jego wprowadzenia trzy dekady temu program dał ponad 9 mln młodych Europejczyków możliwość wyjazdu za granicę w celu nauki. Dzięki programowi dojrzało całe pokolenie ludzi, którzy identyfikują się z Europą – ludzi otwartych i wolnych od uprzedzeń, silnych i ufnych we własne siły, którzy podzielają wspólne wartości europejskie i uczestniczą w budowie podstaw merytorycznych i odporności europejskiej gospodarki i społeczeństwa.</w:t>
      </w:r>
    </w:p>
    <w:p>
      <w:pPr>
        <w:rPr>
          <w:noProof/>
        </w:rPr>
      </w:pPr>
      <w:r>
        <w:rPr>
          <w:noProof/>
        </w:rPr>
        <w:t>W ramach Erasmus+ wspiera się działania w dziedzinie kształcenia i szkolenia, młodzieży i sportu. Program ten pomaga państwom europejskim w modernizowaniu i doskonaleniu ich systemów kształcenia i szkolenia, a także polityki dotyczącej młodzieży i sportu, wzmacniając znaczenie tych elementów jako siły napędowej wzrostu gospodarczego, zatrudnienia, konkurencyjności, innowacyjności i spójności społecznej. Program daje prawie 800 tys. osób rocznie możliwość kształcenia lub szkolenia za granicą przez okres maksymalnie 12 miesięcy.</w:t>
      </w:r>
    </w:p>
    <w:p>
      <w:pPr>
        <w:rPr>
          <w:noProof/>
        </w:rPr>
      </w:pPr>
      <w:r>
        <w:rPr>
          <w:noProof/>
        </w:rPr>
        <w:t>Jest on kluczowym instrumentem działań na rzecz utworzenia do 2025 r. europejskiego obszaru edukacji, w ramach którego młodzi ludzie będą otrzymywać kształcenie i szkolenie najwyższej jakości; w którym granice nie będą przeszkodą w uczeniu się, studiowaniu i prowadzeniu badań i w którym nauka lub praca przez pewien okres w innym państwie członkowskim będzie normą. W europejskim obszarze edukacji ludzie mają silne poczucie własnej europejskiej tożsamości oraz dziedzictwa kulturowego Europy przy całej jego różnorodności.</w:t>
      </w:r>
    </w:p>
    <w:p>
      <w:pPr>
        <w:rPr>
          <w:noProof/>
        </w:rPr>
      </w:pPr>
      <w:r>
        <w:rPr>
          <w:noProof/>
        </w:rPr>
        <w:t>W momencie wystąpienia Zjednoczonego Królestwa z Unii Europejskiej w państwie tym będzie odbywać naukę w ramach Erasmus+ prawie 14 tys. osób z UE-27 (studentów wyższych uczelni, praktykantów w ramach kształcenia i szkolenia zawodowego, młodzieży uczącej się oraz kadry dydaktycznej), zaś w UE-27 – około 7 tys. osób ze Zjednoczonego Królestwa.</w:t>
      </w:r>
    </w:p>
    <w:p>
      <w:pPr>
        <w:rPr>
          <w:noProof/>
        </w:rPr>
      </w:pPr>
      <w:r>
        <w:rPr>
          <w:noProof/>
        </w:rPr>
        <w:t>Jeśli umowa o wystąpieniu nie zostanie ratyfikowana, oznaczałoby to, że obecni uczestnicy Erasmus+, zarówno ze Zjednoczonego Królestwa, jak i z UE-27, musieliby przerwać naukę za granicą. Liczni studenci straciliby punkty zaliczeniowe i musieliby powtarzać cały semestr lub rok akademicki. Oznaczałoby to ogromne problemy zarówno dla nich samych, jak i dla instytucji wysyłających i przyjmujących ich.</w:t>
      </w:r>
    </w:p>
    <w:p>
      <w:pPr>
        <w:rPr>
          <w:noProof/>
        </w:rPr>
      </w:pPr>
      <w:r>
        <w:rPr>
          <w:noProof/>
        </w:rPr>
        <w:lastRenderedPageBreak/>
        <w:t>W niniejszym wniosku proponuje się środki awaryjne w celu uniknięcia zakłóceń w działaniach w zakresie mobilności edukacyjnej w ramach programu Erasmus+, obejmujących Zjednoczone Królestwo, w momencie wystąpienia z Unii Europejskiej. Środki te miałyby zastosowanie do trwających działań w zakresie mobilności edukacyjnej w ramach programu Erasmus+, rozpoczętych przed dniem, w którym Traktaty przestaną obowiązywać w Zjednoczonym Królestwie i stosować się do tego państwa.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Spójność z przepisami obowiązującymi w tej dziedzinie polityki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noProof/>
        </w:rPr>
      </w:pPr>
      <w:r>
        <w:rPr>
          <w:noProof/>
        </w:rPr>
        <w:t>Celem niniejszego wniosku jest kontynuacja istniejących programów.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Spójność z innymi politykami Unii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noProof/>
        </w:rPr>
      </w:pPr>
      <w:r>
        <w:rPr>
          <w:noProof/>
        </w:rPr>
        <w:t>Niniejszy wniosek jest w pełni zgodny z mandatem Rady do prowadzenia negocjacji ze Zjednoczonym Królestwem na temat jego wystąpienia z Unii.</w:t>
      </w:r>
    </w:p>
    <w:p>
      <w:pPr>
        <w:pStyle w:val="ManualHeading1"/>
        <w:spacing w:before="120"/>
        <w:rPr>
          <w:noProof/>
        </w:rPr>
      </w:pPr>
      <w:r>
        <w:rPr>
          <w:noProof/>
        </w:rPr>
        <w:t>2.</w:t>
      </w:r>
      <w:r>
        <w:rPr>
          <w:noProof/>
        </w:rPr>
        <w:tab/>
        <w:t>PODSTAWA PRAWNA, POMOCNICZOŚĆ I PROPORCJONALNOŚĆ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Podstawa prawna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noProof/>
        </w:rPr>
      </w:pPr>
      <w:r>
        <w:rPr>
          <w:noProof/>
        </w:rPr>
        <w:t>Art. 165 i 166 TFUE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noProof/>
        </w:rPr>
      </w:pPr>
      <w:r>
        <w:rPr>
          <w:b/>
          <w:noProof/>
        </w:rPr>
        <w:t xml:space="preserve">• </w:t>
      </w:r>
      <w:r>
        <w:rPr>
          <w:noProof/>
        </w:rPr>
        <w:tab/>
      </w:r>
      <w:r>
        <w:rPr>
          <w:b/>
          <w:noProof/>
        </w:rPr>
        <w:t>Pomocniczość (w przypadku kompetencji niewyłącznych)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noProof/>
        </w:rPr>
      </w:pPr>
      <w:r>
        <w:rPr>
          <w:noProof/>
        </w:rPr>
        <w:t>Celem proponowanego aktu jest zapewnienie częściowej kontynuacji programu Erasmus+, który jest regulowany rozporządzeniem (UE) nr 1288/2013 zmienionym rozporządzeniem (UE) 2018/1475. Zgodność programu z zasadą pomocniczości stwierdzono już w chwili przyjmowania drugiego z wymienionych rozporządzeń.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Proporcjonalność</w:t>
      </w:r>
    </w:p>
    <w:p>
      <w:pPr>
        <w:ind w:left="-5" w:right="2"/>
        <w:rPr>
          <w:noProof/>
        </w:rPr>
      </w:pPr>
      <w:r>
        <w:rPr>
          <w:noProof/>
        </w:rPr>
        <w:t>Wniosek uznaje się za proporcjonalny, ponieważ przewiduje on niezbędne zmiany prawne, a jednocześnie nie wykracza poza to, co jest konieczne do zapewnienia należytej kontynuacji trwających działań w zakresie mobilności edukacyjnej, zatwierdzonych już w ramach programu Erasmus+.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Wybór instrumentu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noProof/>
        </w:rPr>
      </w:pPr>
      <w:r>
        <w:rPr>
          <w:noProof/>
        </w:rPr>
        <w:t>Zważywszy że akt opiera się na rozporządzeniu (UE) nr 1288/2013, przedstawienie wniosku dotyczącego rozporządzenia jest jedyną odpowiednią formą.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noProof/>
        </w:rPr>
      </w:pPr>
      <w:r>
        <w:rPr>
          <w:noProof/>
        </w:rPr>
        <w:t>Ponieważ niniejsze rozporządzenie, które wejdzie w życie następnego dnia po jego opublikowaniu w </w:t>
      </w:r>
      <w:r>
        <w:rPr>
          <w:i/>
          <w:noProof/>
        </w:rPr>
        <w:t>Dzienniku Urzędowym Unii Europejskiej</w:t>
      </w:r>
      <w:r>
        <w:rPr>
          <w:noProof/>
        </w:rPr>
        <w:t xml:space="preserve">, będzie miało zastosowanie tylko wówczas, gdy umowa o wystąpieniu zawarta ze Zjednoczonym Królestwem zgodnie z art. 50 ust. 2 Traktatu o Unii Europejskiej nie wejdzie w życie do dnia zaprzestania stosowania Traktatów do Zjednoczonego Królestwa i w Zjednoczonym Królestwie, proponowany akt </w:t>
      </w:r>
      <w:r>
        <w:rPr>
          <w:i/>
          <w:noProof/>
        </w:rPr>
        <w:t>ad hoc</w:t>
      </w:r>
      <w:r>
        <w:rPr>
          <w:noProof/>
        </w:rPr>
        <w:t xml:space="preserve"> jest bardziej odpowiedni niż rozporządzenie w formie aktu zmieniającego.</w:t>
      </w:r>
    </w:p>
    <w:p>
      <w:pPr>
        <w:pStyle w:val="ManualHeading1"/>
        <w:spacing w:before="120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WYNIKI OCEN </w:t>
      </w:r>
      <w:r>
        <w:rPr>
          <w:i/>
          <w:noProof/>
        </w:rPr>
        <w:t>EX POST</w:t>
      </w:r>
      <w:r>
        <w:rPr>
          <w:noProof/>
        </w:rPr>
        <w:t>, KONSULTACJI Z ZAINTERESOWANYMI STRONAMI I OCEN SKUTKÓW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Konsultacje z zainteresowanymi stronami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noProof/>
        </w:rPr>
      </w:pPr>
      <w:r>
        <w:rPr>
          <w:noProof/>
        </w:rPr>
        <w:t>Ze względu na pilną potrzebę przygotowania wniosku w celu jego terminowego przyjęcia przez współprawodawców nie można było przeprowadzić konsultacji z zainteresowanymi stronami.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Ocena skutków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noProof/>
        </w:rPr>
      </w:pPr>
      <w:r>
        <w:rPr>
          <w:noProof/>
        </w:rPr>
        <w:t xml:space="preserve">Ze względu na charakter proponowanego środka nie przeprowadzono oceny skutków zgodnie z wytycznymi dotyczącymi lepszego stanowienia prawa. Nie istnieją inne, istotnie odmienne </w:t>
      </w:r>
      <w:r>
        <w:rPr>
          <w:noProof/>
        </w:rPr>
        <w:lastRenderedPageBreak/>
        <w:t>warianty strategiczne. Planowany środek stanowi jedyną realną możliwość strategiczną zapewnienia należytej kontynuacji trwających działań w zakresie mobilności edukacyjnej z udziałem Zjednoczonego Królestwa w ramach programu Erasmus+ po wystąpieniu Zjednoczonego Królestwa z Unii.</w:t>
      </w:r>
    </w:p>
    <w:p>
      <w:pPr>
        <w:pStyle w:val="ManualHeading1"/>
        <w:spacing w:before="120"/>
        <w:rPr>
          <w:noProof/>
        </w:rPr>
      </w:pPr>
      <w:r>
        <w:rPr>
          <w:noProof/>
        </w:rPr>
        <w:t>4.</w:t>
      </w:r>
      <w:r>
        <w:rPr>
          <w:noProof/>
        </w:rPr>
        <w:tab/>
        <w:t>WPŁYW NA BUDŻET</w:t>
      </w:r>
    </w:p>
    <w:p>
      <w:pPr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  <w:r>
        <w:rPr>
          <w:noProof/>
        </w:rPr>
        <w:t>Celem niniejszego wniosku jest zapewnienie – w przypadku braku ratyfikacji umowy o wystąpieniu – kontynuacji trwających działań w zakresie mobilności edukacyjnej w ramach programu Erasmus+ z udziałem Zjednoczonego Królestwa, bez zmiany kwot przyznanych na program ani sposobów ich zapewnienia.</w:t>
      </w: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2019/0030 (COD)</w:t>
      </w:r>
    </w:p>
    <w:p>
      <w:pPr>
        <w:pStyle w:val="Statut"/>
        <w:rPr>
          <w:noProof/>
        </w:rPr>
      </w:pPr>
      <w:r>
        <w:rPr>
          <w:noProof/>
        </w:rPr>
        <w:t>Wniosek</w:t>
      </w:r>
    </w:p>
    <w:p>
      <w:pPr>
        <w:pStyle w:val="Typedudocument"/>
        <w:rPr>
          <w:noProof/>
        </w:rPr>
      </w:pPr>
      <w:r>
        <w:rPr>
          <w:noProof/>
        </w:rPr>
        <w:t>ROZPORZĄDZENIE PARLAMENTU EUROPEJSKIEGO I RADY</w:t>
      </w:r>
    </w:p>
    <w:p>
      <w:pPr>
        <w:pStyle w:val="Titreobjet"/>
        <w:rPr>
          <w:noProof/>
        </w:rPr>
      </w:pPr>
      <w:r>
        <w:rPr>
          <w:noProof/>
        </w:rPr>
        <w:t xml:space="preserve">ustanawiające przepisy dotyczące kontynuacji trwających działań w zakresie mobilności edukacyjnej w ramach programu Erasmus+ w związku z wystąpieniem Zjednoczonego Królestwa Wielkiej Brytanii i Irlandii Północnej („Zjednoczone Królestwo”) z Unii Europejskiej </w:t>
      </w:r>
    </w:p>
    <w:p>
      <w:pPr>
        <w:pStyle w:val="Institutionquiagit"/>
        <w:spacing w:before="120"/>
        <w:rPr>
          <w:noProof/>
        </w:rPr>
      </w:pPr>
      <w:r>
        <w:rPr>
          <w:noProof/>
        </w:rPr>
        <w:t>PARLAMENT EUROPEJSKI I RADA UNII EUROPEJSKIEJ,</w:t>
      </w:r>
    </w:p>
    <w:p>
      <w:pPr>
        <w:rPr>
          <w:noProof/>
        </w:rPr>
      </w:pPr>
      <w:r>
        <w:rPr>
          <w:noProof/>
        </w:rPr>
        <w:t>uwzględniając Traktat o funkcjonowaniu Unii Europejskiej, w szczególności jego art. 165 ust. 4 i art. 166 ust. 4,</w:t>
      </w:r>
    </w:p>
    <w:p>
      <w:pPr>
        <w:rPr>
          <w:noProof/>
        </w:rPr>
      </w:pPr>
      <w:r>
        <w:rPr>
          <w:noProof/>
        </w:rPr>
        <w:t>uwzględniając wniosek Komisji Europejskiej,</w:t>
      </w:r>
    </w:p>
    <w:p>
      <w:pPr>
        <w:rPr>
          <w:noProof/>
        </w:rPr>
      </w:pPr>
      <w:r>
        <w:rPr>
          <w:noProof/>
        </w:rPr>
        <w:t>po przekazaniu projektu aktu ustawodawczego parlamentom narodowym,</w:t>
      </w:r>
    </w:p>
    <w:p>
      <w:pPr>
        <w:rPr>
          <w:noProof/>
        </w:rPr>
      </w:pPr>
      <w:r>
        <w:rPr>
          <w:noProof/>
        </w:rPr>
        <w:t>uwzględniając opinię Europejskiego Komitetu Ekonomiczno-Społecznego</w:t>
      </w:r>
      <w:r>
        <w:rPr>
          <w:rStyle w:val="FootnoteReference"/>
          <w:noProof/>
        </w:rPr>
        <w:footnoteReference w:id="1"/>
      </w:r>
      <w:r>
        <w:rPr>
          <w:noProof/>
        </w:rPr>
        <w:t>,</w:t>
      </w:r>
    </w:p>
    <w:p>
      <w:pPr>
        <w:rPr>
          <w:noProof/>
        </w:rPr>
      </w:pPr>
      <w:r>
        <w:rPr>
          <w:noProof/>
        </w:rPr>
        <w:t>uwzględniając opinię Komitetu Regionów</w:t>
      </w:r>
      <w:r>
        <w:rPr>
          <w:rStyle w:val="FootnoteReference"/>
          <w:noProof/>
        </w:rPr>
        <w:footnoteReference w:id="2"/>
      </w:r>
      <w:r>
        <w:rPr>
          <w:noProof/>
        </w:rPr>
        <w:t>,</w:t>
      </w:r>
    </w:p>
    <w:p>
      <w:pPr>
        <w:rPr>
          <w:noProof/>
        </w:rPr>
      </w:pPr>
      <w:r>
        <w:rPr>
          <w:noProof/>
        </w:rPr>
        <w:t>stanowiąc zgodnie ze zwykłą procedurą ustawodawczą,</w:t>
      </w:r>
    </w:p>
    <w:p>
      <w:pPr>
        <w:rPr>
          <w:noProof/>
        </w:rPr>
      </w:pPr>
      <w:r>
        <w:rPr>
          <w:noProof/>
        </w:rPr>
        <w:t>a także mając na uwadze, co następuje:</w:t>
      </w:r>
    </w:p>
    <w:p>
      <w:pPr>
        <w:pStyle w:val="ManualConsidrant"/>
        <w:rPr>
          <w:noProof/>
        </w:rPr>
      </w:pPr>
      <w:r>
        <w:rPr>
          <w:noProof/>
        </w:rPr>
        <w:t>(1)</w:t>
      </w:r>
      <w:r>
        <w:rPr>
          <w:noProof/>
        </w:rPr>
        <w:tab/>
        <w:t>W dniu 29 marca 2017 r. Zjednoczone Królestwo złożyło notyfikację o zamiarze wystąpienia z Unii Europejskiej zgodnie z art. 50 Traktatu o Unii Europejskiej. Traktaty przestaną mieć zastosowanie do Zjednoczonego Królestwa od dnia wejścia w życie umowy o wystąpieniu lub, w przypadku jej braku, dwa lata po notyfikacji, tj. od dnia 30 marca 2019 r., chyba że Rada Europejska w porozumieniu ze Zjednoczonym Królestwem podejmie jednomyślnie decyzję o przedłużeniu tego okresu.</w:t>
      </w:r>
    </w:p>
    <w:p>
      <w:pPr>
        <w:pStyle w:val="ManualConsidrant"/>
        <w:rPr>
          <w:noProof/>
        </w:rPr>
      </w:pPr>
      <w:r>
        <w:rPr>
          <w:noProof/>
        </w:rPr>
        <w:t>(2)</w:t>
      </w:r>
      <w:r>
        <w:rPr>
          <w:noProof/>
        </w:rPr>
        <w:tab/>
        <w:t>Wystąpienie ma miejsce w trakcie okresu programowania 2014–2020 w odniesieniu do programu Erasmus+, w którym Zjednoczone Królestwo uczestniczy.</w:t>
      </w:r>
    </w:p>
    <w:p>
      <w:pPr>
        <w:pStyle w:val="ManualConsidrant"/>
        <w:rPr>
          <w:noProof/>
        </w:rPr>
      </w:pPr>
      <w:r>
        <w:rPr>
          <w:noProof/>
        </w:rPr>
        <w:t>(3)</w:t>
      </w:r>
      <w:r>
        <w:rPr>
          <w:noProof/>
        </w:rPr>
        <w:tab/>
        <w:t>Rozporządzenie Parlamentu Europejskiego i Rady (UE) nr 1288/2013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zawiera przepisy regulujące program „Erasmus+”. W niniejszym rozporządzeniu należy ustanowić przepisy, które umożliwią dalsze wypełnianie, zgodnie z rozporządzeniem (UE) nr 1288/2013, podjętych już zobowiązań prawnych w odniesieniu do trwających działań w zakresie mobilności edukacyjnej z udziałem Zjednoczonego Królestwa, po jego wystąpieniu z Unii.</w:t>
      </w:r>
    </w:p>
    <w:p>
      <w:pPr>
        <w:pStyle w:val="ManualConsidrant"/>
        <w:rPr>
          <w:noProof/>
        </w:rPr>
      </w:pPr>
      <w:r>
        <w:rPr>
          <w:noProof/>
        </w:rPr>
        <w:t>(4)</w:t>
      </w:r>
      <w:r>
        <w:rPr>
          <w:noProof/>
        </w:rPr>
        <w:tab/>
        <w:t xml:space="preserve">Zjednoczone Królestwo przestanie być częścią „unijnej części obszaru objętego programem” w rozumieniu art. 24 ust. 1 lit. a) rozporządzenia (UE) nr 1288/2013 od dnia, w którym Traktaty przestają mieć zastosowanie. Aby uniknąć sytuacji, w której obecni uczestnicy programu Erasmus+ musieliby przerwać bieżące działania </w:t>
      </w:r>
      <w:r>
        <w:rPr>
          <w:noProof/>
        </w:rPr>
        <w:lastRenderedPageBreak/>
        <w:t>w zakresie mobilności edukacyjnej, należy dostosować przepisy dotyczące kwalifikowalności trwających działań w zakresie mobilności edukacyjnej w ramach programu Erasmus+.</w:t>
      </w:r>
    </w:p>
    <w:p>
      <w:pPr>
        <w:pStyle w:val="ManualConsidrant"/>
        <w:rPr>
          <w:noProof/>
        </w:rPr>
      </w:pPr>
      <w:r>
        <w:rPr>
          <w:noProof/>
        </w:rPr>
        <w:t>(5)</w:t>
      </w:r>
      <w:r>
        <w:rPr>
          <w:noProof/>
        </w:rPr>
        <w:tab/>
        <w:t>Do celów kontynuowania finansowania trwających działań w zakresie mobilności edukacyjnej z budżetu Unii Komisja i Zjednoczone Królestwo powinny uzgodnić, że umożliwiają przeprowadzanie kontroli i audytów odpowiednich działań. Jeżeli nie można przeprowadzić niezbędnych kontroli i audytów, należy to uznać za poważne uchybienie w systemie zarządzania i kontroli.</w:t>
      </w:r>
    </w:p>
    <w:p>
      <w:pPr>
        <w:pStyle w:val="ManualConsidrant"/>
        <w:rPr>
          <w:noProof/>
        </w:rPr>
      </w:pPr>
      <w:r>
        <w:rPr>
          <w:noProof/>
        </w:rPr>
        <w:t>(6)</w:t>
      </w:r>
      <w:r>
        <w:rPr>
          <w:noProof/>
        </w:rPr>
        <w:tab/>
        <w:t>Niniejsze rozporządzenie powinno wejść w życie w trybie pilnym i być stosowane od dnia następującego po dniu, w którym Traktaty przestaną mieć zastosowanie do Zjednoczonego Królestwa i w Zjednoczonym Królestwie, chyba że umowa o wystąpieniu ze Zjednoczonym Królestwem wejdzie w życie przed tą datą,</w:t>
      </w:r>
    </w:p>
    <w:p>
      <w:pPr>
        <w:pStyle w:val="Formuledadoption"/>
        <w:rPr>
          <w:noProof/>
        </w:rPr>
      </w:pPr>
      <w:r>
        <w:rPr>
          <w:noProof/>
        </w:rPr>
        <w:t>PRZYJMUJĄ NINIEJSZE ROZPORZĄDZENIE:</w:t>
      </w:r>
    </w:p>
    <w:p>
      <w:pPr>
        <w:pStyle w:val="Titrearticle"/>
        <w:spacing w:before="120"/>
        <w:rPr>
          <w:noProof/>
        </w:rPr>
      </w:pPr>
      <w:r>
        <w:rPr>
          <w:noProof/>
        </w:rPr>
        <w:t>Artykuł 1</w:t>
      </w:r>
      <w:r>
        <w:rPr>
          <w:noProof/>
        </w:rPr>
        <w:br/>
      </w:r>
      <w:r>
        <w:rPr>
          <w:b/>
          <w:noProof/>
        </w:rPr>
        <w:t>Przedmiot i zakres</w:t>
      </w:r>
    </w:p>
    <w:p>
      <w:pPr>
        <w:rPr>
          <w:noProof/>
        </w:rPr>
      </w:pPr>
      <w:r>
        <w:rPr>
          <w:noProof/>
        </w:rPr>
        <w:t>W niniejszym rozporządzeniu ustanawia się przepisy dotyczące kontynuacji działań w zakresie mobilności edukacyjnej, o których mowa w art. 7 i 13 rozporządzenia (UE) nr 1288/2013, rozpoczętych najpóźniej w dniu, w którym Traktaty przestają mieć zastosowanie do Zjednoczonego Królestwa i w Zjednoczonym Królestwie.</w:t>
      </w:r>
    </w:p>
    <w:p>
      <w:pPr>
        <w:pStyle w:val="Titrearticle"/>
        <w:spacing w:before="120"/>
        <w:rPr>
          <w:noProof/>
        </w:rPr>
      </w:pPr>
      <w:r>
        <w:rPr>
          <w:noProof/>
        </w:rPr>
        <w:t>Artykuł 2</w:t>
      </w:r>
      <w:r>
        <w:rPr>
          <w:noProof/>
        </w:rPr>
        <w:br/>
      </w:r>
      <w:r>
        <w:rPr>
          <w:b/>
          <w:noProof/>
        </w:rPr>
        <w:t>Kwalifikowalność</w:t>
      </w:r>
    </w:p>
    <w:p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>Działania, o których mowa w art. 1 i które mają miejsce w Zjednoczonym Królestwie lub dotyczą podmiotów lub uczestników ze Zjednoczonego Królestwa, nadal są kwalifikowalne.</w:t>
      </w:r>
    </w:p>
    <w:p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>Do celów stosowania wszelkich innych przepisów rozporządzenia (UE) nr 1288/2013 oraz aktów wykonawczych do tego rozporządzenia, niezbędnych w celu nadania skuteczności przepisom ust. 1, Zjednoczone Królestwo traktuje się jako państwo członkowskie, z zastrzeżeniem przepisów niniejszego rozporządzenia.</w:t>
      </w:r>
    </w:p>
    <w:p>
      <w:pPr>
        <w:ind w:left="840"/>
        <w:rPr>
          <w:noProof/>
        </w:rPr>
      </w:pPr>
      <w:r>
        <w:rPr>
          <w:noProof/>
        </w:rPr>
        <w:t>Przedstawiciele Zjednoczonego Królestwa nie uczestniczą jednak w pracach komitetu, o którym mowa w art. 36 rozporządzenia (UE) nr 1288/2013.</w:t>
      </w:r>
    </w:p>
    <w:p>
      <w:pPr>
        <w:pStyle w:val="Titrearticle"/>
        <w:spacing w:before="120"/>
        <w:rPr>
          <w:b/>
          <w:i w:val="0"/>
          <w:noProof/>
        </w:rPr>
      </w:pPr>
      <w:r>
        <w:rPr>
          <w:noProof/>
        </w:rPr>
        <w:t>Artykuł 3</w:t>
      </w:r>
      <w:r>
        <w:rPr>
          <w:noProof/>
        </w:rPr>
        <w:br/>
      </w:r>
      <w:r>
        <w:rPr>
          <w:b/>
          <w:noProof/>
        </w:rPr>
        <w:t>Kontrole i audyty</w:t>
      </w:r>
    </w:p>
    <w:p>
      <w:pPr>
        <w:rPr>
          <w:noProof/>
        </w:rPr>
      </w:pPr>
      <w:r>
        <w:rPr>
          <w:noProof/>
        </w:rPr>
        <w:t>Komisja i organy Zjednoczonego Królestwa uzgadniają stosowanie zasad dotyczących kontroli i audytu działań w zakresie mobilności edukacyjnej, o których mowa w art. 1. Kontrole i audyty obejmują cały okres działań w zakresie mobilności edukacyjnej oraz związanych z nimi działań następczych.</w:t>
      </w:r>
    </w:p>
    <w:p>
      <w:pPr>
        <w:rPr>
          <w:noProof/>
        </w:rPr>
      </w:pPr>
      <w:r>
        <w:rPr>
          <w:noProof/>
        </w:rPr>
        <w:t>Jeżeli w Zjednoczonym Królestwie nie można przeprowadzić niezbędnych kontroli i audytu programu, stanowi to poważne uchybienie w przestrzeganiu podstawowych obowiązków związanych z wykonaniem zobowiązania prawnego między Komisją a krajową agencją Zjednoczonego Królestwa.</w:t>
      </w:r>
    </w:p>
    <w:p>
      <w:pPr>
        <w:pStyle w:val="Titrearticle"/>
        <w:spacing w:before="120"/>
        <w:rPr>
          <w:noProof/>
        </w:rPr>
      </w:pPr>
      <w:r>
        <w:rPr>
          <w:noProof/>
        </w:rPr>
        <w:t>Artykuł 4</w:t>
      </w:r>
      <w:r>
        <w:rPr>
          <w:noProof/>
        </w:rPr>
        <w:br/>
      </w:r>
      <w:r>
        <w:rPr>
          <w:b/>
          <w:noProof/>
        </w:rPr>
        <w:t>Wejście w życie i stosowanie</w:t>
      </w:r>
    </w:p>
    <w:p>
      <w:pPr>
        <w:ind w:left="-5" w:right="2"/>
        <w:rPr>
          <w:noProof/>
        </w:rPr>
      </w:pPr>
      <w:r>
        <w:rPr>
          <w:noProof/>
        </w:rPr>
        <w:t>Niniejsze rozporządzenie wchodzi w życie następnego dnia po jego opublikowaniu w </w:t>
      </w:r>
      <w:r>
        <w:rPr>
          <w:i/>
          <w:noProof/>
        </w:rPr>
        <w:t>Dzienniku Urzędowym Unii Europejskiej</w:t>
      </w:r>
      <w:r>
        <w:rPr>
          <w:noProof/>
        </w:rPr>
        <w:t>.</w:t>
      </w:r>
    </w:p>
    <w:p>
      <w:pPr>
        <w:ind w:left="-5" w:right="2"/>
        <w:rPr>
          <w:noProof/>
        </w:rPr>
      </w:pPr>
      <w:r>
        <w:rPr>
          <w:noProof/>
        </w:rPr>
        <w:lastRenderedPageBreak/>
        <w:t>Niniejsze rozporządzenie stosuje się od dnia następującego po dniu, w którym Traktaty przestają mieć zastosowanie do Zjednoczonego Królestwa i w Zjednoczonym Królestwie na podstawie art. 50 ust. 3 Traktatu o Unii Europejskiej.</w:t>
      </w:r>
    </w:p>
    <w:p>
      <w:pPr>
        <w:pStyle w:val="Applicationdirecte"/>
        <w:spacing w:before="120"/>
        <w:rPr>
          <w:noProof/>
        </w:rPr>
      </w:pPr>
      <w:r>
        <w:rPr>
          <w:noProof/>
        </w:rPr>
        <w:t>Niniejsze rozporządzenie wiąże w całości i jest bezpośrednio stosowane we wszystkich państwach członkowskich.</w:t>
      </w:r>
    </w:p>
    <w:p>
      <w:pPr>
        <w:pStyle w:val="Fait"/>
        <w:rPr>
          <w:noProof/>
        </w:rPr>
      </w:pPr>
      <w:r>
        <w:t xml:space="preserve">Sporządzono w Brukseli dnia </w:t>
      </w:r>
      <w:r>
        <w:rPr>
          <w:rStyle w:val="Marker"/>
        </w:rPr>
        <w:t>[…]</w:t>
      </w:r>
      <w:r>
        <w:t xml:space="preserve"> r.</w:t>
      </w:r>
    </w:p>
    <w:p>
      <w:pPr>
        <w:pStyle w:val="Institutionquisigne"/>
        <w:spacing w:before="120" w:after="120"/>
        <w:rPr>
          <w:noProof/>
        </w:rPr>
      </w:pPr>
      <w:r>
        <w:rPr>
          <w:noProof/>
        </w:rPr>
        <w:t>W imieniu Parlamentu Europejskiego</w:t>
      </w:r>
      <w:r>
        <w:rPr>
          <w:noProof/>
        </w:rPr>
        <w:tab/>
        <w:t>W imieniu Rady</w:t>
      </w:r>
    </w:p>
    <w:p>
      <w:pPr>
        <w:pStyle w:val="Personnequisigne"/>
        <w:spacing w:before="120" w:after="120"/>
        <w:rPr>
          <w:noProof/>
        </w:rPr>
      </w:pPr>
      <w:r>
        <w:rPr>
          <w:noProof/>
        </w:rPr>
        <w:t>Przewodniczący</w:t>
      </w:r>
      <w:r>
        <w:rPr>
          <w:noProof/>
        </w:rPr>
        <w:tab/>
        <w:t>Przewodniczący</w:t>
      </w:r>
    </w:p>
    <w:p>
      <w:pPr>
        <w:rPr>
          <w:noProof/>
        </w:rPr>
        <w:sectPr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Fichefinanciretitre"/>
        <w:rPr>
          <w:noProof/>
        </w:rPr>
      </w:pPr>
      <w:r>
        <w:rPr>
          <w:noProof/>
        </w:rPr>
        <w:lastRenderedPageBreak/>
        <w:t>OCENA SKUTKÓW FINANSOWYCH REGULACJI</w:t>
      </w:r>
    </w:p>
    <w:p>
      <w:pPr>
        <w:pStyle w:val="ManualHeading1"/>
        <w:spacing w:before="120"/>
        <w:rPr>
          <w:noProof/>
        </w:rPr>
      </w:pPr>
      <w:r>
        <w:rPr>
          <w:noProof/>
        </w:rPr>
        <w:t>1.</w:t>
      </w:r>
      <w:r>
        <w:rPr>
          <w:noProof/>
        </w:rPr>
        <w:tab/>
        <w:t>STRUKTURA WNIOSKU/INICJATYWY</w:t>
      </w:r>
    </w:p>
    <w:p>
      <w:pPr>
        <w:pStyle w:val="ManualHeading2"/>
        <w:rPr>
          <w:noProof/>
        </w:rPr>
      </w:pPr>
      <w:r>
        <w:rPr>
          <w:noProof/>
        </w:rPr>
        <w:tab/>
        <w:t>1.1.</w:t>
      </w:r>
      <w:r>
        <w:rPr>
          <w:noProof/>
        </w:rPr>
        <w:tab/>
        <w:t>Tytuł wniosku/inicjatywy</w:t>
      </w:r>
    </w:p>
    <w:p>
      <w:pPr>
        <w:pStyle w:val="ManualHeading2"/>
        <w:rPr>
          <w:noProof/>
        </w:rPr>
      </w:pPr>
      <w:r>
        <w:rPr>
          <w:noProof/>
        </w:rPr>
        <w:tab/>
        <w:t>1.2.</w:t>
      </w:r>
      <w:r>
        <w:rPr>
          <w:noProof/>
        </w:rPr>
        <w:tab/>
        <w:t>Dziedziny polityki, których dotyczy wniosek/inicjatywa</w:t>
      </w:r>
    </w:p>
    <w:p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845"/>
        <w:rPr>
          <w:noProof/>
        </w:rPr>
      </w:pPr>
      <w:r>
        <w:rPr>
          <w:noProof/>
        </w:rPr>
        <w:t>Wniosek dotyczący rozporządzenia Parlamentu Europejskiego i Rady ustanawiającego przepisy dotyczące kontynuacji trwających działań w zakresie mobilności edukacyjnej w ramach programu Erasmus+ w związku z wystąpieniem Zjednoczonego Królestwa Wielkiej Brytanii i Irlandii Północnej („Zjednoczone Królestwo”) z Unii Europejskiej</w:t>
      </w:r>
    </w:p>
    <w:p>
      <w:pPr>
        <w:pStyle w:val="ManualHeading2"/>
        <w:rPr>
          <w:noProof/>
        </w:rPr>
      </w:pPr>
      <w:r>
        <w:rPr>
          <w:noProof/>
        </w:rPr>
        <w:tab/>
        <w:t>1.3.</w:t>
      </w:r>
      <w:r>
        <w:rPr>
          <w:noProof/>
        </w:rPr>
        <w:tab/>
        <w:t>Uzasadnienie wniosku/inicjatywy</w:t>
      </w:r>
    </w:p>
    <w:p>
      <w:pPr>
        <w:pStyle w:val="ManualHeading3"/>
        <w:ind w:left="1440"/>
        <w:rPr>
          <w:noProof/>
        </w:rPr>
      </w:pPr>
      <w:r>
        <w:rPr>
          <w:noProof/>
        </w:rPr>
        <w:t>1.3.1</w:t>
      </w:r>
      <w:r>
        <w:rPr>
          <w:noProof/>
        </w:rPr>
        <w:tab/>
        <w:t>Potrzeby, które należy zaspokoić w perspektywie krótko- lub długoterminowej, w tym szczegółowy terminarz przebiegu realizacji inicjatywy</w:t>
      </w:r>
    </w:p>
    <w:p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845"/>
        <w:rPr>
          <w:noProof/>
        </w:rPr>
      </w:pPr>
      <w:r>
        <w:rPr>
          <w:noProof/>
        </w:rPr>
        <w:t>Niniejsze rozporządzenie wchodzi w życie następnego dnia po jego opublikowaniu w Dzienniku Urzędowym Unii Europejskiej.</w:t>
      </w:r>
    </w:p>
    <w:p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845"/>
        <w:rPr>
          <w:noProof/>
        </w:rPr>
      </w:pPr>
      <w:r>
        <w:rPr>
          <w:noProof/>
        </w:rPr>
        <w:t>Niniejsze rozporządzenie stosuje się od dnia następującego po dniu, w którym Traktaty przestają mieć zastosowanie do Zjednoczonego Królestwa i w Zjednoczonym Królestwie na podstawie art. 50 ust. 3 Traktatu o Unii Europejskiej.</w:t>
      </w:r>
    </w:p>
    <w:p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845"/>
        <w:rPr>
          <w:noProof/>
        </w:rPr>
      </w:pPr>
      <w:r>
        <w:rPr>
          <w:noProof/>
        </w:rPr>
        <w:t>Niniejsze rozporządzenie nie ma zastosowania, jeżeli do tego czasu umowa o wystąpieniu zawarta ze Zjednoczonym Królestwem zgodnie z art. 50 ust. 2 Traktatu o Unii Europejskiej wejdzie w życie.</w:t>
      </w:r>
    </w:p>
    <w:p>
      <w:pPr>
        <w:pStyle w:val="ManualHeading3"/>
        <w:ind w:left="1440"/>
        <w:rPr>
          <w:noProof/>
        </w:rPr>
      </w:pPr>
      <w:r>
        <w:rPr>
          <w:noProof/>
        </w:rPr>
        <w:t>1.3.2</w:t>
      </w:r>
      <w:r>
        <w:rPr>
          <w:noProof/>
        </w:rPr>
        <w:tab/>
        <w:t>Wartość dodana z tytułu zaangażowania Unii Europejskiej (może wynikać z różnych czynników, na przykład korzyści koordynacyjnych, pewności prawa, większej efektywności lub komplementarności). Na potrzeby tego punktu „wartość dodaną z tytułu zaangażowania Unii” należy rozumieć jako wartość wynikającą z unijnej interwencji wykraczającą poza wartość, która zostałaby wytworzona przez same państwa członkowskie.</w:t>
      </w:r>
    </w:p>
    <w:p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845"/>
        <w:rPr>
          <w:noProof/>
        </w:rPr>
      </w:pPr>
      <w:r>
        <w:rPr>
          <w:noProof/>
        </w:rPr>
        <w:t>Nie dotyczy</w:t>
      </w:r>
    </w:p>
    <w:p>
      <w:pPr>
        <w:pStyle w:val="ManualHeading3"/>
        <w:ind w:left="1440"/>
        <w:rPr>
          <w:noProof/>
        </w:rPr>
      </w:pPr>
      <w:r>
        <w:rPr>
          <w:noProof/>
        </w:rPr>
        <w:t>1.3.3</w:t>
      </w:r>
      <w:r>
        <w:rPr>
          <w:noProof/>
        </w:rPr>
        <w:tab/>
        <w:t>Główne wnioski wyciągnięte z podobnych działań</w:t>
      </w:r>
    </w:p>
    <w:p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845"/>
        <w:rPr>
          <w:noProof/>
        </w:rPr>
      </w:pPr>
      <w:r>
        <w:rPr>
          <w:noProof/>
        </w:rPr>
        <w:t xml:space="preserve">Nie dotyczy </w:t>
      </w:r>
    </w:p>
    <w:p>
      <w:pPr>
        <w:pStyle w:val="ManualHeading3"/>
        <w:ind w:left="1440"/>
        <w:rPr>
          <w:noProof/>
        </w:rPr>
      </w:pPr>
      <w:r>
        <w:rPr>
          <w:noProof/>
        </w:rPr>
        <w:t>1.3.4</w:t>
      </w:r>
      <w:r>
        <w:rPr>
          <w:noProof/>
        </w:rPr>
        <w:tab/>
        <w:t>Spójność z wieloletnimi ramami finansowymi oraz możliwa synergia z innymi właściwymi instrumentami</w:t>
      </w:r>
    </w:p>
    <w:p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845"/>
        <w:rPr>
          <w:noProof/>
        </w:rPr>
      </w:pPr>
      <w:r>
        <w:rPr>
          <w:noProof/>
        </w:rPr>
        <w:t>Niniejsze rozporządzenie jest zgodne z wieloletnimi ramami finansowymi. Nie ma wpływu finansowego.</w:t>
      </w:r>
    </w:p>
    <w:p>
      <w:pPr>
        <w:pStyle w:val="ManualHeading3"/>
        <w:ind w:left="1440"/>
        <w:rPr>
          <w:noProof/>
        </w:rPr>
      </w:pPr>
      <w:r>
        <w:rPr>
          <w:noProof/>
        </w:rPr>
        <w:t>1.3.5</w:t>
      </w:r>
      <w:r>
        <w:rPr>
          <w:noProof/>
        </w:rPr>
        <w:tab/>
        <w:t>Ocena różnych dostępnych możliwości finansowania, w tym zakresu przegrupowania środków</w:t>
      </w:r>
    </w:p>
    <w:p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845"/>
        <w:rPr>
          <w:noProof/>
        </w:rPr>
      </w:pPr>
      <w:r>
        <w:rPr>
          <w:noProof/>
        </w:rPr>
        <w:t xml:space="preserve">Niniejsze rozporządzenie nie ma wpływu finansowego. Wkład Unii na rzecz programów będzie finansowany z budżetu ogólnego Unii. </w:t>
      </w:r>
    </w:p>
    <w:p>
      <w:pPr>
        <w:pStyle w:val="ManualHeading2"/>
        <w:rPr>
          <w:noProof/>
        </w:rPr>
      </w:pPr>
      <w:r>
        <w:rPr>
          <w:noProof/>
        </w:rPr>
        <w:tab/>
      </w:r>
      <w:r>
        <w:rPr>
          <w:b w:val="0"/>
          <w:noProof/>
        </w:rPr>
        <w:t>1.4.</w:t>
      </w:r>
      <w:r>
        <w:rPr>
          <w:noProof/>
        </w:rPr>
        <w:tab/>
        <w:t>Czas trwania i wpływ finansowy wniosku/inicjatywy</w:t>
      </w:r>
    </w:p>
    <w:p>
      <w:pPr>
        <w:pStyle w:val="Tiret1"/>
        <w:numPr>
          <w:ilvl w:val="0"/>
          <w:numId w:val="16"/>
        </w:numPr>
        <w:rPr>
          <w:noProof/>
        </w:rPr>
      </w:pPr>
      <w:r>
        <w:rPr>
          <w:noProof/>
        </w:rPr>
        <w:t>X Nie ma wpływu finansowego</w:t>
      </w:r>
    </w:p>
    <w:p>
      <w:pPr>
        <w:pStyle w:val="ManualHeading2"/>
        <w:rPr>
          <w:noProof/>
        </w:rPr>
      </w:pPr>
      <w:r>
        <w:rPr>
          <w:noProof/>
        </w:rPr>
        <w:lastRenderedPageBreak/>
        <w:tab/>
        <w:t>1.5.</w:t>
      </w:r>
      <w:r>
        <w:rPr>
          <w:noProof/>
        </w:rPr>
        <w:tab/>
        <w:t>Planowane tryby zarządzania</w:t>
      </w:r>
      <w:r>
        <w:rPr>
          <w:rStyle w:val="FootnoteReference"/>
          <w:noProof/>
        </w:rPr>
        <w:footnoteReference w:id="4"/>
      </w:r>
    </w:p>
    <w:p>
      <w:pPr>
        <w:pStyle w:val="Text1"/>
        <w:rPr>
          <w:noProof/>
        </w:rPr>
      </w:pPr>
      <w:r>
        <w:rPr>
          <w:rFonts w:ascii="Wingdings" w:eastAsia="Wingdings" w:hAnsi="Wingdings" w:cs="Wingdings"/>
          <w:noProof/>
        </w:rPr>
        <w:t></w:t>
      </w:r>
      <w:r>
        <w:rPr>
          <w:i/>
          <w:noProof/>
        </w:rPr>
        <w:t xml:space="preserve"> </w:t>
      </w:r>
      <w:r>
        <w:rPr>
          <w:b/>
          <w:noProof/>
        </w:rPr>
        <w:t>Bezpośrednie zarządzanie</w:t>
      </w:r>
      <w:r>
        <w:rPr>
          <w:noProof/>
        </w:rPr>
        <w:t xml:space="preserve"> przez Komisję</w:t>
      </w:r>
    </w:p>
    <w:p>
      <w:pPr>
        <w:pStyle w:val="ListDash2"/>
        <w:rPr>
          <w:noProof/>
        </w:rPr>
      </w:pPr>
      <w:r>
        <w:rPr>
          <w:noProof/>
        </w:rPr>
        <w:t>–</w:t>
      </w:r>
      <w:r>
        <w:rPr>
          <w:rFonts w:ascii="Arial" w:hAnsi="Arial"/>
          <w:noProof/>
        </w:rPr>
        <w:t xml:space="preserve"> </w:t>
      </w:r>
      <w:r>
        <w:rPr>
          <w:rFonts w:ascii="Wingdings" w:eastAsia="Wingdings" w:hAnsi="Wingdings" w:cs="Wingdings"/>
          <w:noProof/>
        </w:rPr>
        <w:t></w:t>
      </w:r>
      <w:r>
        <w:rPr>
          <w:noProof/>
        </w:rPr>
        <w:t>w ramach jej służb, w tym za pośrednictwem jej pracowników w delegaturach Unii;</w:t>
      </w:r>
    </w:p>
    <w:p>
      <w:pPr>
        <w:pStyle w:val="ListDash2"/>
        <w:rPr>
          <w:noProof/>
        </w:rPr>
      </w:pPr>
      <w:r>
        <w:rPr>
          <w:noProof/>
        </w:rPr>
        <w:t>–</w:t>
      </w:r>
      <w:r>
        <w:rPr>
          <w:rFonts w:ascii="Arial" w:hAnsi="Arial"/>
          <w:noProof/>
        </w:rPr>
        <w:t xml:space="preserve"> </w:t>
      </w:r>
      <w:r>
        <w:rPr>
          <w:rFonts w:ascii="Wingdings" w:eastAsia="Wingdings" w:hAnsi="Wingdings" w:cs="Wingdings"/>
          <w:noProof/>
        </w:rPr>
        <w:t></w:t>
      </w:r>
      <w:r>
        <w:rPr>
          <w:noProof/>
        </w:rPr>
        <w:t>przez agencje wykonawcze;</w:t>
      </w:r>
    </w:p>
    <w:p>
      <w:pPr>
        <w:pStyle w:val="Text1"/>
        <w:rPr>
          <w:noProof/>
        </w:rPr>
      </w:pPr>
      <w:r>
        <w:rPr>
          <w:rFonts w:ascii="Wingdings" w:eastAsia="Wingdings" w:hAnsi="Wingdings" w:cs="Wingdings"/>
          <w:noProof/>
        </w:rPr>
        <w:t></w:t>
      </w:r>
      <w:r>
        <w:rPr>
          <w:b/>
          <w:i/>
          <w:noProof/>
        </w:rPr>
        <w:t xml:space="preserve"> </w:t>
      </w:r>
      <w:r>
        <w:rPr>
          <w:b/>
          <w:noProof/>
        </w:rPr>
        <w:t>Zarządzanie dzielone</w:t>
      </w:r>
      <w:r>
        <w:rPr>
          <w:noProof/>
        </w:rPr>
        <w:t xml:space="preserve"> z państwami członkowskimi</w:t>
      </w:r>
    </w:p>
    <w:p>
      <w:pPr>
        <w:pStyle w:val="Text1"/>
        <w:rPr>
          <w:noProof/>
        </w:rPr>
      </w:pPr>
      <w:r>
        <w:rPr>
          <w:rFonts w:ascii="Wingdings" w:eastAsia="Wingdings" w:hAnsi="Wingdings" w:cs="Wingdings"/>
          <w:noProof/>
        </w:rPr>
        <w:t></w:t>
      </w:r>
      <w:r>
        <w:rPr>
          <w:i/>
          <w:noProof/>
        </w:rPr>
        <w:t xml:space="preserve"> </w:t>
      </w:r>
      <w:r>
        <w:rPr>
          <w:b/>
          <w:noProof/>
        </w:rPr>
        <w:t>Zarządzanie pośrednie</w:t>
      </w:r>
      <w:r>
        <w:rPr>
          <w:noProof/>
        </w:rPr>
        <w:t xml:space="preserve"> poprzez przekazanie zadań związanych z wykonaniem budżetu:</w:t>
      </w:r>
    </w:p>
    <w:p>
      <w:pPr>
        <w:pStyle w:val="ListDash2"/>
        <w:rPr>
          <w:noProof/>
        </w:rPr>
      </w:pPr>
      <w:r>
        <w:rPr>
          <w:rFonts w:ascii="Wingdings" w:eastAsia="Wingdings" w:hAnsi="Wingdings" w:cs="Wingdings"/>
          <w:noProof/>
        </w:rPr>
        <w:t></w:t>
      </w:r>
      <w:r>
        <w:rPr>
          <w:noProof/>
        </w:rPr>
        <w:t xml:space="preserve"> państwom trzecim lub organom przez nie wyznaczonym;</w:t>
      </w:r>
    </w:p>
    <w:p>
      <w:pPr>
        <w:pStyle w:val="ListDash2"/>
        <w:rPr>
          <w:noProof/>
        </w:rPr>
      </w:pPr>
      <w:r>
        <w:rPr>
          <w:rFonts w:ascii="Wingdings" w:eastAsia="Wingdings" w:hAnsi="Wingdings" w:cs="Wingdings"/>
          <w:noProof/>
        </w:rPr>
        <w:t></w:t>
      </w:r>
      <w:r>
        <w:rPr>
          <w:noProof/>
        </w:rPr>
        <w:t xml:space="preserve"> organizacjom międzynarodowym i ich agencjom (należy wyszczególnić);</w:t>
      </w:r>
    </w:p>
    <w:p>
      <w:pPr>
        <w:pStyle w:val="ListDash2"/>
        <w:rPr>
          <w:noProof/>
        </w:rPr>
      </w:pPr>
      <w:r>
        <w:rPr>
          <w:rFonts w:ascii="Wingdings" w:eastAsia="Wingdings" w:hAnsi="Wingdings" w:cs="Wingdings"/>
          <w:noProof/>
        </w:rPr>
        <w:t></w:t>
      </w:r>
      <w:r>
        <w:rPr>
          <w:noProof/>
        </w:rPr>
        <w:t xml:space="preserve"> EBI oraz Europejskiemu Funduszowi Inwestycyjnemu;</w:t>
      </w:r>
    </w:p>
    <w:p>
      <w:pPr>
        <w:pStyle w:val="ListDash2"/>
        <w:rPr>
          <w:noProof/>
        </w:rPr>
      </w:pPr>
      <w:r>
        <w:rPr>
          <w:rFonts w:ascii="Wingdings" w:eastAsia="Wingdings" w:hAnsi="Wingdings" w:cs="Wingdings"/>
          <w:noProof/>
        </w:rPr>
        <w:t></w:t>
      </w:r>
      <w:r>
        <w:rPr>
          <w:noProof/>
        </w:rPr>
        <w:t xml:space="preserve"> organom, o których mowa w art. 70 i 71 rozporządzenia finansowego;</w:t>
      </w:r>
    </w:p>
    <w:p>
      <w:pPr>
        <w:pStyle w:val="ListDash2"/>
        <w:rPr>
          <w:noProof/>
        </w:rPr>
      </w:pPr>
      <w:r>
        <w:rPr>
          <w:rFonts w:ascii="Wingdings" w:eastAsia="Wingdings" w:hAnsi="Wingdings" w:cs="Wingdings"/>
          <w:noProof/>
        </w:rPr>
        <w:t></w:t>
      </w:r>
      <w:r>
        <w:rPr>
          <w:noProof/>
        </w:rPr>
        <w:t xml:space="preserve"> organom prawa publicznego;</w:t>
      </w:r>
    </w:p>
    <w:p>
      <w:pPr>
        <w:pStyle w:val="ListDash2"/>
        <w:rPr>
          <w:noProof/>
        </w:rPr>
      </w:pPr>
      <w:r>
        <w:rPr>
          <w:rFonts w:ascii="Wingdings" w:eastAsia="Wingdings" w:hAnsi="Wingdings" w:cs="Wingdings"/>
          <w:noProof/>
        </w:rPr>
        <w:t></w:t>
      </w:r>
      <w:r>
        <w:rPr>
          <w:noProof/>
        </w:rPr>
        <w:t xml:space="preserve"> podmiotom podlegającym prawu prywatnemu, które świadczą usługi użyteczności publicznej, o ile zapewniają one odpowiednie gwarancje finansowe;</w:t>
      </w:r>
    </w:p>
    <w:p>
      <w:pPr>
        <w:pStyle w:val="ListDash2"/>
        <w:rPr>
          <w:noProof/>
        </w:rPr>
      </w:pPr>
      <w:r>
        <w:rPr>
          <w:rFonts w:ascii="Wingdings" w:eastAsia="Wingdings" w:hAnsi="Wingdings" w:cs="Wingdings"/>
          <w:noProof/>
        </w:rPr>
        <w:t></w:t>
      </w:r>
      <w:r>
        <w:rPr>
          <w:noProof/>
        </w:rPr>
        <w:t xml:space="preserve"> podmiotom podlegającym prawu prywatnemu państwa członkowskiego, którym powierzono realizację partnerstwa publiczno-prywatnego oraz które zapewniają odpowiednie gwarancje finansowe;</w:t>
      </w:r>
    </w:p>
    <w:p>
      <w:pPr>
        <w:pStyle w:val="ListDash2"/>
        <w:rPr>
          <w:noProof/>
        </w:rPr>
      </w:pPr>
      <w:r>
        <w:rPr>
          <w:rFonts w:ascii="Wingdings" w:eastAsia="Wingdings" w:hAnsi="Wingdings" w:cs="Wingdings"/>
          <w:noProof/>
        </w:rPr>
        <w:t></w:t>
      </w:r>
      <w:r>
        <w:rPr>
          <w:noProof/>
        </w:rPr>
        <w:t xml:space="preserve"> osobom odpowiedzialnym za wykonanie określonych działań w dziedzinie wspólnej polityki zagranicznej i bezpieczeństwa na mocy tytułu V Traktatu o Unii Europejskiej oraz określonym we właściwym podstawowym akcie prawnym.</w:t>
      </w:r>
    </w:p>
    <w:p>
      <w:pPr>
        <w:pStyle w:val="ListDash2"/>
        <w:rPr>
          <w:i/>
          <w:noProof/>
          <w:sz w:val="18"/>
          <w:szCs w:val="18"/>
        </w:rPr>
      </w:pPr>
      <w:r>
        <w:rPr>
          <w:i/>
          <w:noProof/>
          <w:sz w:val="18"/>
        </w:rPr>
        <w:t>W przypadku wskazania więcej niż jednego trybu należy podać dodatkowe informacje w części „Uwagi”.</w:t>
      </w:r>
    </w:p>
    <w:p>
      <w:pPr>
        <w:ind w:left="-5" w:right="2"/>
        <w:rPr>
          <w:noProof/>
        </w:rPr>
      </w:pPr>
      <w:r>
        <w:rPr>
          <w:noProof/>
        </w:rPr>
        <w:t>Uwagi:</w:t>
      </w:r>
    </w:p>
    <w:p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0"/>
        <w:rPr>
          <w:noProof/>
        </w:rPr>
      </w:pPr>
      <w:r>
        <w:rPr>
          <w:noProof/>
        </w:rPr>
        <w:t>Nie dotyczy</w:t>
      </w:r>
    </w:p>
    <w:p>
      <w:pPr>
        <w:rPr>
          <w:noProof/>
        </w:rPr>
        <w:sectPr>
          <w:pgSz w:w="11907" w:h="16840" w:code="9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ManualHeading1"/>
        <w:spacing w:before="120"/>
        <w:rPr>
          <w:noProof/>
        </w:rPr>
      </w:pPr>
      <w:r>
        <w:rPr>
          <w:noProof/>
        </w:rPr>
        <w:lastRenderedPageBreak/>
        <w:t>2.</w:t>
      </w:r>
      <w:r>
        <w:rPr>
          <w:noProof/>
        </w:rPr>
        <w:tab/>
        <w:t>ŚRODKI ZARZĄDZANIA</w:t>
      </w:r>
    </w:p>
    <w:p>
      <w:pPr>
        <w:pStyle w:val="ManualHeading2"/>
        <w:rPr>
          <w:noProof/>
        </w:rPr>
      </w:pPr>
      <w:r>
        <w:rPr>
          <w:noProof/>
        </w:rPr>
        <w:tab/>
        <w:t>2.1.</w:t>
      </w:r>
      <w:r>
        <w:rPr>
          <w:noProof/>
        </w:rPr>
        <w:tab/>
        <w:t xml:space="preserve">Zasady nadzoru i sprawozdawczości </w:t>
      </w:r>
    </w:p>
    <w:p>
      <w:pPr>
        <w:ind w:left="845"/>
        <w:jc w:val="left"/>
        <w:rPr>
          <w:noProof/>
        </w:rPr>
      </w:pPr>
      <w:r>
        <w:rPr>
          <w:i/>
          <w:noProof/>
          <w:sz w:val="20"/>
        </w:rPr>
        <w:t>Określić częstotliwość i warunki</w:t>
      </w:r>
    </w:p>
    <w:p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845"/>
        <w:rPr>
          <w:noProof/>
        </w:rPr>
      </w:pPr>
      <w:r>
        <w:rPr>
          <w:noProof/>
        </w:rPr>
        <w:t>Nie dotyczy</w:t>
      </w:r>
    </w:p>
    <w:p>
      <w:pPr>
        <w:pStyle w:val="ManualHeading2"/>
        <w:rPr>
          <w:noProof/>
        </w:rPr>
      </w:pPr>
      <w:r>
        <w:rPr>
          <w:noProof/>
        </w:rPr>
        <w:tab/>
        <w:t>2.2.</w:t>
      </w:r>
      <w:r>
        <w:rPr>
          <w:noProof/>
        </w:rPr>
        <w:tab/>
        <w:t>System(-y) zarządzania i kontroli</w:t>
      </w:r>
    </w:p>
    <w:p>
      <w:pPr>
        <w:pStyle w:val="ManualHeading3"/>
        <w:rPr>
          <w:noProof/>
        </w:rPr>
      </w:pPr>
      <w:r>
        <w:rPr>
          <w:noProof/>
        </w:rPr>
        <w:tab/>
        <w:t>2.2.1</w:t>
      </w:r>
      <w:r>
        <w:rPr>
          <w:noProof/>
        </w:rPr>
        <w:tab/>
        <w:t>Uzasadnienie dla systemu(-ów) zarządzania, mechanizmów finansowania wykonania, warunków płatności i proponowanej strategii kontroli</w:t>
      </w:r>
    </w:p>
    <w:p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845"/>
        <w:rPr>
          <w:noProof/>
        </w:rPr>
      </w:pPr>
      <w:r>
        <w:rPr>
          <w:noProof/>
        </w:rPr>
        <w:t>Nie dotyczy</w:t>
      </w:r>
    </w:p>
    <w:p>
      <w:pPr>
        <w:pStyle w:val="ManualHeading3"/>
        <w:rPr>
          <w:noProof/>
        </w:rPr>
      </w:pPr>
      <w:r>
        <w:rPr>
          <w:noProof/>
        </w:rPr>
        <w:tab/>
        <w:t>2.2.2</w:t>
      </w:r>
      <w:r>
        <w:rPr>
          <w:noProof/>
        </w:rPr>
        <w:tab/>
        <w:t>Informacje dotyczące zidentyfikowanego ryzyka i systemów kontroli wewnętrznej ustanowionych w celu jego ograniczenia</w:t>
      </w:r>
    </w:p>
    <w:p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845"/>
        <w:rPr>
          <w:noProof/>
        </w:rPr>
      </w:pPr>
      <w:r>
        <w:rPr>
          <w:noProof/>
        </w:rPr>
        <w:t>Nie dotyczy</w:t>
      </w:r>
    </w:p>
    <w:p>
      <w:pPr>
        <w:pStyle w:val="ManualHeading3"/>
        <w:rPr>
          <w:noProof/>
        </w:rPr>
      </w:pPr>
      <w:r>
        <w:rPr>
          <w:noProof/>
        </w:rPr>
        <w:tab/>
        <w:t>2.2.3</w:t>
      </w:r>
      <w:r>
        <w:rPr>
          <w:noProof/>
        </w:rPr>
        <w:tab/>
        <w:t>Oszacowanie i uzasadnienie efektywności kosztowej kontroli (relacja kosztów kontroli do wartości zarządzanych funduszy powiązanych) oraz ocena prawdopodobnego ryzyka błędu (przy płatności i przy zamykaniu)</w:t>
      </w:r>
    </w:p>
    <w:p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845"/>
        <w:rPr>
          <w:noProof/>
        </w:rPr>
      </w:pPr>
      <w:r>
        <w:rPr>
          <w:noProof/>
        </w:rPr>
        <w:t>Nie dotyczy</w:t>
      </w:r>
    </w:p>
    <w:p>
      <w:pPr>
        <w:pStyle w:val="ManualHeading2"/>
        <w:rPr>
          <w:noProof/>
        </w:rPr>
      </w:pPr>
      <w:r>
        <w:rPr>
          <w:noProof/>
        </w:rPr>
        <w:tab/>
        <w:t>2.3.</w:t>
      </w:r>
      <w:r>
        <w:rPr>
          <w:noProof/>
        </w:rPr>
        <w:tab/>
        <w:t>Środki zapobiegania nadużyciom finansowym i nieprawidłowościom</w:t>
      </w:r>
    </w:p>
    <w:p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845"/>
        <w:rPr>
          <w:noProof/>
        </w:rPr>
      </w:pPr>
      <w:r>
        <w:rPr>
          <w:noProof/>
        </w:rPr>
        <w:t>Nie dotyczy</w:t>
      </w:r>
    </w:p>
    <w:p>
      <w:pPr>
        <w:rPr>
          <w:noProof/>
        </w:rPr>
        <w:sectPr>
          <w:pgSz w:w="11907" w:h="16840" w:code="9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ManualNumPar1"/>
        <w:rPr>
          <w:noProof/>
        </w:rPr>
      </w:pPr>
      <w:bookmarkStart w:id="1" w:name="_Toc514938050"/>
      <w:bookmarkStart w:id="2" w:name="_Toc520485049"/>
      <w:r>
        <w:rPr>
          <w:noProof/>
        </w:rPr>
        <w:lastRenderedPageBreak/>
        <w:t>3.</w:t>
      </w:r>
      <w:r>
        <w:rPr>
          <w:noProof/>
        </w:rPr>
        <w:tab/>
        <w:t>SZACUNKOWY WPŁYW FINANSOWY WNIOSKU/INICJATYWY</w:t>
      </w:r>
      <w:bookmarkStart w:id="3" w:name="_Toc514938051"/>
      <w:bookmarkStart w:id="4" w:name="_Toc520485050"/>
      <w:bookmarkEnd w:id="1"/>
      <w:bookmarkEnd w:id="2"/>
    </w:p>
    <w:p>
      <w:pPr>
        <w:pStyle w:val="ManualHeading2"/>
        <w:rPr>
          <w:noProof/>
        </w:rPr>
      </w:pPr>
      <w:r>
        <w:rPr>
          <w:noProof/>
        </w:rPr>
        <w:tab/>
        <w:t>3.1.</w:t>
      </w:r>
      <w:r>
        <w:rPr>
          <w:noProof/>
        </w:rPr>
        <w:tab/>
        <w:t>Działy wieloletnich ram finansowych i linie budżetowe po stronie wydatków, na które wniosek/inicjatywa ma wpływ</w:t>
      </w:r>
      <w:bookmarkEnd w:id="3"/>
      <w:bookmarkEnd w:id="4"/>
    </w:p>
    <w:p>
      <w:pPr>
        <w:pStyle w:val="ListBullet1"/>
        <w:rPr>
          <w:noProof/>
        </w:rPr>
      </w:pPr>
      <w:r>
        <w:rPr>
          <w:noProof/>
        </w:rPr>
        <w:t>Istniejące linie budżetowe</w:t>
      </w:r>
    </w:p>
    <w:p>
      <w:pPr>
        <w:pStyle w:val="Text1"/>
        <w:rPr>
          <w:i/>
          <w:noProof/>
        </w:rPr>
      </w:pPr>
      <w:r>
        <w:rPr>
          <w:i/>
          <w:noProof/>
          <w:u w:val="single"/>
        </w:rPr>
        <w:t>Według</w:t>
      </w:r>
      <w:r>
        <w:rPr>
          <w:noProof/>
        </w:rPr>
        <w:t xml:space="preserve"> </w:t>
      </w:r>
      <w:r>
        <w:rPr>
          <w:i/>
          <w:noProof/>
        </w:rPr>
        <w:t>działów wieloletnich ram finansowych i linii budżetowych</w:t>
      </w: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960"/>
        <w:gridCol w:w="1080"/>
        <w:gridCol w:w="956"/>
        <w:gridCol w:w="1080"/>
        <w:gridCol w:w="956"/>
        <w:gridCol w:w="1448"/>
      </w:tblGrid>
      <w:tr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Dział wieloletnich ram finansowych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20"/>
              </w:rPr>
              <w:t>Linia budżetowa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Rodzaj</w:t>
            </w:r>
            <w:r>
              <w:rPr>
                <w:noProof/>
                <w:sz w:val="22"/>
              </w:rPr>
              <w:br/>
            </w:r>
            <w:r>
              <w:rPr>
                <w:noProof/>
                <w:sz w:val="18"/>
              </w:rPr>
              <w:t>środków</w:t>
            </w:r>
          </w:p>
        </w:tc>
        <w:tc>
          <w:tcPr>
            <w:tcW w:w="4440" w:type="dxa"/>
            <w:gridSpan w:val="4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20"/>
              </w:rPr>
              <w:t xml:space="preserve">Wkład </w:t>
            </w:r>
          </w:p>
        </w:tc>
      </w:tr>
      <w:tr>
        <w:tc>
          <w:tcPr>
            <w:tcW w:w="1080" w:type="dxa"/>
            <w:vMerge/>
            <w:vAlign w:val="center"/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3960" w:type="dxa"/>
            <w:vAlign w:val="center"/>
          </w:tcPr>
          <w:p>
            <w:pPr>
              <w:rPr>
                <w:noProof/>
              </w:rPr>
            </w:pPr>
            <w:r>
              <w:rPr>
                <w:noProof/>
                <w:sz w:val="20"/>
              </w:rPr>
              <w:t xml:space="preserve">Numer </w:t>
            </w:r>
            <w:r>
              <w:rPr>
                <w:noProof/>
                <w:sz w:val="22"/>
              </w:rPr>
              <w:br/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Zróżnicowane /niezróżnicowane</w:t>
            </w:r>
            <w:r>
              <w:rPr>
                <w:rStyle w:val="FootnoteReference"/>
                <w:noProof/>
                <w:sz w:val="18"/>
              </w:rPr>
              <w:footnoteReference w:id="5"/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państw EFTA</w:t>
            </w:r>
            <w:r>
              <w:rPr>
                <w:rStyle w:val="FootnoteReference"/>
                <w:noProof/>
                <w:sz w:val="18"/>
              </w:rPr>
              <w:footnoteReference w:id="6"/>
            </w:r>
          </w:p>
          <w:p>
            <w:pPr>
              <w:jc w:val="center"/>
              <w:rPr>
                <w:b/>
                <w:noProof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krajów kandydujących</w:t>
            </w:r>
            <w:r>
              <w:rPr>
                <w:rStyle w:val="FootnoteReference"/>
                <w:noProof/>
                <w:sz w:val="18"/>
              </w:rPr>
              <w:footnoteReference w:id="7"/>
            </w:r>
          </w:p>
          <w:p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państw trzecich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w rozumieniu art. 21 ust. 2 lit. b) rozporządzenia finansowego </w:t>
            </w:r>
          </w:p>
        </w:tc>
      </w:tr>
      <w:tr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color w:val="0000FF"/>
              </w:rPr>
            </w:pPr>
          </w:p>
        </w:tc>
        <w:tc>
          <w:tcPr>
            <w:tcW w:w="3960" w:type="dxa"/>
            <w:vAlign w:val="center"/>
          </w:tcPr>
          <w:p>
            <w:pPr>
              <w:rPr>
                <w:noProof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color w:val="0000FF"/>
              </w:rPr>
            </w:pPr>
            <w:r>
              <w:rPr>
                <w:noProof/>
                <w:sz w:val="22"/>
              </w:rPr>
              <w:t>Zróżn.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NIE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NIE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NIE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NIE</w:t>
            </w:r>
          </w:p>
        </w:tc>
      </w:tr>
    </w:tbl>
    <w:p>
      <w:pPr>
        <w:rPr>
          <w:noProof/>
        </w:rPr>
        <w:sectPr>
          <w:pgSz w:w="11907" w:h="16840" w:code="1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ManualHeading2"/>
        <w:rPr>
          <w:noProof/>
        </w:rPr>
      </w:pPr>
      <w:bookmarkStart w:id="5" w:name="_Toc514938052"/>
      <w:bookmarkStart w:id="6" w:name="_Toc520485051"/>
      <w:r>
        <w:rPr>
          <w:noProof/>
        </w:rPr>
        <w:lastRenderedPageBreak/>
        <w:tab/>
        <w:t>3.2.</w:t>
      </w:r>
      <w:r>
        <w:rPr>
          <w:noProof/>
        </w:rPr>
        <w:tab/>
        <w:t>Szacunkowy wpływ finansowy wniosku na środki</w:t>
      </w:r>
      <w:bookmarkEnd w:id="5"/>
      <w:bookmarkEnd w:id="6"/>
    </w:p>
    <w:p>
      <w:pPr>
        <w:pStyle w:val="ManualHeading3"/>
        <w:rPr>
          <w:noProof/>
        </w:rPr>
      </w:pPr>
      <w:bookmarkStart w:id="7" w:name="_Toc514938053"/>
      <w:bookmarkStart w:id="8" w:name="_Toc520485052"/>
      <w:r>
        <w:rPr>
          <w:noProof/>
        </w:rPr>
        <w:t>3.2.1</w:t>
      </w:r>
      <w:r>
        <w:rPr>
          <w:noProof/>
        </w:rPr>
        <w:tab/>
        <w:t>Synteza szacunkowego wpływu na środki operacyjne</w:t>
      </w:r>
      <w:bookmarkEnd w:id="7"/>
      <w:bookmarkEnd w:id="8"/>
      <w:r>
        <w:rPr>
          <w:noProof/>
        </w:rPr>
        <w:t xml:space="preserve"> 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Niniejsze rozporządzenie nie ma wpływu finansowego.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 Wniosek/inicjatywa wiąże się z koniecznością wykorzystania środków operacyjnych, jak określono poniżej:</w:t>
      </w:r>
    </w:p>
    <w:p>
      <w:pPr>
        <w:jc w:val="left"/>
        <w:rPr>
          <w:noProof/>
          <w:highlight w:val="yellow"/>
        </w:rPr>
      </w:pPr>
    </w:p>
    <w:tbl>
      <w:tblPr>
        <w:tblStyle w:val="TableGrid0"/>
        <w:tblW w:w="15955" w:type="dxa"/>
        <w:tblInd w:w="-1068" w:type="dxa"/>
        <w:tblCellMar>
          <w:top w:w="29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3941"/>
        <w:gridCol w:w="20"/>
        <w:gridCol w:w="1415"/>
        <w:gridCol w:w="26"/>
        <w:gridCol w:w="144"/>
        <w:gridCol w:w="511"/>
        <w:gridCol w:w="22"/>
        <w:gridCol w:w="1228"/>
        <w:gridCol w:w="19"/>
        <w:gridCol w:w="1097"/>
        <w:gridCol w:w="17"/>
        <w:gridCol w:w="993"/>
        <w:gridCol w:w="15"/>
        <w:gridCol w:w="1120"/>
        <w:gridCol w:w="13"/>
        <w:gridCol w:w="1404"/>
        <w:gridCol w:w="9"/>
        <w:gridCol w:w="1551"/>
        <w:gridCol w:w="7"/>
        <w:gridCol w:w="2403"/>
      </w:tblGrid>
      <w:tr>
        <w:trPr>
          <w:trHeight w:val="1078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2"/>
              <w:jc w:val="left"/>
              <w:rPr>
                <w:noProof/>
                <w:highlight w:val="yellow"/>
              </w:rPr>
            </w:pPr>
            <w:r>
              <w:rPr>
                <w:noProof/>
                <w:highlight w:val="yellow"/>
              </w:rPr>
              <w:t xml:space="preserve"> 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2"/>
              <w:jc w:val="left"/>
              <w:rPr>
                <w:noProof/>
                <w:highlight w:val="yellow"/>
              </w:rPr>
            </w:pPr>
            <w:r>
              <w:rPr>
                <w:noProof/>
                <w:sz w:val="20"/>
                <w:highlight w:val="yellow"/>
              </w:rPr>
              <w:t xml:space="preserve"> </w:t>
            </w:r>
          </w:p>
        </w:tc>
        <w:tc>
          <w:tcPr>
            <w:tcW w:w="1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jc w:val="left"/>
              <w:rPr>
                <w:noProof/>
                <w:highlight w:val="yellow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jc w:val="center"/>
              <w:rPr>
                <w:noProof/>
                <w:highlight w:val="yellow"/>
              </w:rPr>
            </w:pPr>
            <w:r>
              <w:rPr>
                <w:noProof/>
                <w:sz w:val="20"/>
                <w:highlight w:val="yellow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51"/>
              <w:jc w:val="center"/>
              <w:rPr>
                <w:noProof/>
              </w:rPr>
            </w:pPr>
            <w:r>
              <w:rPr>
                <w:noProof/>
                <w:sz w:val="20"/>
              </w:rPr>
              <w:t xml:space="preserve">2019 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47"/>
              <w:jc w:val="center"/>
              <w:rPr>
                <w:noProof/>
              </w:rPr>
            </w:pPr>
            <w:r>
              <w:rPr>
                <w:noProof/>
                <w:sz w:val="20"/>
              </w:rPr>
              <w:t xml:space="preserve">2020 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46"/>
              <w:jc w:val="center"/>
              <w:rPr>
                <w:noProof/>
              </w:rPr>
            </w:pPr>
            <w:r>
              <w:rPr>
                <w:noProof/>
                <w:sz w:val="20"/>
              </w:rPr>
              <w:t xml:space="preserve">2021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51"/>
              <w:jc w:val="center"/>
              <w:rPr>
                <w:noProof/>
              </w:rPr>
            </w:pPr>
            <w:r>
              <w:rPr>
                <w:noProof/>
                <w:sz w:val="20"/>
              </w:rPr>
              <w:t xml:space="preserve">2022 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51"/>
              <w:jc w:val="center"/>
              <w:rPr>
                <w:noProof/>
              </w:rPr>
            </w:pPr>
            <w:r>
              <w:rPr>
                <w:noProof/>
                <w:sz w:val="20"/>
              </w:rPr>
              <w:t>2023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3" w:right="4"/>
              <w:jc w:val="center"/>
              <w:rPr>
                <w:noProof/>
              </w:rPr>
            </w:pPr>
            <w:r>
              <w:rPr>
                <w:noProof/>
                <w:sz w:val="20"/>
              </w:rPr>
              <w:t xml:space="preserve">Kolejne lata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50"/>
              <w:jc w:val="center"/>
              <w:rPr>
                <w:noProof/>
              </w:rPr>
            </w:pPr>
            <w:r>
              <w:rPr>
                <w:b/>
                <w:noProof/>
                <w:sz w:val="20"/>
              </w:rPr>
              <w:t xml:space="preserve">OGÓŁEM </w:t>
            </w:r>
          </w:p>
        </w:tc>
      </w:tr>
      <w:tr>
        <w:trPr>
          <w:trHeight w:val="481"/>
        </w:trPr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2"/>
              <w:jc w:val="left"/>
              <w:rPr>
                <w:noProof/>
              </w:rPr>
            </w:pPr>
            <w:r>
              <w:rPr>
                <w:rFonts w:ascii="Wingdings" w:eastAsia="Wingdings" w:hAnsi="Wingdings" w:cs="Wingdings"/>
                <w:noProof/>
              </w:rPr>
              <w:t></w:t>
            </w:r>
            <w:r>
              <w:rPr>
                <w:noProof/>
                <w:sz w:val="21"/>
              </w:rPr>
              <w:t xml:space="preserve"> </w:t>
            </w:r>
            <w:r>
              <w:rPr>
                <w:b/>
                <w:noProof/>
              </w:rPr>
              <w:t>Anulowanie środków operacyjnych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jc w:val="left"/>
              <w:rPr>
                <w:noProof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noProof/>
              </w:rPr>
            </w:pPr>
            <w:r>
              <w:rPr>
                <w:noProof/>
                <w:sz w:val="20"/>
              </w:rPr>
              <w:t xml:space="preserve"> 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2"/>
              <w:jc w:val="left"/>
              <w:rPr>
                <w:noProof/>
              </w:rPr>
            </w:pPr>
            <w:r>
              <w:rPr>
                <w:noProof/>
                <w:sz w:val="20"/>
              </w:rPr>
              <w:t xml:space="preserve"> 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2"/>
              <w:jc w:val="left"/>
              <w:rPr>
                <w:noProof/>
              </w:rPr>
            </w:pPr>
            <w:r>
              <w:rPr>
                <w:noProof/>
                <w:sz w:val="20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2"/>
              <w:jc w:val="left"/>
              <w:rPr>
                <w:noProof/>
              </w:rPr>
            </w:pPr>
            <w:r>
              <w:rPr>
                <w:noProof/>
                <w:sz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noProof/>
              </w:rPr>
            </w:pPr>
            <w:r>
              <w:rPr>
                <w:b/>
                <w:noProof/>
                <w:sz w:val="20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2"/>
              <w:jc w:val="left"/>
              <w:rPr>
                <w:noProof/>
              </w:rPr>
            </w:pPr>
            <w:r>
              <w:rPr>
                <w:b/>
                <w:noProof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2"/>
              <w:jc w:val="left"/>
              <w:rPr>
                <w:noProof/>
              </w:rPr>
            </w:pPr>
            <w:r>
              <w:rPr>
                <w:b/>
                <w:noProof/>
                <w:sz w:val="20"/>
              </w:rPr>
              <w:t xml:space="preserve"> </w:t>
            </w:r>
          </w:p>
        </w:tc>
      </w:tr>
      <w:tr>
        <w:trPr>
          <w:trHeight w:val="521"/>
        </w:trPr>
        <w:tc>
          <w:tcPr>
            <w:tcW w:w="39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2"/>
              <w:jc w:val="left"/>
              <w:rPr>
                <w:noProof/>
              </w:rPr>
            </w:pPr>
            <w:r>
              <w:rPr>
                <w:noProof/>
                <w:sz w:val="20"/>
              </w:rPr>
              <w:t xml:space="preserve"> 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2"/>
              <w:jc w:val="left"/>
              <w:rPr>
                <w:noProof/>
              </w:rPr>
            </w:pPr>
            <w:r>
              <w:rPr>
                <w:noProof/>
                <w:sz w:val="18"/>
              </w:rPr>
              <w:t xml:space="preserve">Środki na zobowiązania 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52"/>
              <w:jc w:val="center"/>
              <w:rPr>
                <w:noProof/>
              </w:rPr>
            </w:pPr>
            <w:r>
              <w:rPr>
                <w:noProof/>
                <w:sz w:val="14"/>
              </w:rPr>
              <w:t xml:space="preserve">(1a) 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5"/>
              <w:jc w:val="right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  <w:sz w:val="20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2"/>
              <w:jc w:val="right"/>
              <w:rPr>
                <w:noProof/>
              </w:rPr>
            </w:pPr>
            <w:r>
              <w:rPr>
                <w:noProof/>
                <w:sz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1"/>
              <w:jc w:val="right"/>
              <w:rPr>
                <w:noProof/>
              </w:rPr>
            </w:pPr>
            <w:r>
              <w:rPr>
                <w:b/>
                <w:noProof/>
                <w:sz w:val="20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jc w:val="right"/>
              <w:rPr>
                <w:noProof/>
              </w:rPr>
            </w:pPr>
            <w:r>
              <w:rPr>
                <w:b/>
                <w:noProof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5"/>
              <w:jc w:val="right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</w:tr>
      <w:tr>
        <w:trPr>
          <w:trHeight w:val="42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jc w:val="left"/>
              <w:rPr>
                <w:noProof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2"/>
              <w:jc w:val="left"/>
              <w:rPr>
                <w:noProof/>
              </w:rPr>
            </w:pPr>
            <w:r>
              <w:rPr>
                <w:noProof/>
                <w:sz w:val="18"/>
              </w:rPr>
              <w:t xml:space="preserve">Środki na płatności 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52"/>
              <w:jc w:val="center"/>
              <w:rPr>
                <w:noProof/>
              </w:rPr>
            </w:pPr>
            <w:r>
              <w:rPr>
                <w:noProof/>
                <w:sz w:val="14"/>
              </w:rPr>
              <w:t xml:space="preserve">(2a) 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5"/>
              <w:jc w:val="right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5"/>
              <w:jc w:val="right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5"/>
              <w:jc w:val="right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7"/>
              <w:jc w:val="right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5"/>
              <w:jc w:val="right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5"/>
              <w:jc w:val="right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5"/>
              <w:jc w:val="right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</w:tr>
      <w:tr>
        <w:trPr>
          <w:trHeight w:val="571"/>
        </w:trPr>
        <w:tc>
          <w:tcPr>
            <w:tcW w:w="39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46"/>
              <w:jc w:val="center"/>
              <w:rPr>
                <w:noProof/>
              </w:rPr>
            </w:pPr>
            <w:r>
              <w:rPr>
                <w:b/>
                <w:noProof/>
                <w:sz w:val="22"/>
              </w:rPr>
              <w:t>OGÓŁEM środki</w:t>
            </w:r>
          </w:p>
          <w:p>
            <w:pPr>
              <w:ind w:left="13"/>
              <w:jc w:val="center"/>
              <w:rPr>
                <w:noProof/>
              </w:rPr>
            </w:pPr>
            <w:r>
              <w:rPr>
                <w:b/>
                <w:noProof/>
              </w:rPr>
              <w:t xml:space="preserve"> 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2"/>
              <w:jc w:val="left"/>
              <w:rPr>
                <w:noProof/>
              </w:rPr>
            </w:pPr>
            <w:r>
              <w:rPr>
                <w:noProof/>
                <w:sz w:val="18"/>
              </w:rPr>
              <w:t xml:space="preserve">Środki na zobowiązania 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4"/>
              </w:rPr>
              <w:t xml:space="preserve">=1a+1b +3 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5"/>
              <w:jc w:val="right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5"/>
              <w:jc w:val="right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5"/>
              <w:jc w:val="right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7"/>
              <w:jc w:val="right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5"/>
              <w:jc w:val="right"/>
              <w:rPr>
                <w:noProof/>
              </w:rPr>
            </w:pPr>
            <w:r>
              <w:rPr>
                <w:b/>
                <w:noProof/>
                <w:sz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5"/>
              <w:jc w:val="right"/>
              <w:rPr>
                <w:noProof/>
              </w:rPr>
            </w:pPr>
            <w:r>
              <w:rPr>
                <w:b/>
                <w:noProof/>
                <w:sz w:val="18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5"/>
              <w:jc w:val="right"/>
              <w:rPr>
                <w:noProof/>
              </w:rPr>
            </w:pPr>
            <w:r>
              <w:rPr>
                <w:b/>
                <w:noProof/>
                <w:sz w:val="18"/>
              </w:rPr>
              <w:t xml:space="preserve"> </w:t>
            </w:r>
          </w:p>
        </w:tc>
      </w:tr>
      <w:tr>
        <w:trPr>
          <w:trHeight w:val="69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jc w:val="left"/>
              <w:rPr>
                <w:noProof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2"/>
              <w:jc w:val="left"/>
              <w:rPr>
                <w:noProof/>
              </w:rPr>
            </w:pPr>
            <w:r>
              <w:rPr>
                <w:noProof/>
                <w:sz w:val="18"/>
              </w:rPr>
              <w:t xml:space="preserve">Środki na płatności 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5"/>
              <w:jc w:val="left"/>
              <w:rPr>
                <w:noProof/>
              </w:rPr>
            </w:pPr>
            <w:r>
              <w:rPr>
                <w:noProof/>
                <w:sz w:val="14"/>
              </w:rPr>
              <w:t xml:space="preserve">=2a+2b </w:t>
            </w:r>
          </w:p>
          <w:p>
            <w:pPr>
              <w:ind w:right="50"/>
              <w:jc w:val="center"/>
              <w:rPr>
                <w:noProof/>
              </w:rPr>
            </w:pPr>
            <w:r>
              <w:rPr>
                <w:noProof/>
                <w:sz w:val="14"/>
              </w:rPr>
              <w:t xml:space="preserve">+3 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5"/>
              <w:jc w:val="right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5"/>
              <w:jc w:val="right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5"/>
              <w:jc w:val="right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7"/>
              <w:jc w:val="right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5"/>
              <w:jc w:val="right"/>
              <w:rPr>
                <w:noProof/>
              </w:rPr>
            </w:pPr>
            <w:r>
              <w:rPr>
                <w:b/>
                <w:noProof/>
                <w:sz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5"/>
              <w:jc w:val="right"/>
              <w:rPr>
                <w:noProof/>
              </w:rPr>
            </w:pPr>
            <w:r>
              <w:rPr>
                <w:b/>
                <w:noProof/>
                <w:sz w:val="18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5"/>
              <w:jc w:val="right"/>
              <w:rPr>
                <w:noProof/>
              </w:rPr>
            </w:pPr>
            <w:r>
              <w:rPr>
                <w:b/>
                <w:noProof/>
                <w:sz w:val="18"/>
              </w:rPr>
              <w:t xml:space="preserve"> </w:t>
            </w:r>
          </w:p>
        </w:tc>
      </w:tr>
    </w:tbl>
    <w:p>
      <w:pPr>
        <w:jc w:val="left"/>
        <w:rPr>
          <w:noProof/>
        </w:rPr>
      </w:pPr>
    </w:p>
    <w:tbl>
      <w:tblPr>
        <w:tblStyle w:val="TableGrid0"/>
        <w:tblW w:w="14397" w:type="dxa"/>
        <w:tblInd w:w="-360" w:type="dxa"/>
        <w:tblCellMar>
          <w:top w:w="5" w:type="dxa"/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3962"/>
        <w:gridCol w:w="1441"/>
        <w:gridCol w:w="655"/>
        <w:gridCol w:w="1250"/>
        <w:gridCol w:w="1116"/>
        <w:gridCol w:w="1152"/>
        <w:gridCol w:w="1135"/>
        <w:gridCol w:w="1133"/>
        <w:gridCol w:w="1135"/>
        <w:gridCol w:w="1418"/>
      </w:tblGrid>
      <w:tr>
        <w:trPr>
          <w:trHeight w:val="312"/>
        </w:trPr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103"/>
              <w:jc w:val="left"/>
              <w:rPr>
                <w:noProof/>
              </w:rPr>
            </w:pPr>
            <w:r>
              <w:rPr>
                <w:rFonts w:ascii="Wingdings" w:eastAsia="Wingdings" w:hAnsi="Wingdings" w:cs="Wingdings"/>
                <w:noProof/>
              </w:rPr>
              <w:t></w:t>
            </w:r>
            <w:r>
              <w:rPr>
                <w:noProof/>
                <w:sz w:val="21"/>
              </w:rPr>
              <w:t>OGÓŁEM środki operacyjne</w:t>
            </w:r>
            <w:r>
              <w:rPr>
                <w:noProof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3"/>
              <w:jc w:val="left"/>
              <w:rPr>
                <w:noProof/>
              </w:rPr>
            </w:pPr>
            <w:r>
              <w:rPr>
                <w:noProof/>
                <w:sz w:val="18"/>
              </w:rPr>
              <w:t xml:space="preserve">Środki na zobowiązania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4"/>
              <w:jc w:val="center"/>
              <w:rPr>
                <w:noProof/>
              </w:rPr>
            </w:pPr>
            <w:r>
              <w:rPr>
                <w:noProof/>
                <w:sz w:val="14"/>
              </w:rPr>
              <w:t xml:space="preserve">(4)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53"/>
              <w:jc w:val="right"/>
              <w:rPr>
                <w:noProof/>
              </w:rPr>
            </w:pPr>
            <w:r>
              <w:rPr>
                <w:noProof/>
                <w:sz w:val="20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53"/>
              <w:jc w:val="right"/>
              <w:rPr>
                <w:noProof/>
              </w:rPr>
            </w:pPr>
            <w:r>
              <w:rPr>
                <w:noProof/>
                <w:sz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53"/>
              <w:jc w:val="right"/>
              <w:rPr>
                <w:noProof/>
              </w:rPr>
            </w:pPr>
            <w:r>
              <w:rPr>
                <w:noProof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56"/>
              <w:jc w:val="right"/>
              <w:rPr>
                <w:noProof/>
              </w:rPr>
            </w:pPr>
            <w:r>
              <w:rPr>
                <w:noProof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56"/>
              <w:jc w:val="right"/>
              <w:rPr>
                <w:noProof/>
              </w:rPr>
            </w:pPr>
            <w:r>
              <w:rPr>
                <w:noProof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56"/>
              <w:jc w:val="right"/>
              <w:rPr>
                <w:noProof/>
              </w:rPr>
            </w:pPr>
            <w:r>
              <w:rPr>
                <w:noProof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56"/>
              <w:jc w:val="right"/>
              <w:rPr>
                <w:noProof/>
              </w:rPr>
            </w:pPr>
            <w:r>
              <w:rPr>
                <w:b/>
                <w:noProof/>
                <w:sz w:val="20"/>
              </w:rPr>
              <w:t xml:space="preserve"> </w:t>
            </w:r>
          </w:p>
        </w:tc>
      </w:tr>
      <w:tr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jc w:val="left"/>
              <w:rPr>
                <w:noProof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3"/>
              <w:jc w:val="left"/>
              <w:rPr>
                <w:noProof/>
              </w:rPr>
            </w:pPr>
            <w:r>
              <w:rPr>
                <w:noProof/>
                <w:sz w:val="18"/>
              </w:rPr>
              <w:t xml:space="preserve">Środki na płatności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4"/>
              <w:jc w:val="center"/>
              <w:rPr>
                <w:noProof/>
              </w:rPr>
            </w:pPr>
            <w:r>
              <w:rPr>
                <w:noProof/>
                <w:sz w:val="14"/>
              </w:rPr>
              <w:t xml:space="preserve">(5)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53"/>
              <w:jc w:val="right"/>
              <w:rPr>
                <w:noProof/>
              </w:rPr>
            </w:pPr>
            <w:r>
              <w:rPr>
                <w:noProof/>
                <w:sz w:val="20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53"/>
              <w:jc w:val="right"/>
              <w:rPr>
                <w:noProof/>
              </w:rPr>
            </w:pPr>
            <w:r>
              <w:rPr>
                <w:noProof/>
                <w:sz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53"/>
              <w:jc w:val="right"/>
              <w:rPr>
                <w:noProof/>
              </w:rPr>
            </w:pPr>
            <w:r>
              <w:rPr>
                <w:noProof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56"/>
              <w:jc w:val="right"/>
              <w:rPr>
                <w:noProof/>
              </w:rPr>
            </w:pPr>
            <w:r>
              <w:rPr>
                <w:noProof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56"/>
              <w:jc w:val="right"/>
              <w:rPr>
                <w:noProof/>
              </w:rPr>
            </w:pPr>
            <w:r>
              <w:rPr>
                <w:noProof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56"/>
              <w:jc w:val="right"/>
              <w:rPr>
                <w:noProof/>
              </w:rPr>
            </w:pPr>
            <w:r>
              <w:rPr>
                <w:noProof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56"/>
              <w:jc w:val="right"/>
              <w:rPr>
                <w:noProof/>
              </w:rPr>
            </w:pPr>
            <w:r>
              <w:rPr>
                <w:b/>
                <w:noProof/>
                <w:sz w:val="20"/>
              </w:rPr>
              <w:t xml:space="preserve"> </w:t>
            </w:r>
          </w:p>
        </w:tc>
      </w:tr>
      <w:tr>
        <w:trPr>
          <w:trHeight w:val="588"/>
        </w:trPr>
        <w:tc>
          <w:tcPr>
            <w:tcW w:w="5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3"/>
              <w:rPr>
                <w:noProof/>
              </w:rPr>
            </w:pPr>
            <w:r>
              <w:rPr>
                <w:rFonts w:ascii="Wingdings" w:eastAsia="Wingdings" w:hAnsi="Wingdings" w:cs="Wingdings"/>
                <w:noProof/>
              </w:rPr>
              <w:t></w:t>
            </w:r>
            <w:r>
              <w:rPr>
                <w:noProof/>
                <w:sz w:val="21"/>
              </w:rPr>
              <w:t>OGÓŁEM środki administracyjne finansowane ze środków przydzielonych na określone programy operacyjne</w:t>
            </w:r>
            <w:r>
              <w:rPr>
                <w:noProof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4"/>
              <w:jc w:val="center"/>
              <w:rPr>
                <w:noProof/>
              </w:rPr>
            </w:pPr>
            <w:r>
              <w:rPr>
                <w:noProof/>
                <w:sz w:val="14"/>
              </w:rPr>
              <w:t xml:space="preserve">(6)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53"/>
              <w:jc w:val="right"/>
              <w:rPr>
                <w:noProof/>
              </w:rPr>
            </w:pPr>
            <w:r>
              <w:rPr>
                <w:b/>
                <w:noProof/>
                <w:sz w:val="20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53"/>
              <w:jc w:val="right"/>
              <w:rPr>
                <w:noProof/>
              </w:rPr>
            </w:pPr>
            <w:r>
              <w:rPr>
                <w:b/>
                <w:noProof/>
                <w:sz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53"/>
              <w:jc w:val="right"/>
              <w:rPr>
                <w:noProof/>
              </w:rPr>
            </w:pPr>
            <w:r>
              <w:rPr>
                <w:b/>
                <w:noProof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56"/>
              <w:jc w:val="right"/>
              <w:rPr>
                <w:noProof/>
              </w:rPr>
            </w:pPr>
            <w:r>
              <w:rPr>
                <w:b/>
                <w:noProof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56"/>
              <w:jc w:val="right"/>
              <w:rPr>
                <w:noProof/>
              </w:rPr>
            </w:pPr>
            <w:r>
              <w:rPr>
                <w:b/>
                <w:noProof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56"/>
              <w:jc w:val="right"/>
              <w:rPr>
                <w:noProof/>
              </w:rPr>
            </w:pPr>
            <w:r>
              <w:rPr>
                <w:b/>
                <w:noProof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56"/>
              <w:jc w:val="right"/>
              <w:rPr>
                <w:noProof/>
              </w:rPr>
            </w:pPr>
            <w:r>
              <w:rPr>
                <w:b/>
                <w:noProof/>
                <w:sz w:val="20"/>
              </w:rPr>
              <w:t xml:space="preserve"> </w:t>
            </w:r>
          </w:p>
        </w:tc>
      </w:tr>
      <w:tr>
        <w:trPr>
          <w:trHeight w:val="459"/>
        </w:trPr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575" w:right="469"/>
              <w:jc w:val="center"/>
              <w:rPr>
                <w:noProof/>
              </w:rPr>
            </w:pPr>
            <w:r>
              <w:rPr>
                <w:b/>
                <w:noProof/>
                <w:sz w:val="22"/>
              </w:rPr>
              <w:lastRenderedPageBreak/>
              <w:t>OGÓŁEM środki</w:t>
            </w:r>
            <w:r>
              <w:rPr>
                <w:noProof/>
                <w:sz w:val="22"/>
              </w:rPr>
              <w:t xml:space="preserve"> </w:t>
            </w:r>
            <w:r>
              <w:rPr>
                <w:b/>
                <w:noProof/>
                <w:sz w:val="22"/>
              </w:rPr>
              <w:t>na DZIAŁ 13</w:t>
            </w:r>
          </w:p>
          <w:p>
            <w:pPr>
              <w:ind w:right="2"/>
              <w:jc w:val="center"/>
              <w:rPr>
                <w:noProof/>
              </w:rPr>
            </w:pPr>
            <w:r>
              <w:rPr>
                <w:noProof/>
                <w:sz w:val="22"/>
              </w:rPr>
              <w:t>wieloletnich ram finansowych</w:t>
            </w:r>
            <w:r>
              <w:rPr>
                <w:b/>
                <w:noProof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103"/>
              <w:jc w:val="left"/>
              <w:rPr>
                <w:noProof/>
              </w:rPr>
            </w:pPr>
            <w:r>
              <w:rPr>
                <w:noProof/>
                <w:sz w:val="18"/>
              </w:rPr>
              <w:t xml:space="preserve">Środki na zobowiązania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5"/>
              <w:jc w:val="center"/>
              <w:rPr>
                <w:noProof/>
              </w:rPr>
            </w:pPr>
            <w:r>
              <w:rPr>
                <w:noProof/>
                <w:sz w:val="14"/>
              </w:rPr>
              <w:t xml:space="preserve">=4 + 6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58"/>
              <w:jc w:val="right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58"/>
              <w:jc w:val="right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58"/>
              <w:jc w:val="right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61"/>
              <w:jc w:val="right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61"/>
              <w:jc w:val="right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61"/>
              <w:jc w:val="right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61"/>
              <w:jc w:val="right"/>
              <w:rPr>
                <w:noProof/>
              </w:rPr>
            </w:pPr>
            <w:r>
              <w:rPr>
                <w:b/>
                <w:noProof/>
                <w:sz w:val="18"/>
              </w:rPr>
              <w:t xml:space="preserve"> </w:t>
            </w:r>
          </w:p>
        </w:tc>
      </w:tr>
      <w:tr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jc w:val="left"/>
              <w:rPr>
                <w:noProof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103"/>
              <w:jc w:val="left"/>
              <w:rPr>
                <w:noProof/>
              </w:rPr>
            </w:pPr>
            <w:r>
              <w:rPr>
                <w:noProof/>
                <w:sz w:val="18"/>
              </w:rPr>
              <w:t xml:space="preserve">Środki na płatności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5"/>
              <w:jc w:val="center"/>
              <w:rPr>
                <w:noProof/>
              </w:rPr>
            </w:pPr>
            <w:r>
              <w:rPr>
                <w:noProof/>
                <w:sz w:val="14"/>
              </w:rPr>
              <w:t xml:space="preserve">=5 + 6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58"/>
              <w:jc w:val="right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58"/>
              <w:jc w:val="right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58"/>
              <w:jc w:val="right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61"/>
              <w:jc w:val="right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61"/>
              <w:jc w:val="right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61"/>
              <w:jc w:val="right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61"/>
              <w:jc w:val="right"/>
              <w:rPr>
                <w:noProof/>
              </w:rPr>
            </w:pPr>
            <w:r>
              <w:rPr>
                <w:b/>
                <w:noProof/>
                <w:sz w:val="18"/>
              </w:rPr>
              <w:t xml:space="preserve"> </w:t>
            </w:r>
          </w:p>
        </w:tc>
      </w:tr>
    </w:tbl>
    <w:p>
      <w:pPr>
        <w:jc w:val="left"/>
        <w:rPr>
          <w:noProof/>
        </w:rPr>
      </w:pPr>
      <w:r>
        <w:rPr>
          <w:b/>
          <w:noProof/>
          <w:sz w:val="22"/>
        </w:rPr>
        <w:t xml:space="preserve"> </w:t>
      </w:r>
      <w:r>
        <w:rPr>
          <w:b/>
          <w:noProof/>
          <w:sz w:val="22"/>
          <w:u w:val="single" w:color="000000"/>
        </w:rPr>
        <w:t>Jeżeli wpływ wniosku/inicjatywy nie ogranicza się do jednego działu operacyjnego, należy powtórzyć powyższą część:</w:t>
      </w:r>
      <w:r>
        <w:rPr>
          <w:b/>
          <w:noProof/>
          <w:sz w:val="22"/>
        </w:rPr>
        <w:t xml:space="preserve"> </w:t>
      </w:r>
    </w:p>
    <w:tbl>
      <w:tblPr>
        <w:tblStyle w:val="TableGrid0"/>
        <w:tblW w:w="13910" w:type="dxa"/>
        <w:tblInd w:w="-360" w:type="dxa"/>
        <w:tblCellMar>
          <w:top w:w="5" w:type="dxa"/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3962"/>
        <w:gridCol w:w="1441"/>
        <w:gridCol w:w="655"/>
        <w:gridCol w:w="866"/>
        <w:gridCol w:w="869"/>
        <w:gridCol w:w="869"/>
        <w:gridCol w:w="866"/>
        <w:gridCol w:w="869"/>
        <w:gridCol w:w="869"/>
        <w:gridCol w:w="866"/>
        <w:gridCol w:w="1778"/>
      </w:tblGrid>
      <w:tr>
        <w:trPr>
          <w:trHeight w:val="314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FF0000"/>
              <w:right w:val="single" w:sz="4" w:space="0" w:color="000000"/>
            </w:tcBorders>
          </w:tcPr>
          <w:p>
            <w:pPr>
              <w:jc w:val="left"/>
              <w:rPr>
                <w:noProof/>
              </w:rPr>
            </w:pPr>
            <w:r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>
              <w:rPr>
                <w:noProof/>
                <w:sz w:val="21"/>
              </w:rPr>
              <w:t xml:space="preserve">OGÓŁEM środki operacyjne (wszystkie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FF0000"/>
              <w:right w:val="single" w:sz="4" w:space="0" w:color="000000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  <w:sz w:val="18"/>
              </w:rPr>
              <w:t xml:space="preserve">Środki na zobowiązania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FF0000"/>
              <w:right w:val="single" w:sz="4" w:space="0" w:color="000000"/>
            </w:tcBorders>
          </w:tcPr>
          <w:p>
            <w:pPr>
              <w:ind w:right="56"/>
              <w:jc w:val="center"/>
              <w:rPr>
                <w:noProof/>
              </w:rPr>
            </w:pPr>
            <w:r>
              <w:rPr>
                <w:noProof/>
                <w:sz w:val="14"/>
              </w:rPr>
              <w:t xml:space="preserve">(4)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FF0000"/>
              <w:right w:val="single" w:sz="4" w:space="0" w:color="000000"/>
            </w:tcBorders>
          </w:tcPr>
          <w:p>
            <w:pPr>
              <w:ind w:right="2"/>
              <w:jc w:val="right"/>
              <w:rPr>
                <w:noProof/>
              </w:rPr>
            </w:pPr>
            <w:r>
              <w:rPr>
                <w:noProof/>
                <w:sz w:val="20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FF0000"/>
              <w:right w:val="single" w:sz="4" w:space="0" w:color="000000"/>
            </w:tcBorders>
          </w:tcPr>
          <w:p>
            <w:pPr>
              <w:ind w:right="2"/>
              <w:jc w:val="right"/>
              <w:rPr>
                <w:noProof/>
              </w:rPr>
            </w:pPr>
            <w:r>
              <w:rPr>
                <w:noProof/>
                <w:sz w:val="20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FF0000"/>
              <w:right w:val="single" w:sz="4" w:space="0" w:color="000000"/>
            </w:tcBorders>
          </w:tcPr>
          <w:p>
            <w:pPr>
              <w:ind w:right="2"/>
              <w:jc w:val="right"/>
              <w:rPr>
                <w:noProof/>
              </w:rPr>
            </w:pPr>
            <w:r>
              <w:rPr>
                <w:noProof/>
                <w:sz w:val="20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FF0000"/>
              <w:right w:val="single" w:sz="4" w:space="0" w:color="000000"/>
            </w:tcBorders>
          </w:tcPr>
          <w:p>
            <w:pPr>
              <w:ind w:right="2"/>
              <w:jc w:val="right"/>
              <w:rPr>
                <w:noProof/>
              </w:rPr>
            </w:pPr>
            <w:r>
              <w:rPr>
                <w:noProof/>
                <w:sz w:val="20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FF0000"/>
              <w:right w:val="single" w:sz="4" w:space="0" w:color="000000"/>
            </w:tcBorders>
          </w:tcPr>
          <w:p>
            <w:pPr>
              <w:ind w:right="2"/>
              <w:jc w:val="right"/>
              <w:rPr>
                <w:noProof/>
              </w:rPr>
            </w:pPr>
            <w:r>
              <w:rPr>
                <w:noProof/>
                <w:sz w:val="20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FF0000"/>
              <w:right w:val="single" w:sz="4" w:space="0" w:color="000000"/>
            </w:tcBorders>
          </w:tcPr>
          <w:p>
            <w:pPr>
              <w:ind w:right="3"/>
              <w:jc w:val="right"/>
              <w:rPr>
                <w:noProof/>
              </w:rPr>
            </w:pPr>
            <w:r>
              <w:rPr>
                <w:noProof/>
                <w:sz w:val="20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FF0000"/>
              <w:right w:val="single" w:sz="4" w:space="0" w:color="000000"/>
            </w:tcBorders>
          </w:tcPr>
          <w:p>
            <w:pPr>
              <w:ind w:right="2"/>
              <w:jc w:val="right"/>
              <w:rPr>
                <w:noProof/>
              </w:rPr>
            </w:pPr>
            <w:r>
              <w:rPr>
                <w:b/>
                <w:noProof/>
                <w:sz w:val="20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FF0000"/>
              <w:right w:val="single" w:sz="4" w:space="0" w:color="000000"/>
            </w:tcBorders>
          </w:tcPr>
          <w:p>
            <w:pPr>
              <w:ind w:right="4"/>
              <w:jc w:val="right"/>
              <w:rPr>
                <w:noProof/>
              </w:rPr>
            </w:pPr>
            <w:r>
              <w:rPr>
                <w:b/>
                <w:noProof/>
                <w:sz w:val="20"/>
              </w:rPr>
              <w:t xml:space="preserve"> </w:t>
            </w:r>
          </w:p>
        </w:tc>
      </w:tr>
      <w:tr>
        <w:trPr>
          <w:trHeight w:val="315"/>
        </w:trPr>
        <w:tc>
          <w:tcPr>
            <w:tcW w:w="3962" w:type="dxa"/>
            <w:tcBorders>
              <w:top w:val="single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3"/>
              <w:jc w:val="left"/>
              <w:rPr>
                <w:noProof/>
              </w:rPr>
            </w:pPr>
            <w:r>
              <w:rPr>
                <w:noProof/>
                <w:sz w:val="21"/>
              </w:rPr>
              <w:t>działy operacyjne)</w:t>
            </w:r>
            <w:r>
              <w:rPr>
                <w:noProof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3"/>
              <w:jc w:val="left"/>
              <w:rPr>
                <w:noProof/>
              </w:rPr>
            </w:pPr>
            <w:r>
              <w:rPr>
                <w:noProof/>
                <w:sz w:val="18"/>
              </w:rPr>
              <w:t xml:space="preserve">Środki na płatności </w:t>
            </w:r>
          </w:p>
        </w:tc>
        <w:tc>
          <w:tcPr>
            <w:tcW w:w="655" w:type="dxa"/>
            <w:tcBorders>
              <w:top w:val="single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4"/>
              <w:jc w:val="center"/>
              <w:rPr>
                <w:noProof/>
              </w:rPr>
            </w:pPr>
            <w:r>
              <w:rPr>
                <w:noProof/>
                <w:sz w:val="14"/>
              </w:rPr>
              <w:t xml:space="preserve">(5) </w:t>
            </w:r>
          </w:p>
        </w:tc>
        <w:tc>
          <w:tcPr>
            <w:tcW w:w="866" w:type="dxa"/>
            <w:tcBorders>
              <w:top w:val="single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53"/>
              <w:jc w:val="right"/>
              <w:rPr>
                <w:noProof/>
              </w:rPr>
            </w:pPr>
            <w:r>
              <w:rPr>
                <w:noProof/>
                <w:sz w:val="20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54"/>
              <w:jc w:val="right"/>
              <w:rPr>
                <w:noProof/>
              </w:rPr>
            </w:pPr>
            <w:r>
              <w:rPr>
                <w:noProof/>
                <w:sz w:val="20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53"/>
              <w:jc w:val="right"/>
              <w:rPr>
                <w:noProof/>
              </w:rPr>
            </w:pPr>
            <w:r>
              <w:rPr>
                <w:noProof/>
                <w:sz w:val="20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53"/>
              <w:jc w:val="right"/>
              <w:rPr>
                <w:noProof/>
              </w:rPr>
            </w:pPr>
            <w:r>
              <w:rPr>
                <w:noProof/>
                <w:sz w:val="20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53"/>
              <w:jc w:val="right"/>
              <w:rPr>
                <w:noProof/>
              </w:rPr>
            </w:pPr>
            <w:r>
              <w:rPr>
                <w:noProof/>
                <w:sz w:val="20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54"/>
              <w:jc w:val="right"/>
              <w:rPr>
                <w:noProof/>
              </w:rPr>
            </w:pPr>
            <w:r>
              <w:rPr>
                <w:noProof/>
                <w:sz w:val="20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53"/>
              <w:jc w:val="right"/>
              <w:rPr>
                <w:noProof/>
              </w:rPr>
            </w:pPr>
            <w:r>
              <w:rPr>
                <w:b/>
                <w:noProof/>
                <w:sz w:val="20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56"/>
              <w:jc w:val="right"/>
              <w:rPr>
                <w:noProof/>
              </w:rPr>
            </w:pPr>
            <w:r>
              <w:rPr>
                <w:b/>
                <w:noProof/>
                <w:sz w:val="20"/>
              </w:rPr>
              <w:t xml:space="preserve"> </w:t>
            </w:r>
          </w:p>
        </w:tc>
      </w:tr>
      <w:tr>
        <w:trPr>
          <w:trHeight w:val="830"/>
        </w:trPr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3" w:right="103"/>
              <w:rPr>
                <w:noProof/>
              </w:rPr>
            </w:pPr>
            <w:r>
              <w:rPr>
                <w:noProof/>
                <w:sz w:val="21"/>
              </w:rPr>
              <w:t xml:space="preserve"> OGÓŁEM środki administracyjne finansowane ze środków przydzielonych na określone programy operacyjne (wszystkie działy operacyjne)</w:t>
            </w:r>
            <w:r>
              <w:rPr>
                <w:noProof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240" w:right="244" w:hanging="137"/>
              <w:jc w:val="left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  <w:sz w:val="14"/>
              </w:rPr>
              <w:t xml:space="preserve">(6)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53"/>
              <w:jc w:val="right"/>
              <w:rPr>
                <w:noProof/>
              </w:rPr>
            </w:pPr>
            <w:r>
              <w:rPr>
                <w:b/>
                <w:noProof/>
                <w:sz w:val="20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54"/>
              <w:jc w:val="right"/>
              <w:rPr>
                <w:noProof/>
              </w:rPr>
            </w:pPr>
            <w:r>
              <w:rPr>
                <w:b/>
                <w:noProof/>
                <w:sz w:val="20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53"/>
              <w:jc w:val="right"/>
              <w:rPr>
                <w:noProof/>
              </w:rPr>
            </w:pPr>
            <w:r>
              <w:rPr>
                <w:b/>
                <w:noProof/>
                <w:sz w:val="20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53"/>
              <w:jc w:val="right"/>
              <w:rPr>
                <w:noProof/>
              </w:rPr>
            </w:pPr>
            <w:r>
              <w:rPr>
                <w:b/>
                <w:noProof/>
                <w:sz w:val="20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53"/>
              <w:jc w:val="right"/>
              <w:rPr>
                <w:noProof/>
              </w:rPr>
            </w:pPr>
            <w:r>
              <w:rPr>
                <w:b/>
                <w:noProof/>
                <w:sz w:val="20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54"/>
              <w:jc w:val="right"/>
              <w:rPr>
                <w:noProof/>
              </w:rPr>
            </w:pPr>
            <w:r>
              <w:rPr>
                <w:b/>
                <w:noProof/>
                <w:sz w:val="20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53"/>
              <w:jc w:val="right"/>
              <w:rPr>
                <w:noProof/>
              </w:rPr>
            </w:pPr>
            <w:r>
              <w:rPr>
                <w:b/>
                <w:noProof/>
                <w:sz w:val="20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56"/>
              <w:jc w:val="right"/>
              <w:rPr>
                <w:noProof/>
              </w:rPr>
            </w:pPr>
            <w:r>
              <w:rPr>
                <w:b/>
                <w:noProof/>
                <w:sz w:val="20"/>
              </w:rPr>
              <w:t xml:space="preserve"> </w:t>
            </w:r>
          </w:p>
        </w:tc>
      </w:tr>
      <w:tr>
        <w:trPr>
          <w:trHeight w:val="456"/>
        </w:trPr>
        <w:tc>
          <w:tcPr>
            <w:tcW w:w="3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575" w:right="469"/>
              <w:jc w:val="center"/>
              <w:rPr>
                <w:noProof/>
              </w:rPr>
            </w:pPr>
            <w:r>
              <w:rPr>
                <w:b/>
                <w:noProof/>
                <w:sz w:val="22"/>
              </w:rPr>
              <w:t>OGÓŁEM środki na DZIAŁY 1–4</w:t>
            </w:r>
          </w:p>
          <w:p>
            <w:pPr>
              <w:ind w:right="2"/>
              <w:jc w:val="center"/>
              <w:rPr>
                <w:noProof/>
              </w:rPr>
            </w:pPr>
            <w:r>
              <w:rPr>
                <w:noProof/>
                <w:sz w:val="22"/>
              </w:rPr>
              <w:t>wieloletnich ram finansowych</w:t>
            </w:r>
          </w:p>
          <w:p>
            <w:pPr>
              <w:ind w:right="4"/>
              <w:jc w:val="center"/>
              <w:rPr>
                <w:noProof/>
              </w:rPr>
            </w:pPr>
            <w:r>
              <w:rPr>
                <w:noProof/>
                <w:sz w:val="20"/>
              </w:rPr>
              <w:t>(kwota referencyjna)</w:t>
            </w:r>
            <w:r>
              <w:rPr>
                <w:b/>
                <w:noProof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103"/>
              <w:jc w:val="left"/>
              <w:rPr>
                <w:noProof/>
              </w:rPr>
            </w:pPr>
            <w:r>
              <w:rPr>
                <w:noProof/>
                <w:sz w:val="18"/>
              </w:rPr>
              <w:t xml:space="preserve">Środki na zobowiązania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5"/>
              <w:jc w:val="center"/>
              <w:rPr>
                <w:noProof/>
              </w:rPr>
            </w:pPr>
            <w:r>
              <w:rPr>
                <w:noProof/>
                <w:sz w:val="14"/>
              </w:rPr>
              <w:t xml:space="preserve">=4 + 6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53"/>
              <w:jc w:val="right"/>
              <w:rPr>
                <w:noProof/>
              </w:rPr>
            </w:pPr>
            <w:r>
              <w:rPr>
                <w:noProof/>
                <w:sz w:val="20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54"/>
              <w:jc w:val="right"/>
              <w:rPr>
                <w:noProof/>
              </w:rPr>
            </w:pPr>
            <w:r>
              <w:rPr>
                <w:noProof/>
                <w:sz w:val="20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53"/>
              <w:jc w:val="right"/>
              <w:rPr>
                <w:noProof/>
              </w:rPr>
            </w:pPr>
            <w:r>
              <w:rPr>
                <w:noProof/>
                <w:sz w:val="20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53"/>
              <w:jc w:val="right"/>
              <w:rPr>
                <w:noProof/>
              </w:rPr>
            </w:pPr>
            <w:r>
              <w:rPr>
                <w:noProof/>
                <w:sz w:val="20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53"/>
              <w:jc w:val="right"/>
              <w:rPr>
                <w:noProof/>
              </w:rPr>
            </w:pPr>
            <w:r>
              <w:rPr>
                <w:noProof/>
                <w:sz w:val="20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54"/>
              <w:jc w:val="right"/>
              <w:rPr>
                <w:noProof/>
              </w:rPr>
            </w:pPr>
            <w:r>
              <w:rPr>
                <w:noProof/>
                <w:sz w:val="20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53"/>
              <w:jc w:val="right"/>
              <w:rPr>
                <w:noProof/>
              </w:rPr>
            </w:pPr>
            <w:r>
              <w:rPr>
                <w:b/>
                <w:noProof/>
                <w:sz w:val="20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56"/>
              <w:jc w:val="right"/>
              <w:rPr>
                <w:noProof/>
              </w:rPr>
            </w:pPr>
            <w:r>
              <w:rPr>
                <w:b/>
                <w:noProof/>
                <w:sz w:val="20"/>
              </w:rPr>
              <w:t xml:space="preserve"> </w:t>
            </w:r>
          </w:p>
        </w:tc>
      </w:tr>
      <w:tr>
        <w:trPr>
          <w:trHeight w:val="782"/>
        </w:trPr>
        <w:tc>
          <w:tcPr>
            <w:tcW w:w="3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jc w:val="left"/>
              <w:rPr>
                <w:noProof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103"/>
              <w:jc w:val="left"/>
              <w:rPr>
                <w:noProof/>
              </w:rPr>
            </w:pPr>
            <w:r>
              <w:rPr>
                <w:noProof/>
                <w:sz w:val="18"/>
              </w:rPr>
              <w:t xml:space="preserve">Środki na płatności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5"/>
              <w:jc w:val="center"/>
              <w:rPr>
                <w:noProof/>
              </w:rPr>
            </w:pPr>
            <w:r>
              <w:rPr>
                <w:noProof/>
                <w:sz w:val="14"/>
              </w:rPr>
              <w:t xml:space="preserve">=5 + 6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53"/>
              <w:jc w:val="right"/>
              <w:rPr>
                <w:noProof/>
              </w:rPr>
            </w:pPr>
            <w:r>
              <w:rPr>
                <w:noProof/>
                <w:sz w:val="20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54"/>
              <w:jc w:val="right"/>
              <w:rPr>
                <w:noProof/>
              </w:rPr>
            </w:pPr>
            <w:r>
              <w:rPr>
                <w:noProof/>
                <w:sz w:val="20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53"/>
              <w:jc w:val="right"/>
              <w:rPr>
                <w:noProof/>
              </w:rPr>
            </w:pPr>
            <w:r>
              <w:rPr>
                <w:noProof/>
                <w:sz w:val="20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53"/>
              <w:jc w:val="right"/>
              <w:rPr>
                <w:noProof/>
              </w:rPr>
            </w:pPr>
            <w:r>
              <w:rPr>
                <w:noProof/>
                <w:sz w:val="20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53"/>
              <w:jc w:val="right"/>
              <w:rPr>
                <w:noProof/>
              </w:rPr>
            </w:pPr>
            <w:r>
              <w:rPr>
                <w:noProof/>
                <w:sz w:val="20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54"/>
              <w:jc w:val="right"/>
              <w:rPr>
                <w:noProof/>
              </w:rPr>
            </w:pPr>
            <w:r>
              <w:rPr>
                <w:noProof/>
                <w:sz w:val="20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53"/>
              <w:jc w:val="right"/>
              <w:rPr>
                <w:noProof/>
              </w:rPr>
            </w:pPr>
            <w:r>
              <w:rPr>
                <w:b/>
                <w:noProof/>
                <w:sz w:val="20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56"/>
              <w:jc w:val="right"/>
              <w:rPr>
                <w:noProof/>
              </w:rPr>
            </w:pPr>
            <w:r>
              <w:rPr>
                <w:b/>
                <w:noProof/>
                <w:sz w:val="20"/>
              </w:rPr>
              <w:t xml:space="preserve"> </w:t>
            </w:r>
          </w:p>
        </w:tc>
      </w:tr>
    </w:tbl>
    <w:p>
      <w:pPr>
        <w:rPr>
          <w:noProof/>
        </w:rPr>
      </w:pPr>
      <w:r>
        <w:rPr>
          <w:noProof/>
        </w:rPr>
        <w:t xml:space="preserve"> </w:t>
      </w:r>
      <w:r>
        <w:rPr>
          <w:noProof/>
        </w:rPr>
        <w:tab/>
        <w:t xml:space="preserve"> </w:t>
      </w:r>
      <w:r>
        <w:rPr>
          <w:noProof/>
        </w:rPr>
        <w:br w:type="page"/>
      </w:r>
    </w:p>
    <w:tbl>
      <w:tblPr>
        <w:tblStyle w:val="TableGrid0"/>
        <w:tblW w:w="13644" w:type="dxa"/>
        <w:tblInd w:w="180" w:type="dxa"/>
        <w:tblCellMar>
          <w:top w:w="7" w:type="dxa"/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4746"/>
        <w:gridCol w:w="1080"/>
        <w:gridCol w:w="7818"/>
      </w:tblGrid>
      <w:tr>
        <w:trPr>
          <w:trHeight w:val="639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285" w:right="177"/>
              <w:jc w:val="center"/>
              <w:rPr>
                <w:noProof/>
              </w:rPr>
            </w:pPr>
            <w:r>
              <w:rPr>
                <w:b/>
                <w:noProof/>
                <w:sz w:val="22"/>
              </w:rPr>
              <w:lastRenderedPageBreak/>
              <w:t>Dział wieloletnich ram</w:t>
            </w:r>
            <w:r>
              <w:rPr>
                <w:noProof/>
                <w:sz w:val="22"/>
              </w:rPr>
              <w:t xml:space="preserve"> </w:t>
            </w:r>
            <w:r>
              <w:rPr>
                <w:b/>
                <w:noProof/>
                <w:sz w:val="22"/>
              </w:rPr>
              <w:t>finansowych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103"/>
              <w:jc w:val="left"/>
              <w:rPr>
                <w:noProof/>
              </w:rPr>
            </w:pPr>
            <w:r>
              <w:rPr>
                <w:noProof/>
                <w:sz w:val="22"/>
              </w:rPr>
              <w:t>„Wydatki administracyjne”</w:t>
            </w:r>
            <w:r>
              <w:rPr>
                <w:noProof/>
              </w:rPr>
              <w:t xml:space="preserve"> </w:t>
            </w:r>
          </w:p>
        </w:tc>
      </w:tr>
    </w:tbl>
    <w:p>
      <w:pPr>
        <w:ind w:left="-5" w:right="2"/>
        <w:rPr>
          <w:noProof/>
        </w:rPr>
      </w:pPr>
      <w:r>
        <w:rPr>
          <w:noProof/>
        </w:rPr>
        <w:t xml:space="preserve">Niniejszą część uzupełnia się przy użyciu „danych budżetowych o charakterze administracyjnym”, które należy najpierw wprowadzić do </w:t>
      </w:r>
      <w:hyperlink r:id="rId18">
        <w:r>
          <w:rPr>
            <w:noProof/>
            <w:color w:val="0000FF"/>
            <w:u w:val="single" w:color="0000FF"/>
          </w:rPr>
          <w:t>Załącznika do</w:t>
        </w:r>
      </w:hyperlink>
      <w:hyperlink r:id="rId19">
        <w:r>
          <w:rPr>
            <w:noProof/>
            <w:color w:val="0000FF"/>
          </w:rPr>
          <w:t xml:space="preserve"> </w:t>
        </w:r>
      </w:hyperlink>
      <w:hyperlink r:id="rId20">
        <w:r>
          <w:rPr>
            <w:noProof/>
            <w:color w:val="0000FF"/>
            <w:u w:val="single" w:color="0000FF"/>
          </w:rPr>
          <w:t>oceny skutków finansowych regulacji</w:t>
        </w:r>
      </w:hyperlink>
      <w:hyperlink r:id="rId21">
        <w:r>
          <w:rPr>
            <w:noProof/>
          </w:rPr>
          <w:t xml:space="preserve"> </w:t>
        </w:r>
      </w:hyperlink>
      <w:r>
        <w:rPr>
          <w:noProof/>
        </w:rPr>
        <w:t>(załącznik V do zasad wewnętrznych), przesyłanego do DECIDE w celu konsultacji między służbami.</w:t>
      </w:r>
    </w:p>
    <w:p>
      <w:pPr>
        <w:ind w:left="10" w:right="-7"/>
        <w:jc w:val="right"/>
        <w:rPr>
          <w:noProof/>
        </w:rPr>
      </w:pPr>
      <w:r>
        <w:rPr>
          <w:noProof/>
          <w:sz w:val="20"/>
        </w:rPr>
        <w:t>w mln EUR (do trzech miejsc po przecinku)</w:t>
      </w:r>
    </w:p>
    <w:tbl>
      <w:tblPr>
        <w:tblStyle w:val="TableGrid0"/>
        <w:tblW w:w="14443" w:type="dxa"/>
        <w:tblInd w:w="-360" w:type="dxa"/>
        <w:tblCellMar>
          <w:top w:w="39" w:type="dxa"/>
          <w:right w:w="18" w:type="dxa"/>
        </w:tblCellMar>
        <w:tblLook w:val="04A0" w:firstRow="1" w:lastRow="0" w:firstColumn="1" w:lastColumn="0" w:noHBand="0" w:noVBand="1"/>
      </w:tblPr>
      <w:tblGrid>
        <w:gridCol w:w="3961"/>
        <w:gridCol w:w="2096"/>
        <w:gridCol w:w="866"/>
        <w:gridCol w:w="869"/>
        <w:gridCol w:w="869"/>
        <w:gridCol w:w="866"/>
        <w:gridCol w:w="869"/>
        <w:gridCol w:w="1364"/>
        <w:gridCol w:w="904"/>
        <w:gridCol w:w="1779"/>
      </w:tblGrid>
      <w:tr>
        <w:trPr>
          <w:trHeight w:val="872"/>
        </w:trPr>
        <w:tc>
          <w:tcPr>
            <w:tcW w:w="396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>
            <w:pPr>
              <w:ind w:left="78"/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ind w:left="108"/>
              <w:jc w:val="left"/>
              <w:rPr>
                <w:noProof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</w:rPr>
              <w:tab/>
            </w:r>
            <w:r>
              <w:rPr>
                <w:noProof/>
                <w:sz w:val="20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166" w:right="95"/>
              <w:jc w:val="center"/>
              <w:rPr>
                <w:noProof/>
              </w:rPr>
            </w:pPr>
            <w:r>
              <w:rPr>
                <w:noProof/>
                <w:sz w:val="20"/>
              </w:rPr>
              <w:t xml:space="preserve">Rok </w:t>
            </w:r>
            <w:r>
              <w:rPr>
                <w:b/>
                <w:noProof/>
                <w:sz w:val="20"/>
              </w:rPr>
              <w:t>N</w:t>
            </w:r>
            <w:r>
              <w:rPr>
                <w:noProof/>
                <w:sz w:val="20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62"/>
              <w:jc w:val="center"/>
              <w:rPr>
                <w:noProof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  <w:sz w:val="22"/>
              </w:rPr>
              <w:t xml:space="preserve"> </w:t>
            </w:r>
            <w:r>
              <w:rPr>
                <w:b/>
                <w:noProof/>
                <w:sz w:val="20"/>
              </w:rPr>
              <w:t>N+1</w:t>
            </w:r>
            <w:r>
              <w:rPr>
                <w:noProof/>
                <w:sz w:val="20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62"/>
              <w:jc w:val="center"/>
              <w:rPr>
                <w:noProof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  <w:sz w:val="22"/>
              </w:rPr>
              <w:t xml:space="preserve"> </w:t>
            </w:r>
            <w:r>
              <w:rPr>
                <w:b/>
                <w:noProof/>
                <w:sz w:val="20"/>
              </w:rPr>
              <w:t>N+2</w:t>
            </w:r>
            <w:r>
              <w:rPr>
                <w:noProof/>
                <w:sz w:val="20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59"/>
              <w:jc w:val="center"/>
              <w:rPr>
                <w:noProof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  <w:sz w:val="22"/>
              </w:rPr>
              <w:t xml:space="preserve"> </w:t>
            </w:r>
            <w:r>
              <w:rPr>
                <w:b/>
                <w:noProof/>
                <w:sz w:val="20"/>
              </w:rPr>
              <w:t>N+3</w:t>
            </w:r>
            <w:r>
              <w:rPr>
                <w:noProof/>
                <w:sz w:val="20"/>
              </w:rPr>
              <w:t xml:space="preserve"> </w:t>
            </w:r>
          </w:p>
        </w:tc>
        <w:tc>
          <w:tcPr>
            <w:tcW w:w="3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19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 xml:space="preserve">Wprowadzić taką liczbę kolumn dla poszczególnych lat, jaka jest niezbędna, by odzwierciedlić cały okres wpływu (por. pkt 1.6) </w:t>
            </w:r>
            <w:r>
              <w:rPr>
                <w:b/>
                <w:noProof/>
                <w:sz w:val="18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13"/>
              <w:jc w:val="center"/>
              <w:rPr>
                <w:noProof/>
              </w:rPr>
            </w:pPr>
            <w:r>
              <w:rPr>
                <w:b/>
                <w:noProof/>
                <w:sz w:val="20"/>
              </w:rPr>
              <w:t xml:space="preserve">OGÓŁEM </w:t>
            </w:r>
          </w:p>
        </w:tc>
      </w:tr>
      <w:tr>
        <w:trPr>
          <w:trHeight w:val="384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20"/>
              <w:jc w:val="center"/>
              <w:rPr>
                <w:noProof/>
              </w:rPr>
            </w:pPr>
            <w:r>
              <w:rPr>
                <w:noProof/>
                <w:sz w:val="22"/>
              </w:rPr>
              <w:t>Dyrekcja Generalna: &lt;….&gt;</w:t>
            </w:r>
            <w:r>
              <w:rPr>
                <w:noProof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jc w:val="left"/>
              <w:rPr>
                <w:noProof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jc w:val="left"/>
              <w:rPr>
                <w:noProof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jc w:val="left"/>
              <w:rPr>
                <w:noProof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jc w:val="left"/>
              <w:rPr>
                <w:noProof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jc w:val="left"/>
              <w:rPr>
                <w:noProof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jc w:val="left"/>
              <w:rPr>
                <w:noProof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jc w:val="left"/>
              <w:rPr>
                <w:noProof/>
              </w:rPr>
            </w:pPr>
          </w:p>
        </w:tc>
      </w:tr>
      <w:tr>
        <w:trPr>
          <w:trHeight w:val="324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108"/>
              <w:jc w:val="left"/>
              <w:rPr>
                <w:noProof/>
              </w:rPr>
            </w:pPr>
            <w:r>
              <w:rPr>
                <w:rFonts w:ascii="Wingdings" w:eastAsia="Wingdings" w:hAnsi="Wingdings" w:cs="Wingdings"/>
                <w:noProof/>
              </w:rPr>
              <w:t></w:t>
            </w:r>
            <w:r>
              <w:rPr>
                <w:noProof/>
                <w:sz w:val="22"/>
              </w:rPr>
              <w:t xml:space="preserve">Zasoby ludzkie </w:t>
            </w:r>
            <w:r>
              <w:rPr>
                <w:noProof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jc w:val="left"/>
              <w:rPr>
                <w:noProof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41"/>
              <w:jc w:val="right"/>
              <w:rPr>
                <w:noProof/>
              </w:rPr>
            </w:pPr>
            <w:r>
              <w:rPr>
                <w:noProof/>
                <w:sz w:val="20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41"/>
              <w:jc w:val="right"/>
              <w:rPr>
                <w:noProof/>
              </w:rPr>
            </w:pPr>
            <w:r>
              <w:rPr>
                <w:noProof/>
                <w:sz w:val="20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41"/>
              <w:jc w:val="right"/>
              <w:rPr>
                <w:noProof/>
              </w:rPr>
            </w:pPr>
            <w:r>
              <w:rPr>
                <w:noProof/>
                <w:sz w:val="20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41"/>
              <w:jc w:val="right"/>
              <w:rPr>
                <w:noProof/>
              </w:rPr>
            </w:pPr>
            <w:r>
              <w:rPr>
                <w:noProof/>
                <w:sz w:val="20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41"/>
              <w:jc w:val="right"/>
              <w:rPr>
                <w:noProof/>
              </w:rPr>
            </w:pPr>
            <w:r>
              <w:rPr>
                <w:noProof/>
                <w:sz w:val="20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41"/>
              <w:jc w:val="right"/>
              <w:rPr>
                <w:noProof/>
              </w:rPr>
            </w:pPr>
            <w:r>
              <w:rPr>
                <w:noProof/>
                <w:sz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41"/>
              <w:jc w:val="right"/>
              <w:rPr>
                <w:noProof/>
              </w:rPr>
            </w:pPr>
            <w:r>
              <w:rPr>
                <w:b/>
                <w:noProof/>
                <w:sz w:val="20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43"/>
              <w:jc w:val="right"/>
              <w:rPr>
                <w:noProof/>
              </w:rPr>
            </w:pPr>
            <w:r>
              <w:rPr>
                <w:b/>
                <w:noProof/>
                <w:sz w:val="20"/>
              </w:rPr>
              <w:t xml:space="preserve"> </w:t>
            </w:r>
          </w:p>
        </w:tc>
      </w:tr>
      <w:tr>
        <w:trPr>
          <w:trHeight w:val="360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108"/>
              <w:jc w:val="left"/>
              <w:rPr>
                <w:noProof/>
              </w:rPr>
            </w:pPr>
            <w:r>
              <w:rPr>
                <w:rFonts w:ascii="Wingdings" w:eastAsia="Wingdings" w:hAnsi="Wingdings" w:cs="Wingdings"/>
                <w:noProof/>
              </w:rPr>
              <w:t></w:t>
            </w:r>
            <w:r>
              <w:rPr>
                <w:noProof/>
                <w:sz w:val="22"/>
              </w:rPr>
              <w:t xml:space="preserve">Pozostałe wydatki administracyjne </w:t>
            </w:r>
            <w:r>
              <w:rPr>
                <w:noProof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jc w:val="left"/>
              <w:rPr>
                <w:noProof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41"/>
              <w:jc w:val="right"/>
              <w:rPr>
                <w:noProof/>
              </w:rPr>
            </w:pPr>
            <w:r>
              <w:rPr>
                <w:b/>
                <w:noProof/>
                <w:sz w:val="20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41"/>
              <w:jc w:val="right"/>
              <w:rPr>
                <w:noProof/>
              </w:rPr>
            </w:pPr>
            <w:r>
              <w:rPr>
                <w:b/>
                <w:noProof/>
                <w:sz w:val="20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41"/>
              <w:jc w:val="right"/>
              <w:rPr>
                <w:noProof/>
              </w:rPr>
            </w:pPr>
            <w:r>
              <w:rPr>
                <w:b/>
                <w:noProof/>
                <w:sz w:val="20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41"/>
              <w:jc w:val="right"/>
              <w:rPr>
                <w:noProof/>
              </w:rPr>
            </w:pPr>
            <w:r>
              <w:rPr>
                <w:b/>
                <w:noProof/>
                <w:sz w:val="20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41"/>
              <w:jc w:val="right"/>
              <w:rPr>
                <w:noProof/>
              </w:rPr>
            </w:pPr>
            <w:r>
              <w:rPr>
                <w:b/>
                <w:noProof/>
                <w:sz w:val="20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41"/>
              <w:jc w:val="right"/>
              <w:rPr>
                <w:noProof/>
              </w:rPr>
            </w:pPr>
            <w:r>
              <w:rPr>
                <w:b/>
                <w:noProof/>
                <w:sz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41"/>
              <w:jc w:val="right"/>
              <w:rPr>
                <w:noProof/>
              </w:rPr>
            </w:pPr>
            <w:r>
              <w:rPr>
                <w:b/>
                <w:noProof/>
                <w:sz w:val="20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43"/>
              <w:jc w:val="right"/>
              <w:rPr>
                <w:noProof/>
              </w:rPr>
            </w:pPr>
            <w:r>
              <w:rPr>
                <w:b/>
                <w:noProof/>
                <w:sz w:val="20"/>
              </w:rPr>
              <w:t xml:space="preserve"> </w:t>
            </w:r>
          </w:p>
        </w:tc>
      </w:tr>
      <w:tr>
        <w:trPr>
          <w:trHeight w:val="504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20"/>
              <w:jc w:val="center"/>
              <w:rPr>
                <w:noProof/>
              </w:rPr>
            </w:pPr>
            <w:r>
              <w:rPr>
                <w:b/>
                <w:noProof/>
                <w:sz w:val="22"/>
              </w:rPr>
              <w:t>OGÓŁEM Dyrekcja Generalna</w:t>
            </w:r>
            <w:r>
              <w:rPr>
                <w:noProof/>
              </w:rPr>
              <w:t xml:space="preserve"> </w:t>
            </w:r>
            <w:r>
              <w:rPr>
                <w:noProof/>
                <w:sz w:val="22"/>
              </w:rPr>
              <w:t>&lt;….&gt;</w:t>
            </w:r>
            <w:r>
              <w:rPr>
                <w:b/>
                <w:noProof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108"/>
              <w:jc w:val="left"/>
              <w:rPr>
                <w:noProof/>
              </w:rPr>
            </w:pPr>
            <w:r>
              <w:rPr>
                <w:noProof/>
                <w:sz w:val="18"/>
              </w:rPr>
              <w:t xml:space="preserve">Środki </w:t>
            </w:r>
            <w:r>
              <w:rPr>
                <w:noProof/>
                <w:sz w:val="14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41"/>
              <w:jc w:val="right"/>
              <w:rPr>
                <w:noProof/>
              </w:rPr>
            </w:pPr>
            <w:r>
              <w:rPr>
                <w:noProof/>
                <w:sz w:val="20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41"/>
              <w:jc w:val="right"/>
              <w:rPr>
                <w:noProof/>
              </w:rPr>
            </w:pPr>
            <w:r>
              <w:rPr>
                <w:noProof/>
                <w:sz w:val="20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41"/>
              <w:jc w:val="right"/>
              <w:rPr>
                <w:noProof/>
              </w:rPr>
            </w:pPr>
            <w:r>
              <w:rPr>
                <w:noProof/>
                <w:sz w:val="20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41"/>
              <w:jc w:val="right"/>
              <w:rPr>
                <w:noProof/>
              </w:rPr>
            </w:pPr>
            <w:r>
              <w:rPr>
                <w:noProof/>
                <w:sz w:val="20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41"/>
              <w:jc w:val="right"/>
              <w:rPr>
                <w:noProof/>
              </w:rPr>
            </w:pPr>
            <w:r>
              <w:rPr>
                <w:noProof/>
                <w:sz w:val="20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41"/>
              <w:jc w:val="right"/>
              <w:rPr>
                <w:noProof/>
              </w:rPr>
            </w:pPr>
            <w:r>
              <w:rPr>
                <w:noProof/>
                <w:sz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41"/>
              <w:jc w:val="right"/>
              <w:rPr>
                <w:noProof/>
              </w:rPr>
            </w:pPr>
            <w:r>
              <w:rPr>
                <w:b/>
                <w:noProof/>
                <w:sz w:val="20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43"/>
              <w:jc w:val="right"/>
              <w:rPr>
                <w:noProof/>
              </w:rPr>
            </w:pPr>
            <w:r>
              <w:rPr>
                <w:b/>
                <w:noProof/>
                <w:sz w:val="20"/>
              </w:rPr>
              <w:t xml:space="preserve"> </w:t>
            </w:r>
          </w:p>
        </w:tc>
      </w:tr>
    </w:tbl>
    <w:p>
      <w:pPr>
        <w:jc w:val="left"/>
        <w:rPr>
          <w:noProof/>
        </w:rPr>
      </w:pPr>
      <w:r>
        <w:rPr>
          <w:noProof/>
        </w:rPr>
        <w:t xml:space="preserve"> </w:t>
      </w:r>
    </w:p>
    <w:tbl>
      <w:tblPr>
        <w:tblStyle w:val="TableGrid0"/>
        <w:tblW w:w="13910" w:type="dxa"/>
        <w:tblInd w:w="-360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3962"/>
        <w:gridCol w:w="2096"/>
        <w:gridCol w:w="866"/>
        <w:gridCol w:w="869"/>
        <w:gridCol w:w="869"/>
        <w:gridCol w:w="866"/>
        <w:gridCol w:w="869"/>
        <w:gridCol w:w="869"/>
        <w:gridCol w:w="866"/>
        <w:gridCol w:w="1778"/>
      </w:tblGrid>
      <w:tr>
        <w:trPr>
          <w:trHeight w:val="1008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578" w:right="522"/>
              <w:jc w:val="center"/>
              <w:rPr>
                <w:noProof/>
              </w:rPr>
            </w:pPr>
            <w:r>
              <w:rPr>
                <w:b/>
                <w:noProof/>
                <w:sz w:val="22"/>
              </w:rPr>
              <w:t>OGÓŁEM środki</w:t>
            </w:r>
            <w:r>
              <w:rPr>
                <w:noProof/>
                <w:sz w:val="22"/>
              </w:rPr>
              <w:t xml:space="preserve"> </w:t>
            </w:r>
            <w:r>
              <w:rPr>
                <w:b/>
                <w:noProof/>
                <w:sz w:val="22"/>
              </w:rPr>
              <w:t>na DZIAŁ 5</w:t>
            </w:r>
            <w:r>
              <w:rPr>
                <w:noProof/>
                <w:sz w:val="22"/>
              </w:rPr>
              <w:t xml:space="preserve"> </w:t>
            </w:r>
          </w:p>
          <w:p>
            <w:pPr>
              <w:ind w:right="2"/>
              <w:jc w:val="center"/>
              <w:rPr>
                <w:noProof/>
              </w:rPr>
            </w:pPr>
            <w:r>
              <w:rPr>
                <w:noProof/>
                <w:sz w:val="22"/>
              </w:rPr>
              <w:t>wieloletnich ram finansowych</w:t>
            </w:r>
            <w:r>
              <w:rPr>
                <w:b/>
                <w:noProof/>
                <w:sz w:val="22"/>
              </w:rPr>
              <w:t xml:space="preserve"> </w:t>
            </w:r>
            <w:r>
              <w:rPr>
                <w:b/>
                <w:noProof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103"/>
              <w:jc w:val="left"/>
              <w:rPr>
                <w:noProof/>
              </w:rPr>
            </w:pPr>
            <w:r>
              <w:rPr>
                <w:noProof/>
                <w:sz w:val="18"/>
              </w:rPr>
              <w:t xml:space="preserve">(Środki na zobowiązania ogółem = </w:t>
            </w:r>
          </w:p>
          <w:p>
            <w:pPr>
              <w:ind w:left="103"/>
              <w:jc w:val="left"/>
              <w:rPr>
                <w:noProof/>
              </w:rPr>
            </w:pPr>
            <w:r>
              <w:rPr>
                <w:noProof/>
                <w:sz w:val="18"/>
              </w:rPr>
              <w:t>środki na płatności ogółem)</w:t>
            </w:r>
            <w:r>
              <w:rPr>
                <w:noProof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53"/>
              <w:jc w:val="right"/>
              <w:rPr>
                <w:noProof/>
              </w:rPr>
            </w:pPr>
            <w:r>
              <w:rPr>
                <w:noProof/>
                <w:sz w:val="20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54"/>
              <w:jc w:val="right"/>
              <w:rPr>
                <w:noProof/>
              </w:rPr>
            </w:pPr>
            <w:r>
              <w:rPr>
                <w:noProof/>
                <w:sz w:val="20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53"/>
              <w:jc w:val="right"/>
              <w:rPr>
                <w:noProof/>
              </w:rPr>
            </w:pPr>
            <w:r>
              <w:rPr>
                <w:noProof/>
                <w:sz w:val="20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53"/>
              <w:jc w:val="right"/>
              <w:rPr>
                <w:noProof/>
              </w:rPr>
            </w:pPr>
            <w:r>
              <w:rPr>
                <w:noProof/>
                <w:sz w:val="20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53"/>
              <w:jc w:val="right"/>
              <w:rPr>
                <w:noProof/>
              </w:rPr>
            </w:pPr>
            <w:r>
              <w:rPr>
                <w:noProof/>
                <w:sz w:val="20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54"/>
              <w:jc w:val="right"/>
              <w:rPr>
                <w:noProof/>
              </w:rPr>
            </w:pPr>
            <w:r>
              <w:rPr>
                <w:noProof/>
                <w:sz w:val="20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53"/>
              <w:jc w:val="right"/>
              <w:rPr>
                <w:noProof/>
              </w:rPr>
            </w:pPr>
            <w:r>
              <w:rPr>
                <w:b/>
                <w:noProof/>
                <w:sz w:val="20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56"/>
              <w:jc w:val="right"/>
              <w:rPr>
                <w:noProof/>
              </w:rPr>
            </w:pPr>
            <w:r>
              <w:rPr>
                <w:b/>
                <w:noProof/>
                <w:sz w:val="20"/>
              </w:rPr>
              <w:t xml:space="preserve"> </w:t>
            </w:r>
          </w:p>
        </w:tc>
      </w:tr>
    </w:tbl>
    <w:p>
      <w:pPr>
        <w:ind w:left="10" w:right="-7"/>
        <w:jc w:val="right"/>
        <w:rPr>
          <w:noProof/>
        </w:rPr>
      </w:pPr>
      <w:r>
        <w:rPr>
          <w:noProof/>
          <w:sz w:val="20"/>
        </w:rPr>
        <w:t xml:space="preserve">w mln EUR (do trzech miejsc po przecinku) </w:t>
      </w:r>
    </w:p>
    <w:tbl>
      <w:tblPr>
        <w:tblStyle w:val="TableGrid0"/>
        <w:tblW w:w="13909" w:type="dxa"/>
        <w:tblInd w:w="-359" w:type="dxa"/>
        <w:tblCellMar>
          <w:top w:w="117" w:type="dxa"/>
          <w:right w:w="18" w:type="dxa"/>
        </w:tblCellMar>
        <w:tblLook w:val="04A0" w:firstRow="1" w:lastRow="0" w:firstColumn="1" w:lastColumn="0" w:noHBand="0" w:noVBand="1"/>
      </w:tblPr>
      <w:tblGrid>
        <w:gridCol w:w="3960"/>
        <w:gridCol w:w="2097"/>
        <w:gridCol w:w="866"/>
        <w:gridCol w:w="869"/>
        <w:gridCol w:w="869"/>
        <w:gridCol w:w="866"/>
        <w:gridCol w:w="869"/>
        <w:gridCol w:w="869"/>
        <w:gridCol w:w="866"/>
        <w:gridCol w:w="1778"/>
      </w:tblGrid>
      <w:tr>
        <w:trPr>
          <w:trHeight w:val="872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>
            <w:pPr>
              <w:ind w:left="78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 xml:space="preserve">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ind w:left="109"/>
              <w:jc w:val="left"/>
              <w:rPr>
                <w:noProof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</w:rPr>
              <w:tab/>
            </w:r>
            <w:r>
              <w:rPr>
                <w:noProof/>
                <w:sz w:val="20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101" w:right="30"/>
              <w:jc w:val="center"/>
              <w:rPr>
                <w:noProof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  <w:sz w:val="22"/>
              </w:rPr>
              <w:t xml:space="preserve"> </w:t>
            </w:r>
            <w:r>
              <w:rPr>
                <w:b/>
                <w:noProof/>
                <w:sz w:val="20"/>
              </w:rPr>
              <w:t>N</w:t>
            </w:r>
            <w:r>
              <w:rPr>
                <w:b/>
                <w:noProof/>
                <w:sz w:val="13"/>
                <w:vertAlign w:val="superscript"/>
              </w:rPr>
              <w:footnoteReference w:id="8"/>
            </w:r>
            <w:r>
              <w:rPr>
                <w:noProof/>
                <w:sz w:val="20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62"/>
              <w:jc w:val="center"/>
              <w:rPr>
                <w:noProof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  <w:sz w:val="22"/>
              </w:rPr>
              <w:t xml:space="preserve"> </w:t>
            </w:r>
            <w:r>
              <w:rPr>
                <w:b/>
                <w:noProof/>
                <w:sz w:val="20"/>
              </w:rPr>
              <w:t>N+1</w:t>
            </w:r>
            <w:r>
              <w:rPr>
                <w:noProof/>
                <w:sz w:val="20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62"/>
              <w:jc w:val="center"/>
              <w:rPr>
                <w:noProof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  <w:sz w:val="22"/>
              </w:rPr>
              <w:t xml:space="preserve"> </w:t>
            </w:r>
            <w:r>
              <w:rPr>
                <w:b/>
                <w:noProof/>
                <w:sz w:val="20"/>
              </w:rPr>
              <w:t>N+2</w:t>
            </w:r>
            <w:r>
              <w:rPr>
                <w:noProof/>
                <w:sz w:val="20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59"/>
              <w:jc w:val="center"/>
              <w:rPr>
                <w:noProof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  <w:sz w:val="22"/>
              </w:rPr>
              <w:t xml:space="preserve"> </w:t>
            </w:r>
            <w:r>
              <w:rPr>
                <w:b/>
                <w:noProof/>
                <w:sz w:val="20"/>
              </w:rPr>
              <w:t>N+3</w:t>
            </w:r>
            <w:r>
              <w:rPr>
                <w:noProof/>
                <w:sz w:val="20"/>
              </w:rPr>
              <w:t xml:space="preserve"> </w:t>
            </w:r>
          </w:p>
        </w:tc>
        <w:tc>
          <w:tcPr>
            <w:tcW w:w="2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190" w:firstLine="288"/>
              <w:jc w:val="left"/>
              <w:rPr>
                <w:noProof/>
              </w:rPr>
            </w:pPr>
            <w:r>
              <w:rPr>
                <w:noProof/>
                <w:sz w:val="18"/>
              </w:rPr>
              <w:t>Wprowadzić taką liczbę kolumn dla poszczególnych lat, jaka jest niezbędna, by odzwierciedlić cały okres wpływu (por. pkt 1.6)</w:t>
            </w:r>
            <w:r>
              <w:rPr>
                <w:b/>
                <w:noProof/>
                <w:sz w:val="18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13"/>
              <w:jc w:val="center"/>
              <w:rPr>
                <w:noProof/>
              </w:rPr>
            </w:pPr>
            <w:r>
              <w:rPr>
                <w:b/>
                <w:noProof/>
                <w:sz w:val="20"/>
              </w:rPr>
              <w:t xml:space="preserve">OGÓŁEM </w:t>
            </w:r>
          </w:p>
        </w:tc>
      </w:tr>
      <w:tr>
        <w:trPr>
          <w:trHeight w:val="455"/>
        </w:trPr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>
            <w:pPr>
              <w:ind w:left="579" w:right="455"/>
              <w:jc w:val="center"/>
              <w:rPr>
                <w:noProof/>
              </w:rPr>
            </w:pPr>
            <w:r>
              <w:rPr>
                <w:b/>
                <w:noProof/>
                <w:sz w:val="22"/>
              </w:rPr>
              <w:t>OGÓŁEM środki na DZIAŁY 1–5</w:t>
            </w:r>
            <w:r>
              <w:rPr>
                <w:noProof/>
                <w:sz w:val="22"/>
              </w:rPr>
              <w:t xml:space="preserve"> </w:t>
            </w:r>
          </w:p>
          <w:p>
            <w:pPr>
              <w:ind w:left="16"/>
              <w:jc w:val="center"/>
              <w:rPr>
                <w:noProof/>
              </w:rPr>
            </w:pPr>
            <w:r>
              <w:rPr>
                <w:noProof/>
                <w:sz w:val="22"/>
              </w:rPr>
              <w:t>wieloletnich ram finansowych</w:t>
            </w:r>
            <w:r>
              <w:rPr>
                <w:b/>
                <w:noProof/>
                <w:sz w:val="22"/>
              </w:rPr>
              <w:t xml:space="preserve"> </w:t>
            </w:r>
            <w:r>
              <w:rPr>
                <w:b/>
                <w:noProof/>
              </w:rPr>
              <w:t xml:space="preserve">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109"/>
              <w:jc w:val="left"/>
              <w:rPr>
                <w:noProof/>
              </w:rPr>
            </w:pPr>
            <w:r>
              <w:rPr>
                <w:noProof/>
                <w:sz w:val="18"/>
              </w:rPr>
              <w:t>Środki na zobowiązania</w:t>
            </w:r>
            <w:r>
              <w:rPr>
                <w:noProof/>
                <w:sz w:val="14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41"/>
              <w:jc w:val="right"/>
              <w:rPr>
                <w:noProof/>
              </w:rPr>
            </w:pPr>
            <w:r>
              <w:rPr>
                <w:noProof/>
                <w:sz w:val="20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41"/>
              <w:jc w:val="right"/>
              <w:rPr>
                <w:noProof/>
              </w:rPr>
            </w:pPr>
            <w:r>
              <w:rPr>
                <w:noProof/>
                <w:sz w:val="20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41"/>
              <w:jc w:val="right"/>
              <w:rPr>
                <w:noProof/>
              </w:rPr>
            </w:pPr>
            <w:r>
              <w:rPr>
                <w:noProof/>
                <w:sz w:val="20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41"/>
              <w:jc w:val="right"/>
              <w:rPr>
                <w:noProof/>
              </w:rPr>
            </w:pPr>
            <w:r>
              <w:rPr>
                <w:noProof/>
                <w:sz w:val="20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41"/>
              <w:jc w:val="right"/>
              <w:rPr>
                <w:noProof/>
              </w:rPr>
            </w:pPr>
            <w:r>
              <w:rPr>
                <w:noProof/>
                <w:sz w:val="20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41"/>
              <w:jc w:val="right"/>
              <w:rPr>
                <w:noProof/>
              </w:rPr>
            </w:pPr>
            <w:r>
              <w:rPr>
                <w:noProof/>
                <w:sz w:val="20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41"/>
              <w:jc w:val="right"/>
              <w:rPr>
                <w:noProof/>
              </w:rPr>
            </w:pPr>
            <w:r>
              <w:rPr>
                <w:b/>
                <w:noProof/>
                <w:sz w:val="20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43"/>
              <w:jc w:val="right"/>
              <w:rPr>
                <w:noProof/>
              </w:rPr>
            </w:pPr>
            <w:r>
              <w:rPr>
                <w:b/>
                <w:noProof/>
                <w:sz w:val="20"/>
              </w:rPr>
              <w:t xml:space="preserve"> </w:t>
            </w:r>
          </w:p>
        </w:tc>
      </w:tr>
      <w:tr>
        <w:trPr>
          <w:trHeight w:val="5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jc w:val="left"/>
              <w:rPr>
                <w:noProof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109"/>
              <w:jc w:val="left"/>
              <w:rPr>
                <w:noProof/>
              </w:rPr>
            </w:pPr>
            <w:r>
              <w:rPr>
                <w:noProof/>
                <w:sz w:val="18"/>
              </w:rPr>
              <w:t>Płatności</w:t>
            </w:r>
            <w:r>
              <w:rPr>
                <w:noProof/>
                <w:sz w:val="14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41"/>
              <w:jc w:val="right"/>
              <w:rPr>
                <w:noProof/>
              </w:rPr>
            </w:pPr>
            <w:r>
              <w:rPr>
                <w:noProof/>
                <w:sz w:val="20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41"/>
              <w:jc w:val="right"/>
              <w:rPr>
                <w:noProof/>
              </w:rPr>
            </w:pPr>
            <w:r>
              <w:rPr>
                <w:noProof/>
                <w:sz w:val="20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41"/>
              <w:jc w:val="right"/>
              <w:rPr>
                <w:noProof/>
              </w:rPr>
            </w:pPr>
            <w:r>
              <w:rPr>
                <w:noProof/>
                <w:sz w:val="20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41"/>
              <w:jc w:val="right"/>
              <w:rPr>
                <w:noProof/>
              </w:rPr>
            </w:pPr>
            <w:r>
              <w:rPr>
                <w:noProof/>
                <w:sz w:val="20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41"/>
              <w:jc w:val="right"/>
              <w:rPr>
                <w:noProof/>
              </w:rPr>
            </w:pPr>
            <w:r>
              <w:rPr>
                <w:noProof/>
                <w:sz w:val="20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41"/>
              <w:jc w:val="right"/>
              <w:rPr>
                <w:noProof/>
              </w:rPr>
            </w:pPr>
            <w:r>
              <w:rPr>
                <w:noProof/>
                <w:sz w:val="20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41"/>
              <w:jc w:val="right"/>
              <w:rPr>
                <w:noProof/>
              </w:rPr>
            </w:pPr>
            <w:r>
              <w:rPr>
                <w:b/>
                <w:noProof/>
                <w:sz w:val="20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43"/>
              <w:jc w:val="right"/>
              <w:rPr>
                <w:noProof/>
              </w:rPr>
            </w:pPr>
            <w:r>
              <w:rPr>
                <w:b/>
                <w:noProof/>
                <w:sz w:val="20"/>
              </w:rPr>
              <w:t xml:space="preserve"> </w:t>
            </w:r>
          </w:p>
        </w:tc>
      </w:tr>
    </w:tbl>
    <w:p>
      <w:pPr>
        <w:pStyle w:val="ManualHeading3"/>
        <w:rPr>
          <w:noProof/>
        </w:rPr>
      </w:pPr>
      <w:r>
        <w:rPr>
          <w:noProof/>
        </w:rPr>
        <w:t>3.2.2</w:t>
      </w:r>
      <w:r>
        <w:rPr>
          <w:noProof/>
        </w:rPr>
        <w:tab/>
        <w:t>Przewidywany produkt finansowany ze środków operacyjnych</w:t>
      </w:r>
    </w:p>
    <w:p>
      <w:pPr>
        <w:ind w:left="10" w:right="-7"/>
        <w:jc w:val="right"/>
        <w:rPr>
          <w:noProof/>
        </w:rPr>
      </w:pPr>
      <w:r>
        <w:rPr>
          <w:noProof/>
          <w:sz w:val="20"/>
        </w:rPr>
        <w:t>Środki na zobowiązania w mln EUR (do trzech miejsc po przecinku)</w:t>
      </w:r>
    </w:p>
    <w:tbl>
      <w:tblPr>
        <w:tblStyle w:val="TableGrid0"/>
        <w:tblW w:w="13610" w:type="dxa"/>
        <w:tblInd w:w="199" w:type="dxa"/>
        <w:tblLayout w:type="fixed"/>
        <w:tblCellMar>
          <w:top w:w="69" w:type="dxa"/>
          <w:left w:w="115" w:type="dxa"/>
          <w:bottom w:w="40" w:type="dxa"/>
          <w:right w:w="62" w:type="dxa"/>
        </w:tblCellMar>
        <w:tblLook w:val="04A0" w:firstRow="1" w:lastRow="0" w:firstColumn="1" w:lastColumn="0" w:noHBand="0" w:noVBand="1"/>
      </w:tblPr>
      <w:tblGrid>
        <w:gridCol w:w="1419"/>
        <w:gridCol w:w="719"/>
        <w:gridCol w:w="755"/>
        <w:gridCol w:w="450"/>
        <w:gridCol w:w="721"/>
        <w:gridCol w:w="540"/>
        <w:gridCol w:w="720"/>
        <w:gridCol w:w="720"/>
        <w:gridCol w:w="720"/>
        <w:gridCol w:w="926"/>
        <w:gridCol w:w="695"/>
        <w:gridCol w:w="540"/>
        <w:gridCol w:w="648"/>
        <w:gridCol w:w="543"/>
        <w:gridCol w:w="612"/>
        <w:gridCol w:w="540"/>
        <w:gridCol w:w="720"/>
        <w:gridCol w:w="720"/>
        <w:gridCol w:w="902"/>
      </w:tblGrid>
      <w:tr>
        <w:trPr>
          <w:trHeight w:val="66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b/>
                <w:noProof/>
                <w:sz w:val="18"/>
              </w:rPr>
              <w:t>Określić cele i produkty</w:t>
            </w:r>
          </w:p>
          <w:p>
            <w:pPr>
              <w:ind w:right="27"/>
              <w:jc w:val="center"/>
              <w:rPr>
                <w:noProof/>
              </w:rPr>
            </w:pPr>
            <w:r>
              <w:rPr>
                <w:rFonts w:ascii="Wingdings" w:eastAsia="Wingdings" w:hAnsi="Wingdings" w:cs="Wingdings"/>
                <w:noProof/>
              </w:rPr>
              <w:t></w:t>
            </w: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21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18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269" w:right="240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Rok </w:t>
            </w:r>
            <w:r>
              <w:rPr>
                <w:b/>
                <w:noProof/>
                <w:sz w:val="18"/>
              </w:rPr>
              <w:t>N</w:t>
            </w: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192" w:right="163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Rok</w:t>
            </w:r>
            <w:r>
              <w:rPr>
                <w:noProof/>
                <w:sz w:val="22"/>
              </w:rPr>
              <w:t xml:space="preserve"> </w:t>
            </w:r>
            <w:r>
              <w:rPr>
                <w:b/>
                <w:noProof/>
                <w:sz w:val="18"/>
              </w:rPr>
              <w:t>N+1</w:t>
            </w: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283" w:right="252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Rok</w:t>
            </w:r>
            <w:r>
              <w:rPr>
                <w:noProof/>
                <w:sz w:val="22"/>
              </w:rPr>
              <w:t xml:space="preserve"> </w:t>
            </w:r>
            <w:r>
              <w:rPr>
                <w:b/>
                <w:noProof/>
                <w:sz w:val="18"/>
              </w:rPr>
              <w:t>N+2</w:t>
            </w: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372" w:right="343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Rok</w:t>
            </w:r>
            <w:r>
              <w:rPr>
                <w:noProof/>
                <w:sz w:val="22"/>
              </w:rPr>
              <w:t xml:space="preserve"> </w:t>
            </w:r>
            <w:r>
              <w:rPr>
                <w:b/>
                <w:noProof/>
                <w:sz w:val="18"/>
              </w:rPr>
              <w:t>N+3</w:t>
            </w: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3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Wprowadzić taką liczbę kolumn dla poszczególnych lat, jaka jest niezbędna, by odzwierciedlić cały okres wpływu (por. pkt 1.6) 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29"/>
              <w:jc w:val="center"/>
              <w:rPr>
                <w:noProof/>
              </w:rPr>
            </w:pPr>
            <w:r>
              <w:rPr>
                <w:b/>
                <w:noProof/>
                <w:sz w:val="18"/>
              </w:rPr>
              <w:t>OGÓŁEM</w:t>
            </w:r>
            <w:r>
              <w:rPr>
                <w:noProof/>
                <w:sz w:val="18"/>
              </w:rPr>
              <w:t xml:space="preserve"> </w:t>
            </w:r>
          </w:p>
        </w:tc>
      </w:tr>
      <w:tr>
        <w:trPr>
          <w:trHeight w:val="338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jc w:val="left"/>
              <w:rPr>
                <w:noProof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jc w:val="left"/>
              <w:rPr>
                <w:noProof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jc w:val="left"/>
              <w:rPr>
                <w:noProof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jc w:val="left"/>
              <w:rPr>
                <w:noProof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jc w:val="left"/>
              <w:rPr>
                <w:noProof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ind w:right="152"/>
              <w:jc w:val="center"/>
              <w:rPr>
                <w:noProof/>
              </w:rPr>
            </w:pPr>
            <w:r>
              <w:rPr>
                <w:b/>
                <w:noProof/>
                <w:sz w:val="18"/>
              </w:rPr>
              <w:t>PRODUKT</w:t>
            </w: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360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jc w:val="left"/>
              <w:rPr>
                <w:noProof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jc w:val="left"/>
              <w:rPr>
                <w:noProof/>
              </w:rPr>
            </w:pPr>
          </w:p>
        </w:tc>
      </w:tr>
      <w:tr>
        <w:trPr>
          <w:trHeight w:val="1142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jc w:val="left"/>
              <w:rPr>
                <w:noProof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jc w:val="left"/>
              <w:rPr>
                <w:noProof/>
              </w:rPr>
            </w:pPr>
            <w:r>
              <w:rPr>
                <w:noProof/>
                <w:sz w:val="18"/>
              </w:rPr>
              <w:t>Rodzaj</w:t>
            </w:r>
            <w:r>
              <w:rPr>
                <w:noProof/>
                <w:sz w:val="18"/>
                <w:vertAlign w:val="superscript"/>
              </w:rPr>
              <w:footnoteReference w:id="9"/>
            </w:r>
            <w:r>
              <w:rPr>
                <w:noProof/>
                <w:sz w:val="18"/>
              </w:rPr>
              <w:t xml:space="preserve"> </w:t>
            </w:r>
          </w:p>
          <w:p>
            <w:pPr>
              <w:ind w:right="8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8" w:right="17" w:hanging="2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Średni koszt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>
            <w:pPr>
              <w:ind w:left="89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Liczba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>
            <w:pPr>
              <w:ind w:right="54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Koszt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>
            <w:pPr>
              <w:ind w:left="111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Liczba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>
            <w:pPr>
              <w:ind w:right="5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Koszt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>
            <w:pPr>
              <w:ind w:left="20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Liczba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>
            <w:pPr>
              <w:ind w:right="5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Koszt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>
            <w:pPr>
              <w:ind w:left="291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Liczba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>
            <w:pPr>
              <w:ind w:right="7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Koszt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>
            <w:pPr>
              <w:ind w:left="111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Liczba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>
            <w:pPr>
              <w:ind w:right="5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Koszt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>
            <w:pPr>
              <w:ind w:left="56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Liczba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>
            <w:pPr>
              <w:ind w:right="54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Koszt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>
            <w:pPr>
              <w:ind w:left="111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Liczba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>
            <w:pPr>
              <w:ind w:right="53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Koszt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Liczba ogółem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>
            <w:pPr>
              <w:ind w:right="12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Koszt całkowity </w:t>
            </w:r>
          </w:p>
        </w:tc>
      </w:tr>
      <w:tr>
        <w:trPr>
          <w:trHeight w:val="337"/>
        </w:trPr>
        <w:tc>
          <w:tcPr>
            <w:tcW w:w="2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29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CEL SZCZEGÓŁOWY nr 1</w:t>
            </w:r>
            <w:r>
              <w:rPr>
                <w:noProof/>
                <w:sz w:val="18"/>
                <w:vertAlign w:val="superscript"/>
              </w:rPr>
              <w:footnoteReference w:id="10"/>
            </w:r>
            <w:r>
              <w:rPr>
                <w:noProof/>
                <w:sz w:val="18"/>
              </w:rPr>
              <w:t xml:space="preserve"> ...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18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ind w:left="21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ind w:left="18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ind w:left="21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ind w:left="21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ind w:left="21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ind w:right="7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ind w:right="5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ind w:left="18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ind w:left="21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ind w:left="21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ind w:left="20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ind w:left="18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ind w:left="21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ind w:left="21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ind w:left="16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</w:tr>
      <w:tr>
        <w:trPr>
          <w:trHeight w:val="37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27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lastRenderedPageBreak/>
              <w:t xml:space="preserve">- Produkt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21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8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8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21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8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21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21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21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7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5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8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21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21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20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8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21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21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6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</w:tr>
      <w:tr>
        <w:trPr>
          <w:trHeight w:val="37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27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- Produkt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21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8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8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21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8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21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21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21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7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5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8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21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21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20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8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21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21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6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</w:tr>
      <w:tr>
        <w:trPr>
          <w:trHeight w:val="37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27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- Produkt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21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8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8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21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8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21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21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21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7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5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8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21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21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20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8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21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21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6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</w:tr>
      <w:tr>
        <w:trPr>
          <w:trHeight w:val="466"/>
        </w:trPr>
        <w:tc>
          <w:tcPr>
            <w:tcW w:w="2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ind w:right="32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Cel szczegółowy nr 1 – suma cząstkowa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ind w:left="18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ind w:left="21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ind w:left="18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ind w:left="21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ind w:left="21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ind w:left="21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ind w:right="7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ind w:right="5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ind w:left="18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ind w:left="21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ind w:left="21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ind w:left="20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ind w:left="18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ind w:left="21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ind w:left="21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ind w:left="16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</w:tr>
      <w:tr>
        <w:trPr>
          <w:trHeight w:val="348"/>
        </w:trPr>
        <w:tc>
          <w:tcPr>
            <w:tcW w:w="289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29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CEL SZCZEGÓŁOWY nr 2 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18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7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ind w:left="21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ind w:left="18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ind w:left="21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ind w:left="21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ind w:left="21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926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ind w:right="7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695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ind w:right="5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ind w:left="18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ind w:left="21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54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ind w:left="21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612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ind w:left="20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ind w:left="18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ind w:left="21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ind w:left="21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902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ind w:left="16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</w:tr>
      <w:tr>
        <w:trPr>
          <w:trHeight w:val="37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27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- Produkt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21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8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8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21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8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21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21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21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7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5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8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21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21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20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8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21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21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6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</w:tr>
      <w:tr>
        <w:trPr>
          <w:trHeight w:val="466"/>
        </w:trPr>
        <w:tc>
          <w:tcPr>
            <w:tcW w:w="2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ind w:left="22"/>
              <w:jc w:val="left"/>
              <w:rPr>
                <w:noProof/>
              </w:rPr>
            </w:pPr>
            <w:r>
              <w:rPr>
                <w:noProof/>
                <w:sz w:val="18"/>
              </w:rPr>
              <w:t xml:space="preserve">Cel szczegółowy nr 2 – suma cząstkowa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ind w:left="18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ind w:left="21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ind w:left="18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ind w:left="21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ind w:left="21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ind w:left="21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ind w:left="46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ind w:left="48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ind w:left="18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ind w:left="21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ind w:left="21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ind w:left="20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ind w:left="18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ind w:left="21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ind w:left="21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ind w:left="16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</w:tr>
      <w:tr>
        <w:trPr>
          <w:trHeight w:val="598"/>
        </w:trPr>
        <w:tc>
          <w:tcPr>
            <w:tcW w:w="28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ind w:right="31"/>
              <w:jc w:val="center"/>
              <w:rPr>
                <w:noProof/>
              </w:rPr>
            </w:pPr>
            <w:r>
              <w:rPr>
                <w:b/>
                <w:noProof/>
                <w:sz w:val="18"/>
              </w:rPr>
              <w:t>OGÓŁEM</w:t>
            </w: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ind w:left="18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ind w:left="21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ind w:left="18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ind w:left="21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ind w:left="21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ind w:left="21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9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ind w:right="7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ind w:right="5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ind w:left="18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ind w:left="21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5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ind w:left="21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6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ind w:left="20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ind w:left="18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ind w:left="21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ind w:left="21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9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ind w:left="16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</w:tr>
    </w:tbl>
    <w:p>
      <w:pPr>
        <w:rPr>
          <w:noProof/>
        </w:rPr>
        <w:sectPr>
          <w:headerReference w:type="default" r:id="rId22"/>
          <w:footerReference w:type="default" r:id="rId23"/>
          <w:headerReference w:type="first" r:id="rId24"/>
          <w:footerReference w:type="first" r:id="rId25"/>
          <w:pgSz w:w="16841" w:h="11906" w:orient="landscape"/>
          <w:pgMar w:top="1138" w:right="1416" w:bottom="1622" w:left="1418" w:header="720" w:footer="708" w:gutter="0"/>
          <w:cols w:space="720"/>
          <w:docGrid w:linePitch="326"/>
        </w:sectPr>
      </w:pPr>
    </w:p>
    <w:p>
      <w:pPr>
        <w:pStyle w:val="ManualHeading3"/>
        <w:rPr>
          <w:noProof/>
        </w:rPr>
      </w:pPr>
      <w:r>
        <w:rPr>
          <w:noProof/>
        </w:rPr>
        <w:lastRenderedPageBreak/>
        <w:t>3.2.3</w:t>
      </w:r>
      <w:r>
        <w:rPr>
          <w:noProof/>
        </w:rPr>
        <w:tab/>
        <w:t>Synteza szacunkowego wpływu na środki administracyjne</w:t>
      </w:r>
    </w:p>
    <w:p>
      <w:pPr>
        <w:pStyle w:val="ListDash1"/>
        <w:rPr>
          <w:noProof/>
        </w:rPr>
      </w:pPr>
      <w:r>
        <w:rPr>
          <w:rFonts w:ascii="Wingdings" w:eastAsia="Wingdings" w:hAnsi="Wingdings" w:cs="Wingdings"/>
          <w:noProof/>
        </w:rPr>
        <w:t></w:t>
      </w:r>
      <w:r>
        <w:rPr>
          <w:noProof/>
        </w:rPr>
        <w:t xml:space="preserve"> Wniosek/inicjatywa nie wiąże się z koniecznością wykorzystania środków administracyjnych</w:t>
      </w:r>
    </w:p>
    <w:p>
      <w:pPr>
        <w:pStyle w:val="ListDash1"/>
        <w:rPr>
          <w:noProof/>
        </w:rPr>
      </w:pPr>
      <w:r>
        <w:rPr>
          <w:rFonts w:ascii="Wingdings" w:eastAsia="Wingdings" w:hAnsi="Wingdings" w:cs="Wingdings"/>
          <w:noProof/>
        </w:rPr>
        <w:t></w:t>
      </w:r>
      <w:r>
        <w:rPr>
          <w:noProof/>
        </w:rPr>
        <w:t xml:space="preserve"> Wniosek/inicjatywa wiąże się z koniecznością wykorzystania środków administracyjnych, jak określono poniżej:</w:t>
      </w:r>
    </w:p>
    <w:p>
      <w:pPr>
        <w:ind w:left="10" w:right="-7"/>
        <w:jc w:val="right"/>
        <w:rPr>
          <w:noProof/>
        </w:rPr>
      </w:pPr>
      <w:r>
        <w:rPr>
          <w:noProof/>
          <w:sz w:val="20"/>
        </w:rPr>
        <w:t>w mln EUR (do trzech miejsc po przecinku)</w:t>
      </w:r>
    </w:p>
    <w:tbl>
      <w:tblPr>
        <w:tblStyle w:val="TableGrid0"/>
        <w:tblW w:w="10622" w:type="dxa"/>
        <w:tblInd w:w="-720" w:type="dxa"/>
        <w:tblCellMar>
          <w:top w:w="8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  <w:gridCol w:w="1081"/>
        <w:gridCol w:w="1080"/>
        <w:gridCol w:w="1080"/>
        <w:gridCol w:w="1080"/>
        <w:gridCol w:w="3241"/>
        <w:gridCol w:w="1080"/>
      </w:tblGrid>
      <w:tr>
        <w:trPr>
          <w:trHeight w:val="646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ind w:left="5"/>
              <w:jc w:val="center"/>
              <w:rPr>
                <w:noProof/>
              </w:rPr>
            </w:pPr>
            <w:r>
              <w:rPr>
                <w:noProof/>
                <w:sz w:val="16"/>
              </w:rPr>
              <w:t>Rok</w:t>
            </w:r>
            <w:r>
              <w:rPr>
                <w:noProof/>
                <w:sz w:val="22"/>
              </w:rPr>
              <w:t xml:space="preserve"> </w:t>
            </w:r>
          </w:p>
          <w:p>
            <w:pPr>
              <w:ind w:left="4"/>
              <w:jc w:val="center"/>
              <w:rPr>
                <w:noProof/>
              </w:rPr>
            </w:pPr>
            <w:r>
              <w:rPr>
                <w:b/>
                <w:noProof/>
                <w:sz w:val="16"/>
              </w:rPr>
              <w:t xml:space="preserve">N </w:t>
            </w:r>
            <w:r>
              <w:rPr>
                <w:rStyle w:val="FootnoteReference"/>
                <w:b/>
                <w:noProof/>
                <w:sz w:val="16"/>
              </w:rPr>
              <w:footnoteReference w:id="11"/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ind w:left="132" w:right="70"/>
              <w:jc w:val="center"/>
              <w:rPr>
                <w:noProof/>
              </w:rPr>
            </w:pPr>
            <w:r>
              <w:rPr>
                <w:noProof/>
                <w:sz w:val="16"/>
              </w:rPr>
              <w:t>Rok</w:t>
            </w:r>
            <w:r>
              <w:rPr>
                <w:noProof/>
                <w:sz w:val="22"/>
              </w:rPr>
              <w:t xml:space="preserve"> </w:t>
            </w:r>
            <w:r>
              <w:rPr>
                <w:b/>
                <w:noProof/>
                <w:sz w:val="16"/>
              </w:rPr>
              <w:t>N+1</w:t>
            </w: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ind w:left="132" w:right="70"/>
              <w:jc w:val="center"/>
              <w:rPr>
                <w:noProof/>
              </w:rPr>
            </w:pPr>
            <w:r>
              <w:rPr>
                <w:noProof/>
                <w:sz w:val="16"/>
              </w:rPr>
              <w:t>Rok</w:t>
            </w:r>
            <w:r>
              <w:rPr>
                <w:noProof/>
                <w:sz w:val="22"/>
              </w:rPr>
              <w:t xml:space="preserve"> </w:t>
            </w:r>
            <w:r>
              <w:rPr>
                <w:b/>
                <w:noProof/>
                <w:sz w:val="16"/>
              </w:rPr>
              <w:t>N+2</w:t>
            </w: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ind w:left="133" w:right="70"/>
              <w:jc w:val="center"/>
              <w:rPr>
                <w:noProof/>
              </w:rPr>
            </w:pPr>
            <w:r>
              <w:rPr>
                <w:noProof/>
                <w:sz w:val="16"/>
              </w:rPr>
              <w:t>Rok</w:t>
            </w:r>
            <w:r>
              <w:rPr>
                <w:noProof/>
                <w:sz w:val="22"/>
              </w:rPr>
              <w:t xml:space="preserve"> </w:t>
            </w:r>
            <w:r>
              <w:rPr>
                <w:b/>
                <w:noProof/>
                <w:sz w:val="16"/>
              </w:rPr>
              <w:t>N+3</w:t>
            </w: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6"/>
              </w:rPr>
              <w:t>Wprowadzić taką liczbę kolumn dla poszczególnych lat, jaka jest niezbędna, by odzwierciedlić cały okres wpływu (por. pkt 1.6)</w:t>
            </w:r>
            <w:r>
              <w:rPr>
                <w:b/>
                <w:noProof/>
                <w:sz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ind w:left="6"/>
              <w:jc w:val="center"/>
              <w:rPr>
                <w:noProof/>
              </w:rPr>
            </w:pPr>
            <w:r>
              <w:rPr>
                <w:b/>
                <w:noProof/>
                <w:sz w:val="16"/>
              </w:rPr>
              <w:t xml:space="preserve">OGÓŁEM </w:t>
            </w:r>
          </w:p>
        </w:tc>
      </w:tr>
    </w:tbl>
    <w:p>
      <w:pPr>
        <w:jc w:val="left"/>
        <w:rPr>
          <w:noProof/>
        </w:rPr>
      </w:pPr>
      <w:r>
        <w:rPr>
          <w:noProof/>
          <w:sz w:val="16"/>
        </w:rPr>
        <w:t xml:space="preserve"> </w:t>
      </w:r>
    </w:p>
    <w:tbl>
      <w:tblPr>
        <w:tblStyle w:val="TableGrid0"/>
        <w:tblW w:w="10622" w:type="dxa"/>
        <w:tblInd w:w="-720" w:type="dxa"/>
        <w:tblCellMar>
          <w:top w:w="77" w:type="dxa"/>
          <w:left w:w="179" w:type="dxa"/>
          <w:right w:w="68" w:type="dxa"/>
        </w:tblCellMar>
        <w:tblLook w:val="04A0" w:firstRow="1" w:lastRow="0" w:firstColumn="1" w:lastColumn="0" w:noHBand="0" w:noVBand="1"/>
      </w:tblPr>
      <w:tblGrid>
        <w:gridCol w:w="1980"/>
        <w:gridCol w:w="1081"/>
        <w:gridCol w:w="1080"/>
        <w:gridCol w:w="1080"/>
        <w:gridCol w:w="1080"/>
        <w:gridCol w:w="1080"/>
        <w:gridCol w:w="1081"/>
        <w:gridCol w:w="1080"/>
        <w:gridCol w:w="1080"/>
      </w:tblGrid>
      <w:tr>
        <w:trPr>
          <w:trHeight w:val="725"/>
        </w:trPr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>
            <w:pPr>
              <w:ind w:right="110"/>
              <w:jc w:val="center"/>
              <w:rPr>
                <w:noProof/>
              </w:rPr>
            </w:pPr>
            <w:r>
              <w:rPr>
                <w:b/>
                <w:noProof/>
                <w:sz w:val="16"/>
              </w:rPr>
              <w:t>DZIAŁ 5</w:t>
            </w:r>
            <w:r>
              <w:rPr>
                <w:noProof/>
                <w:sz w:val="22"/>
              </w:rPr>
              <w:t xml:space="preserve"> </w:t>
            </w:r>
          </w:p>
          <w:p>
            <w:pPr>
              <w:jc w:val="center"/>
              <w:rPr>
                <w:noProof/>
              </w:rPr>
            </w:pPr>
            <w:r>
              <w:rPr>
                <w:b/>
                <w:noProof/>
                <w:sz w:val="16"/>
              </w:rPr>
              <w:t xml:space="preserve">wieloletnich ram finansowych 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b/>
                <w:noProof/>
                <w:sz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b/>
                <w:noProof/>
                <w:sz w:val="16"/>
              </w:rPr>
              <w:t xml:space="preserve"> </w:t>
            </w:r>
          </w:p>
        </w:tc>
      </w:tr>
      <w:tr>
        <w:trPr>
          <w:trHeight w:val="589"/>
        </w:trPr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jc w:val="left"/>
              <w:rPr>
                <w:noProof/>
              </w:rPr>
            </w:pPr>
            <w:r>
              <w:rPr>
                <w:noProof/>
                <w:sz w:val="16"/>
              </w:rPr>
              <w:t xml:space="preserve">Zasoby ludzkie  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b/>
                <w:noProof/>
                <w:sz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b/>
                <w:noProof/>
                <w:sz w:val="16"/>
              </w:rPr>
              <w:t xml:space="preserve"> </w:t>
            </w:r>
          </w:p>
        </w:tc>
      </w:tr>
      <w:tr>
        <w:trPr>
          <w:trHeight w:val="591"/>
        </w:trPr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jc w:val="left"/>
              <w:rPr>
                <w:noProof/>
              </w:rPr>
            </w:pPr>
            <w:r>
              <w:rPr>
                <w:noProof/>
                <w:sz w:val="16"/>
              </w:rPr>
              <w:t xml:space="preserve">Pozostałe wydatki administracyjne  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b/>
                <w:noProof/>
                <w:sz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b/>
                <w:noProof/>
                <w:sz w:val="16"/>
              </w:rPr>
              <w:t xml:space="preserve"> </w:t>
            </w:r>
          </w:p>
        </w:tc>
      </w:tr>
      <w:tr>
        <w:trPr>
          <w:trHeight w:val="724"/>
        </w:trPr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>
            <w:pPr>
              <w:ind w:right="49"/>
              <w:jc w:val="center"/>
              <w:rPr>
                <w:noProof/>
              </w:rPr>
            </w:pPr>
            <w:r>
              <w:rPr>
                <w:b/>
                <w:noProof/>
                <w:sz w:val="16"/>
              </w:rPr>
              <w:t>DZIAŁ 5 wieloletnich ram finansowych</w:t>
            </w:r>
            <w:r>
              <w:rPr>
                <w:noProof/>
              </w:rPr>
              <w:t xml:space="preserve"> – </w:t>
            </w:r>
            <w:r>
              <w:rPr>
                <w:b/>
                <w:noProof/>
                <w:sz w:val="16"/>
              </w:rPr>
              <w:t xml:space="preserve">suma cząstkowa  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b/>
                <w:noProof/>
                <w:sz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b/>
                <w:noProof/>
                <w:sz w:val="16"/>
              </w:rPr>
              <w:t xml:space="preserve"> </w:t>
            </w:r>
          </w:p>
        </w:tc>
      </w:tr>
    </w:tbl>
    <w:p>
      <w:pPr>
        <w:jc w:val="left"/>
        <w:rPr>
          <w:noProof/>
        </w:rPr>
      </w:pPr>
      <w:r>
        <w:rPr>
          <w:noProof/>
          <w:sz w:val="16"/>
        </w:rPr>
        <w:t xml:space="preserve"> </w:t>
      </w:r>
    </w:p>
    <w:tbl>
      <w:tblPr>
        <w:tblStyle w:val="TableGrid0"/>
        <w:tblW w:w="10622" w:type="dxa"/>
        <w:tblInd w:w="-720" w:type="dxa"/>
        <w:tblCellMar>
          <w:top w:w="75" w:type="dxa"/>
          <w:left w:w="179" w:type="dxa"/>
          <w:right w:w="68" w:type="dxa"/>
        </w:tblCellMar>
        <w:tblLook w:val="04A0" w:firstRow="1" w:lastRow="0" w:firstColumn="1" w:lastColumn="0" w:noHBand="0" w:noVBand="1"/>
      </w:tblPr>
      <w:tblGrid>
        <w:gridCol w:w="1980"/>
        <w:gridCol w:w="1081"/>
        <w:gridCol w:w="1080"/>
        <w:gridCol w:w="1080"/>
        <w:gridCol w:w="1080"/>
        <w:gridCol w:w="1080"/>
        <w:gridCol w:w="1081"/>
        <w:gridCol w:w="1080"/>
        <w:gridCol w:w="1080"/>
      </w:tblGrid>
      <w:tr>
        <w:trPr>
          <w:trHeight w:val="923"/>
        </w:trPr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>
            <w:pPr>
              <w:ind w:right="20"/>
              <w:jc w:val="center"/>
              <w:rPr>
                <w:noProof/>
              </w:rPr>
            </w:pPr>
            <w:r>
              <w:rPr>
                <w:b/>
                <w:noProof/>
                <w:sz w:val="16"/>
              </w:rPr>
              <w:t>Poza DZIAŁEM 5</w:t>
            </w:r>
            <w:r>
              <w:rPr>
                <w:rStyle w:val="FootnoteReference"/>
                <w:b/>
                <w:noProof/>
                <w:sz w:val="16"/>
              </w:rPr>
              <w:footnoteReference w:id="12"/>
            </w:r>
            <w:r>
              <w:rPr>
                <w:noProof/>
                <w:sz w:val="22"/>
              </w:rPr>
              <w:t xml:space="preserve"> </w:t>
            </w:r>
            <w:r>
              <w:rPr>
                <w:b/>
                <w:noProof/>
                <w:sz w:val="16"/>
              </w:rPr>
              <w:t xml:space="preserve">wieloletnich </w:t>
            </w:r>
          </w:p>
          <w:p>
            <w:pPr>
              <w:ind w:right="110"/>
              <w:jc w:val="center"/>
              <w:rPr>
                <w:noProof/>
              </w:rPr>
            </w:pPr>
            <w:r>
              <w:rPr>
                <w:b/>
                <w:noProof/>
                <w:sz w:val="16"/>
              </w:rPr>
              <w:t xml:space="preserve">ram finansowych </w:t>
            </w:r>
          </w:p>
          <w:p>
            <w:pPr>
              <w:ind w:right="73"/>
              <w:jc w:val="center"/>
              <w:rPr>
                <w:noProof/>
              </w:rPr>
            </w:pPr>
            <w:r>
              <w:rPr>
                <w:b/>
                <w:noProof/>
                <w:sz w:val="16"/>
              </w:rPr>
              <w:t xml:space="preserve"> 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b/>
                <w:noProof/>
                <w:sz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b/>
                <w:noProof/>
                <w:sz w:val="16"/>
              </w:rPr>
              <w:t xml:space="preserve"> </w:t>
            </w:r>
          </w:p>
        </w:tc>
      </w:tr>
      <w:tr>
        <w:trPr>
          <w:trHeight w:val="591"/>
        </w:trPr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jc w:val="left"/>
              <w:rPr>
                <w:noProof/>
              </w:rPr>
            </w:pPr>
            <w:r>
              <w:rPr>
                <w:noProof/>
                <w:sz w:val="16"/>
              </w:rPr>
              <w:t xml:space="preserve">Zasoby ludzkie  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b/>
                <w:noProof/>
                <w:sz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b/>
                <w:noProof/>
                <w:sz w:val="16"/>
              </w:rPr>
              <w:t xml:space="preserve"> </w:t>
            </w:r>
          </w:p>
        </w:tc>
      </w:tr>
      <w:tr>
        <w:trPr>
          <w:trHeight w:val="725"/>
        </w:trPr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ind w:right="344"/>
              <w:jc w:val="left"/>
              <w:rPr>
                <w:noProof/>
              </w:rPr>
            </w:pPr>
            <w:r>
              <w:rPr>
                <w:noProof/>
                <w:sz w:val="16"/>
              </w:rPr>
              <w:t>Pozostałe wydatki</w:t>
            </w:r>
            <w:r>
              <w:rPr>
                <w:noProof/>
              </w:rPr>
              <w:t xml:space="preserve"> </w:t>
            </w:r>
            <w:r>
              <w:rPr>
                <w:noProof/>
                <w:sz w:val="16"/>
              </w:rPr>
              <w:t xml:space="preserve">administracyjne 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b/>
                <w:noProof/>
                <w:sz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b/>
                <w:noProof/>
                <w:sz w:val="16"/>
              </w:rPr>
              <w:t xml:space="preserve"> </w:t>
            </w:r>
          </w:p>
        </w:tc>
      </w:tr>
      <w:tr>
        <w:trPr>
          <w:trHeight w:val="924"/>
        </w:trPr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>
            <w:pPr>
              <w:ind w:left="103" w:right="215" w:firstLine="94"/>
              <w:jc w:val="center"/>
              <w:rPr>
                <w:noProof/>
              </w:rPr>
            </w:pPr>
            <w:r>
              <w:rPr>
                <w:b/>
                <w:noProof/>
                <w:sz w:val="16"/>
              </w:rPr>
              <w:t>Suma cząstkowa</w:t>
            </w:r>
            <w:r>
              <w:rPr>
                <w:noProof/>
              </w:rPr>
              <w:t xml:space="preserve"> </w:t>
            </w:r>
            <w:r>
              <w:rPr>
                <w:b/>
                <w:noProof/>
                <w:sz w:val="16"/>
              </w:rPr>
              <w:t>poza DZIAŁEM 5</w:t>
            </w:r>
            <w:r>
              <w:rPr>
                <w:noProof/>
              </w:rPr>
              <w:t xml:space="preserve"> </w:t>
            </w:r>
            <w:r>
              <w:rPr>
                <w:b/>
                <w:noProof/>
                <w:sz w:val="16"/>
              </w:rPr>
              <w:t xml:space="preserve">wieloletnich ram finansowych  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b/>
                <w:noProof/>
                <w:sz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b/>
                <w:noProof/>
                <w:sz w:val="16"/>
              </w:rPr>
              <w:t xml:space="preserve"> </w:t>
            </w:r>
          </w:p>
        </w:tc>
      </w:tr>
    </w:tbl>
    <w:p>
      <w:pPr>
        <w:jc w:val="left"/>
        <w:rPr>
          <w:noProof/>
        </w:rPr>
      </w:pPr>
      <w:r>
        <w:rPr>
          <w:noProof/>
          <w:sz w:val="16"/>
        </w:rPr>
        <w:t xml:space="preserve"> </w:t>
      </w:r>
    </w:p>
    <w:tbl>
      <w:tblPr>
        <w:tblStyle w:val="TableGrid0"/>
        <w:tblW w:w="10622" w:type="dxa"/>
        <w:tblInd w:w="-720" w:type="dxa"/>
        <w:tblCellMar>
          <w:left w:w="115" w:type="dxa"/>
          <w:right w:w="68" w:type="dxa"/>
        </w:tblCellMar>
        <w:tblLook w:val="04A0" w:firstRow="1" w:lastRow="0" w:firstColumn="1" w:lastColumn="0" w:noHBand="0" w:noVBand="1"/>
      </w:tblPr>
      <w:tblGrid>
        <w:gridCol w:w="1980"/>
        <w:gridCol w:w="1081"/>
        <w:gridCol w:w="1080"/>
        <w:gridCol w:w="1080"/>
        <w:gridCol w:w="1080"/>
        <w:gridCol w:w="1080"/>
        <w:gridCol w:w="1081"/>
        <w:gridCol w:w="1080"/>
        <w:gridCol w:w="1080"/>
      </w:tblGrid>
      <w:tr>
        <w:trPr>
          <w:trHeight w:val="614"/>
        </w:trPr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>
            <w:pPr>
              <w:ind w:right="45"/>
              <w:jc w:val="center"/>
              <w:rPr>
                <w:noProof/>
              </w:rPr>
            </w:pPr>
            <w:r>
              <w:rPr>
                <w:b/>
                <w:noProof/>
                <w:sz w:val="16"/>
              </w:rPr>
              <w:lastRenderedPageBreak/>
              <w:t>OGÓŁEM</w:t>
            </w: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10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b/>
                <w:noProof/>
                <w:sz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b/>
                <w:noProof/>
                <w:sz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b/>
                <w:noProof/>
                <w:sz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b/>
                <w:noProof/>
                <w:sz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b/>
                <w:noProof/>
                <w:sz w:val="16"/>
              </w:rPr>
              <w:t xml:space="preserve"> </w:t>
            </w:r>
          </w:p>
        </w:tc>
        <w:tc>
          <w:tcPr>
            <w:tcW w:w="10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b/>
                <w:noProof/>
                <w:sz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b/>
                <w:noProof/>
                <w:sz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b/>
                <w:noProof/>
                <w:sz w:val="16"/>
              </w:rPr>
              <w:t xml:space="preserve"> </w:t>
            </w:r>
          </w:p>
        </w:tc>
      </w:tr>
    </w:tbl>
    <w:p>
      <w:pPr>
        <w:ind w:left="-5"/>
        <w:rPr>
          <w:noProof/>
        </w:rPr>
      </w:pPr>
      <w:r>
        <w:rPr>
          <w:noProof/>
          <w:sz w:val="18"/>
        </w:rPr>
        <w:t>Potrzeby w zakresie środków na zasoby ludzkie i inne wydatki o charakterze administracyjnym zostaną pokryte z zasobów DG już przydzielonych na zarządzanie tym działaniem lub przesuniętych w ramach dyrekcji generalnej, uzupełnionych w razie potrzeby wszelkimi dodatkowymi zasobami, które mogą zostać przydzielone zarządzającej dyrekcji generalnej w ramach procedury rocznego przydziału środków oraz w świetle istniejących ograniczeń budżetowych.</w:t>
      </w:r>
    </w:p>
    <w:p>
      <w:pPr>
        <w:jc w:val="left"/>
        <w:rPr>
          <w:noProof/>
        </w:rPr>
      </w:pPr>
      <w:r>
        <w:rPr>
          <w:strike/>
          <w:noProof/>
        </w:rPr>
        <w:t xml:space="preserve">                                                </w:t>
      </w:r>
      <w:r>
        <w:rPr>
          <w:noProof/>
        </w:rPr>
        <w:t xml:space="preserve"> </w:t>
      </w:r>
    </w:p>
    <w:p>
      <w:pPr>
        <w:pStyle w:val="ManualHeading4"/>
        <w:rPr>
          <w:noProof/>
        </w:rPr>
      </w:pPr>
      <w:r>
        <w:rPr>
          <w:noProof/>
        </w:rPr>
        <w:t>3.2.3.1 Szacowane zapotrzebowanie na zasoby ludzkie</w:t>
      </w:r>
    </w:p>
    <w:p>
      <w:pPr>
        <w:pStyle w:val="ListDash1"/>
        <w:rPr>
          <w:noProof/>
        </w:rPr>
      </w:pPr>
      <w:r>
        <w:rPr>
          <w:rFonts w:ascii="Wingdings" w:eastAsia="Wingdings" w:hAnsi="Wingdings" w:cs="Wingdings"/>
          <w:noProof/>
        </w:rPr>
        <w:t></w:t>
      </w:r>
      <w:r>
        <w:rPr>
          <w:noProof/>
        </w:rPr>
        <w:t xml:space="preserve"> Wniosek/inicjatywa nie wiąże się z koniecznością wykorzystania zasobów ludzkich.</w:t>
      </w:r>
    </w:p>
    <w:p>
      <w:pPr>
        <w:pStyle w:val="ListDash1"/>
        <w:rPr>
          <w:noProof/>
        </w:rPr>
      </w:pPr>
      <w:r>
        <w:rPr>
          <w:rFonts w:ascii="Wingdings" w:eastAsia="Wingdings" w:hAnsi="Wingdings" w:cs="Wingdings"/>
          <w:noProof/>
        </w:rPr>
        <w:t></w:t>
      </w:r>
      <w:r>
        <w:rPr>
          <w:noProof/>
        </w:rPr>
        <w:t xml:space="preserve"> Wniosek/inicjatywa wiąże się z koniecznością wykorzystania zasobów ludzkich, jak określono poniżej:</w:t>
      </w:r>
    </w:p>
    <w:p>
      <w:pPr>
        <w:ind w:right="2"/>
        <w:jc w:val="right"/>
        <w:rPr>
          <w:noProof/>
        </w:rPr>
      </w:pPr>
      <w:r>
        <w:rPr>
          <w:i/>
          <w:noProof/>
          <w:sz w:val="20"/>
        </w:rPr>
        <w:t xml:space="preserve">Wartości szacunkowe należy wyrazić w ekwiwalentach pełnego czasu pracy </w:t>
      </w:r>
    </w:p>
    <w:tbl>
      <w:tblPr>
        <w:tblStyle w:val="TableGrid0"/>
        <w:tblW w:w="9881" w:type="dxa"/>
        <w:tblInd w:w="-401" w:type="dxa"/>
        <w:tblCellMar>
          <w:top w:w="51" w:type="dxa"/>
          <w:left w:w="101" w:type="dxa"/>
          <w:right w:w="73" w:type="dxa"/>
        </w:tblCellMar>
        <w:tblLook w:val="04A0" w:firstRow="1" w:lastRow="0" w:firstColumn="1" w:lastColumn="0" w:noHBand="0" w:noVBand="1"/>
      </w:tblPr>
      <w:tblGrid>
        <w:gridCol w:w="2384"/>
        <w:gridCol w:w="2379"/>
        <w:gridCol w:w="732"/>
        <w:gridCol w:w="730"/>
        <w:gridCol w:w="732"/>
        <w:gridCol w:w="730"/>
        <w:gridCol w:w="732"/>
        <w:gridCol w:w="732"/>
        <w:gridCol w:w="730"/>
      </w:tblGrid>
      <w:tr>
        <w:trPr>
          <w:trHeight w:val="809"/>
        </w:trPr>
        <w:tc>
          <w:tcPr>
            <w:tcW w:w="47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ind w:left="17"/>
              <w:jc w:val="center"/>
              <w:rPr>
                <w:noProof/>
              </w:rPr>
            </w:pPr>
            <w:r>
              <w:rPr>
                <w:i/>
                <w:noProof/>
                <w:sz w:val="16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ind w:left="50" w:right="25"/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Rok </w:t>
            </w:r>
            <w:r>
              <w:rPr>
                <w:b/>
                <w:noProof/>
                <w:sz w:val="16"/>
              </w:rPr>
              <w:t>N</w:t>
            </w: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6"/>
              </w:rPr>
              <w:t>Rok</w:t>
            </w:r>
            <w:r>
              <w:rPr>
                <w:noProof/>
                <w:sz w:val="22"/>
              </w:rPr>
              <w:t xml:space="preserve"> </w:t>
            </w:r>
            <w:r>
              <w:rPr>
                <w:b/>
                <w:noProof/>
                <w:sz w:val="16"/>
              </w:rPr>
              <w:t>N+1</w:t>
            </w: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6"/>
              </w:rPr>
              <w:t>Rok</w:t>
            </w:r>
            <w:r>
              <w:rPr>
                <w:b/>
                <w:noProof/>
                <w:sz w:val="16"/>
              </w:rPr>
              <w:t>N+2</w:t>
            </w: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Rok </w:t>
            </w:r>
            <w:r>
              <w:rPr>
                <w:b/>
                <w:noProof/>
                <w:sz w:val="16"/>
              </w:rPr>
              <w:t>N+3</w:t>
            </w: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21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ind w:firstLine="11"/>
              <w:jc w:val="center"/>
              <w:rPr>
                <w:noProof/>
              </w:rPr>
            </w:pPr>
            <w:r>
              <w:rPr>
                <w:noProof/>
                <w:sz w:val="16"/>
              </w:rPr>
              <w:t>Wprowadzić taką liczbę kolumn dla poszczególnych lat, jaka jest niezbędna, by odzwierciedlić cały okres wpływu (por. pkt 1.6)</w:t>
            </w:r>
            <w:r>
              <w:rPr>
                <w:b/>
                <w:noProof/>
                <w:sz w:val="16"/>
              </w:rPr>
              <w:t xml:space="preserve"> </w:t>
            </w:r>
          </w:p>
        </w:tc>
      </w:tr>
      <w:tr>
        <w:trPr>
          <w:trHeight w:val="437"/>
        </w:trPr>
        <w:tc>
          <w:tcPr>
            <w:tcW w:w="47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>
            <w:pPr>
              <w:ind w:left="14"/>
              <w:jc w:val="left"/>
              <w:rPr>
                <w:noProof/>
              </w:rPr>
            </w:pPr>
            <w:r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>
              <w:rPr>
                <w:b/>
                <w:noProof/>
                <w:sz w:val="16"/>
              </w:rPr>
              <w:t>Stanowiska przewidziane w planie zatrudnienia (stanowiska urzędników i pracowników zatrudnionych na czas określony)</w:t>
            </w: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jc w:val="left"/>
              <w:rPr>
                <w:noProof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>
            <w:pPr>
              <w:jc w:val="left"/>
              <w:rPr>
                <w:noProof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jc w:val="left"/>
              <w:rPr>
                <w:noProof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jc w:val="left"/>
              <w:rPr>
                <w:noProof/>
              </w:rPr>
            </w:pPr>
          </w:p>
        </w:tc>
        <w:tc>
          <w:tcPr>
            <w:tcW w:w="219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jc w:val="left"/>
              <w:rPr>
                <w:noProof/>
              </w:rPr>
            </w:pPr>
          </w:p>
        </w:tc>
      </w:tr>
      <w:tr>
        <w:trPr>
          <w:trHeight w:val="480"/>
        </w:trPr>
        <w:tc>
          <w:tcPr>
            <w:tcW w:w="47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ind w:left="149"/>
              <w:jc w:val="left"/>
              <w:rPr>
                <w:noProof/>
              </w:rPr>
            </w:pPr>
            <w:r>
              <w:rPr>
                <w:noProof/>
                <w:sz w:val="16"/>
              </w:rPr>
              <w:t>XX 01 01 01 (w centrali i w biurach przedstawicielstw Komisji)</w:t>
            </w:r>
            <w:r>
              <w:rPr>
                <w:b/>
                <w:noProof/>
                <w:sz w:val="16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ind w:left="10"/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ind w:left="12"/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ind w:left="10"/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ind w:left="11"/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ind w:left="10"/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ind w:left="10"/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ind w:left="7"/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</w:tr>
      <w:tr>
        <w:trPr>
          <w:trHeight w:val="305"/>
        </w:trPr>
        <w:tc>
          <w:tcPr>
            <w:tcW w:w="47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ind w:left="149"/>
              <w:jc w:val="left"/>
              <w:rPr>
                <w:noProof/>
              </w:rPr>
            </w:pPr>
            <w:r>
              <w:rPr>
                <w:noProof/>
                <w:sz w:val="16"/>
              </w:rPr>
              <w:t xml:space="preserve">XX 01 01 02 (w delegaturach)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ind w:left="10"/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ind w:left="12"/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ind w:left="10"/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ind w:left="11"/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ind w:left="10"/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ind w:left="10"/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ind w:left="7"/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</w:tr>
      <w:tr>
        <w:trPr>
          <w:trHeight w:val="302"/>
        </w:trPr>
        <w:tc>
          <w:tcPr>
            <w:tcW w:w="47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ind w:left="149"/>
              <w:jc w:val="left"/>
              <w:rPr>
                <w:noProof/>
              </w:rPr>
            </w:pPr>
            <w:r>
              <w:rPr>
                <w:noProof/>
                <w:sz w:val="16"/>
              </w:rPr>
              <w:t xml:space="preserve">XX 01 05 01/11/21 (pośrednie badania naukowe)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ind w:left="10"/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ind w:left="12"/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ind w:left="10"/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ind w:left="11"/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ind w:left="10"/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ind w:left="10"/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ind w:left="7"/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</w:tr>
      <w:tr>
        <w:trPr>
          <w:trHeight w:val="305"/>
        </w:trPr>
        <w:tc>
          <w:tcPr>
            <w:tcW w:w="47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ind w:left="149"/>
              <w:jc w:val="left"/>
              <w:rPr>
                <w:noProof/>
              </w:rPr>
            </w:pPr>
            <w:r>
              <w:rPr>
                <w:noProof/>
                <w:sz w:val="16"/>
              </w:rPr>
              <w:t xml:space="preserve">10 01 05 01/11 (bezpośrednie badania naukowe)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ind w:left="10"/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ind w:left="12"/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ind w:left="10"/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ind w:left="11"/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ind w:left="10"/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ind w:left="10"/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ind w:left="7"/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</w:tr>
      <w:tr>
        <w:trPr>
          <w:trHeight w:val="504"/>
        </w:trPr>
        <w:tc>
          <w:tcPr>
            <w:tcW w:w="47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>
              <w:rPr>
                <w:b/>
                <w:noProof/>
                <w:sz w:val="16"/>
              </w:rPr>
              <w:t>Personel zewnętrzny (w ekwiwalentach pełnego czasu pracy: EPC</w:t>
            </w:r>
            <w:r>
              <w:rPr>
                <w:b/>
                <w:noProof/>
                <w:sz w:val="16"/>
                <w:vertAlign w:val="superscript"/>
              </w:rPr>
              <w:footnoteReference w:id="13"/>
            </w:r>
            <w:r>
              <w:rPr>
                <w:b/>
                <w:noProof/>
                <w:sz w:val="16"/>
              </w:rPr>
              <w:t xml:space="preserve"> </w:t>
            </w:r>
          </w:p>
          <w:p>
            <w:pPr>
              <w:jc w:val="left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jc w:val="left"/>
              <w:rPr>
                <w:noProof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>
            <w:pPr>
              <w:jc w:val="left"/>
              <w:rPr>
                <w:noProof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jc w:val="left"/>
              <w:rPr>
                <w:noProof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jc w:val="left"/>
              <w:rPr>
                <w:noProof/>
              </w:rPr>
            </w:pPr>
          </w:p>
        </w:tc>
        <w:tc>
          <w:tcPr>
            <w:tcW w:w="219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jc w:val="left"/>
              <w:rPr>
                <w:noProof/>
              </w:rPr>
            </w:pPr>
          </w:p>
        </w:tc>
      </w:tr>
      <w:tr>
        <w:trPr>
          <w:trHeight w:val="302"/>
        </w:trPr>
        <w:tc>
          <w:tcPr>
            <w:tcW w:w="47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ind w:left="152"/>
              <w:jc w:val="left"/>
              <w:rPr>
                <w:noProof/>
              </w:rPr>
            </w:pPr>
            <w:r>
              <w:rPr>
                <w:noProof/>
                <w:sz w:val="16"/>
              </w:rPr>
              <w:t>XX 01 02 01 (CA, SNE, INT z globalnej koperty finansowej)</w:t>
            </w:r>
            <w:r>
              <w:rPr>
                <w:b/>
                <w:noProof/>
                <w:sz w:val="16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ind w:left="10"/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ind w:left="12"/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ind w:left="10"/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ind w:left="11"/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ind w:left="10"/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ind w:left="10"/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ind w:left="7"/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</w:tr>
      <w:tr>
        <w:trPr>
          <w:trHeight w:val="305"/>
        </w:trPr>
        <w:tc>
          <w:tcPr>
            <w:tcW w:w="47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ind w:left="152"/>
              <w:jc w:val="left"/>
              <w:rPr>
                <w:noProof/>
              </w:rPr>
            </w:pPr>
            <w:r>
              <w:rPr>
                <w:noProof/>
                <w:sz w:val="16"/>
              </w:rPr>
              <w:t xml:space="preserve">XX 01 02 02 (CA, LA, SNE, INT i JED w delegaturach)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ind w:left="10"/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ind w:left="12"/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ind w:left="10"/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ind w:left="11"/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ind w:left="10"/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ind w:left="10"/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ind w:left="7"/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</w:tr>
      <w:tr>
        <w:trPr>
          <w:trHeight w:val="526"/>
        </w:trPr>
        <w:tc>
          <w:tcPr>
            <w:tcW w:w="2384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ind w:left="152"/>
              <w:jc w:val="left"/>
              <w:rPr>
                <w:noProof/>
              </w:rPr>
            </w:pPr>
            <w:r>
              <w:rPr>
                <w:b/>
                <w:noProof/>
                <w:sz w:val="16"/>
              </w:rPr>
              <w:t>XX</w:t>
            </w:r>
            <w:r>
              <w:rPr>
                <w:noProof/>
                <w:sz w:val="16"/>
              </w:rPr>
              <w:t xml:space="preserve"> 01 04 </w:t>
            </w:r>
            <w:r>
              <w:rPr>
                <w:b/>
                <w:noProof/>
                <w:sz w:val="16"/>
              </w:rPr>
              <w:t>yy</w:t>
            </w:r>
            <w:r>
              <w:rPr>
                <w:b/>
                <w:i/>
                <w:noProof/>
                <w:sz w:val="16"/>
              </w:rPr>
              <w:t xml:space="preserve"> </w:t>
            </w:r>
            <w:r>
              <w:rPr>
                <w:b/>
                <w:i/>
                <w:noProof/>
                <w:sz w:val="16"/>
                <w:vertAlign w:val="superscript"/>
              </w:rPr>
              <w:footnoteReference w:id="14"/>
            </w:r>
          </w:p>
          <w:p>
            <w:pPr>
              <w:ind w:left="152"/>
              <w:jc w:val="left"/>
              <w:rPr>
                <w:noProof/>
              </w:rPr>
            </w:pPr>
            <w:r>
              <w:rPr>
                <w:b/>
                <w:noProof/>
                <w:sz w:val="16"/>
              </w:rPr>
              <w:t xml:space="preserve"> 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ind w:left="145"/>
              <w:jc w:val="left"/>
              <w:rPr>
                <w:noProof/>
              </w:rPr>
            </w:pPr>
            <w:r>
              <w:rPr>
                <w:noProof/>
                <w:sz w:val="16"/>
              </w:rPr>
              <w:t>- w centrali</w:t>
            </w:r>
            <w:r>
              <w:rPr>
                <w:b/>
                <w:noProof/>
                <w:sz w:val="16"/>
              </w:rPr>
              <w:t xml:space="preserve"> </w:t>
            </w:r>
          </w:p>
          <w:p>
            <w:pPr>
              <w:ind w:left="145"/>
              <w:jc w:val="left"/>
              <w:rPr>
                <w:noProof/>
              </w:rPr>
            </w:pPr>
            <w:r>
              <w:rPr>
                <w:b/>
                <w:noProof/>
                <w:sz w:val="16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ind w:left="7"/>
              <w:jc w:val="left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ind w:left="12"/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ind w:left="10"/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ind w:left="11"/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ind w:left="10"/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ind w:left="10"/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ind w:left="7"/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</w:tr>
      <w:tr>
        <w:trPr>
          <w:trHeight w:val="30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jc w:val="left"/>
              <w:rPr>
                <w:noProof/>
              </w:rPr>
            </w:pP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ind w:left="145"/>
              <w:jc w:val="left"/>
              <w:rPr>
                <w:noProof/>
              </w:rPr>
            </w:pPr>
            <w:r>
              <w:rPr>
                <w:noProof/>
                <w:sz w:val="16"/>
              </w:rPr>
              <w:t xml:space="preserve">- w delegaturach </w:t>
            </w:r>
            <w:r>
              <w:rPr>
                <w:b/>
                <w:noProof/>
                <w:sz w:val="16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ind w:left="7"/>
              <w:jc w:val="left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ind w:left="12"/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ind w:left="10"/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ind w:left="11"/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ind w:left="10"/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ind w:left="10"/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ind w:left="7"/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</w:tr>
      <w:tr>
        <w:trPr>
          <w:trHeight w:val="305"/>
        </w:trPr>
        <w:tc>
          <w:tcPr>
            <w:tcW w:w="47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ind w:left="152"/>
              <w:jc w:val="left"/>
              <w:rPr>
                <w:noProof/>
              </w:rPr>
            </w:pPr>
            <w:r>
              <w:rPr>
                <w:b/>
                <w:noProof/>
                <w:sz w:val="16"/>
              </w:rPr>
              <w:t>XX</w:t>
            </w:r>
            <w:r>
              <w:rPr>
                <w:noProof/>
              </w:rPr>
              <w:t xml:space="preserve"> </w:t>
            </w:r>
            <w:r>
              <w:rPr>
                <w:noProof/>
                <w:sz w:val="16"/>
              </w:rPr>
              <w:t xml:space="preserve">01 05 02/12/22 (CA, SNE, INT – pośrednie badania naukowe)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ind w:left="10"/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ind w:left="12"/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ind w:left="10"/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ind w:left="11"/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ind w:left="10"/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ind w:left="10"/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ind w:left="7"/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</w:tr>
      <w:tr>
        <w:trPr>
          <w:trHeight w:val="302"/>
        </w:trPr>
        <w:tc>
          <w:tcPr>
            <w:tcW w:w="47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ind w:left="152"/>
              <w:jc w:val="left"/>
              <w:rPr>
                <w:noProof/>
              </w:rPr>
            </w:pPr>
            <w:r>
              <w:rPr>
                <w:noProof/>
                <w:sz w:val="16"/>
              </w:rPr>
              <w:lastRenderedPageBreak/>
              <w:t xml:space="preserve">10 01 05 02/12 (CA, INT, SNE – bezpośrednie badania naukowe)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ind w:left="10"/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ind w:left="12"/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ind w:left="10"/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ind w:left="11"/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ind w:left="10"/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ind w:left="10"/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ind w:left="7"/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</w:tr>
      <w:tr>
        <w:trPr>
          <w:trHeight w:val="312"/>
        </w:trPr>
        <w:tc>
          <w:tcPr>
            <w:tcW w:w="4763" w:type="dxa"/>
            <w:gridSpan w:val="2"/>
            <w:tcBorders>
              <w:top w:val="single" w:sz="6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</w:tcPr>
          <w:p>
            <w:pPr>
              <w:ind w:left="149"/>
              <w:jc w:val="left"/>
              <w:rPr>
                <w:noProof/>
              </w:rPr>
            </w:pPr>
            <w:r>
              <w:rPr>
                <w:noProof/>
                <w:sz w:val="16"/>
              </w:rPr>
              <w:t xml:space="preserve">Inne linie budżetowe (określić)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>
            <w:pPr>
              <w:ind w:left="10"/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>
            <w:pPr>
              <w:ind w:left="12"/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>
            <w:pPr>
              <w:ind w:left="10"/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>
            <w:pPr>
              <w:ind w:left="11"/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>
            <w:pPr>
              <w:ind w:left="10"/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>
            <w:pPr>
              <w:ind w:left="10"/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>
            <w:pPr>
              <w:ind w:left="7"/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 </w:t>
            </w:r>
          </w:p>
        </w:tc>
      </w:tr>
      <w:tr>
        <w:trPr>
          <w:trHeight w:val="312"/>
        </w:trPr>
        <w:tc>
          <w:tcPr>
            <w:tcW w:w="4763" w:type="dxa"/>
            <w:gridSpan w:val="2"/>
            <w:tcBorders>
              <w:top w:val="doub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ind w:left="152"/>
              <w:jc w:val="left"/>
              <w:rPr>
                <w:noProof/>
              </w:rPr>
            </w:pPr>
            <w:r>
              <w:rPr>
                <w:b/>
                <w:noProof/>
                <w:sz w:val="16"/>
              </w:rPr>
              <w:t>OGÓŁEM</w:t>
            </w: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73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ind w:left="10"/>
              <w:jc w:val="center"/>
              <w:rPr>
                <w:noProof/>
              </w:rPr>
            </w:pPr>
            <w:r>
              <w:rPr>
                <w:b/>
                <w:noProof/>
                <w:sz w:val="16"/>
              </w:rPr>
              <w:t xml:space="preserve"> </w:t>
            </w:r>
          </w:p>
        </w:tc>
        <w:tc>
          <w:tcPr>
            <w:tcW w:w="73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ind w:left="12"/>
              <w:jc w:val="center"/>
              <w:rPr>
                <w:noProof/>
              </w:rPr>
            </w:pPr>
            <w:r>
              <w:rPr>
                <w:b/>
                <w:noProof/>
                <w:sz w:val="16"/>
              </w:rPr>
              <w:t xml:space="preserve"> </w:t>
            </w:r>
          </w:p>
        </w:tc>
        <w:tc>
          <w:tcPr>
            <w:tcW w:w="73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ind w:left="10"/>
              <w:jc w:val="center"/>
              <w:rPr>
                <w:noProof/>
              </w:rPr>
            </w:pPr>
            <w:r>
              <w:rPr>
                <w:b/>
                <w:noProof/>
                <w:sz w:val="16"/>
              </w:rPr>
              <w:t xml:space="preserve"> </w:t>
            </w:r>
          </w:p>
        </w:tc>
        <w:tc>
          <w:tcPr>
            <w:tcW w:w="73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ind w:left="11"/>
              <w:jc w:val="center"/>
              <w:rPr>
                <w:noProof/>
              </w:rPr>
            </w:pPr>
            <w:r>
              <w:rPr>
                <w:b/>
                <w:noProof/>
                <w:sz w:val="16"/>
              </w:rPr>
              <w:t xml:space="preserve"> </w:t>
            </w:r>
          </w:p>
        </w:tc>
        <w:tc>
          <w:tcPr>
            <w:tcW w:w="73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ind w:left="10"/>
              <w:jc w:val="center"/>
              <w:rPr>
                <w:noProof/>
              </w:rPr>
            </w:pPr>
            <w:r>
              <w:rPr>
                <w:b/>
                <w:noProof/>
                <w:sz w:val="16"/>
              </w:rPr>
              <w:t xml:space="preserve"> </w:t>
            </w:r>
          </w:p>
        </w:tc>
        <w:tc>
          <w:tcPr>
            <w:tcW w:w="73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ind w:left="10"/>
              <w:jc w:val="center"/>
              <w:rPr>
                <w:noProof/>
              </w:rPr>
            </w:pPr>
            <w:r>
              <w:rPr>
                <w:b/>
                <w:noProof/>
                <w:sz w:val="16"/>
              </w:rPr>
              <w:t xml:space="preserve"> </w:t>
            </w:r>
          </w:p>
        </w:tc>
        <w:tc>
          <w:tcPr>
            <w:tcW w:w="73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ind w:left="7"/>
              <w:jc w:val="center"/>
              <w:rPr>
                <w:noProof/>
              </w:rPr>
            </w:pPr>
            <w:r>
              <w:rPr>
                <w:b/>
                <w:noProof/>
                <w:sz w:val="16"/>
              </w:rPr>
              <w:t xml:space="preserve"> </w:t>
            </w:r>
          </w:p>
        </w:tc>
      </w:tr>
    </w:tbl>
    <w:p>
      <w:pPr>
        <w:ind w:left="862"/>
        <w:rPr>
          <w:noProof/>
        </w:rPr>
      </w:pPr>
      <w:r>
        <w:rPr>
          <w:b/>
          <w:noProof/>
          <w:sz w:val="18"/>
        </w:rPr>
        <w:t>XX</w:t>
      </w:r>
      <w:r>
        <w:rPr>
          <w:noProof/>
        </w:rPr>
        <w:t xml:space="preserve"> </w:t>
      </w:r>
      <w:r>
        <w:rPr>
          <w:noProof/>
          <w:sz w:val="18"/>
        </w:rPr>
        <w:t>oznacza odpowiednią dziedzinę polityki lub odpowiedni tytuł w budżecie</w:t>
      </w:r>
      <w:r>
        <w:rPr>
          <w:noProof/>
        </w:rPr>
        <w:t>.</w:t>
      </w:r>
      <w:r>
        <w:rPr>
          <w:noProof/>
          <w:sz w:val="18"/>
        </w:rPr>
        <w:t xml:space="preserve"> </w:t>
      </w:r>
    </w:p>
    <w:p>
      <w:pPr>
        <w:ind w:left="860"/>
        <w:rPr>
          <w:noProof/>
        </w:rPr>
      </w:pPr>
      <w:r>
        <w:rPr>
          <w:noProof/>
          <w:sz w:val="18"/>
        </w:rPr>
        <w:t>Potrzeby w zakresie zasobów ludzkich zostaną pokryte z zasobów DG już przydzielonych na zarządzanie tym działaniem lub przesuniętych w ramach dyrekcji generalnej, uzupełnionych w razie potrzeby wszelkimi dodatkowymi zasobami, które mogą zostać przydzielone zarządzającej dyrekcji generalnej w ramach procedury rocznego przydziału środków oraz w świetle istniejących ograniczeń budżetowych.</w:t>
      </w:r>
    </w:p>
    <w:p>
      <w:pPr>
        <w:ind w:left="10"/>
        <w:jc w:val="left"/>
        <w:rPr>
          <w:noProof/>
        </w:rPr>
      </w:pPr>
      <w:r>
        <w:rPr>
          <w:noProof/>
          <w:sz w:val="20"/>
        </w:rPr>
        <w:t>Opis zadań do wykonania:</w:t>
      </w:r>
    </w:p>
    <w:tbl>
      <w:tblPr>
        <w:tblStyle w:val="TableGrid0"/>
        <w:tblW w:w="10442" w:type="dxa"/>
        <w:tblInd w:w="-540" w:type="dxa"/>
        <w:tblCellMar>
          <w:top w:w="6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41"/>
        <w:gridCol w:w="7201"/>
      </w:tblGrid>
      <w:tr>
        <w:trPr>
          <w:trHeight w:val="475"/>
        </w:trPr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jc w:val="left"/>
              <w:rPr>
                <w:noProof/>
              </w:rPr>
            </w:pPr>
            <w:r>
              <w:rPr>
                <w:noProof/>
                <w:sz w:val="20"/>
              </w:rPr>
              <w:t xml:space="preserve">Urzędnicy i pracownicy zatrudnieni na czas określony </w:t>
            </w:r>
          </w:p>
        </w:tc>
        <w:tc>
          <w:tcPr>
            <w:tcW w:w="7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jc w:val="left"/>
              <w:rPr>
                <w:noProof/>
              </w:rPr>
            </w:pPr>
            <w:r>
              <w:rPr>
                <w:noProof/>
                <w:sz w:val="20"/>
              </w:rPr>
              <w:t xml:space="preserve"> </w:t>
            </w:r>
          </w:p>
        </w:tc>
      </w:tr>
      <w:tr>
        <w:trPr>
          <w:trHeight w:val="475"/>
        </w:trPr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  <w:sz w:val="20"/>
              </w:rPr>
              <w:t xml:space="preserve">Personel zewnętrzny </w:t>
            </w:r>
          </w:p>
        </w:tc>
        <w:tc>
          <w:tcPr>
            <w:tcW w:w="7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jc w:val="left"/>
              <w:rPr>
                <w:noProof/>
              </w:rPr>
            </w:pPr>
            <w:r>
              <w:rPr>
                <w:noProof/>
                <w:sz w:val="20"/>
              </w:rPr>
              <w:t xml:space="preserve"> </w:t>
            </w:r>
          </w:p>
        </w:tc>
      </w:tr>
    </w:tbl>
    <w:p>
      <w:pPr>
        <w:rPr>
          <w:noProof/>
        </w:rPr>
        <w:sectPr>
          <w:headerReference w:type="default" r:id="rId26"/>
          <w:footerReference w:type="default" r:id="rId27"/>
          <w:headerReference w:type="first" r:id="rId28"/>
          <w:footerReference w:type="first" r:id="rId29"/>
          <w:pgSz w:w="11906" w:h="16841"/>
          <w:pgMar w:top="1137" w:right="1413" w:bottom="1625" w:left="1419" w:header="720" w:footer="711" w:gutter="0"/>
          <w:cols w:space="720"/>
          <w:docGrid w:linePitch="326"/>
        </w:sectPr>
      </w:pPr>
    </w:p>
    <w:p>
      <w:pPr>
        <w:pStyle w:val="ManualHeading3"/>
        <w:rPr>
          <w:noProof/>
        </w:rPr>
      </w:pPr>
      <w:r>
        <w:rPr>
          <w:noProof/>
        </w:rPr>
        <w:lastRenderedPageBreak/>
        <w:t xml:space="preserve">3.2.4 </w:t>
      </w:r>
      <w:r>
        <w:rPr>
          <w:noProof/>
        </w:rPr>
        <w:tab/>
        <w:t>Zgodność z obowiązującymi wieloletnimi ramami finansowymi</w:t>
      </w:r>
    </w:p>
    <w:p>
      <w:pPr>
        <w:ind w:left="845" w:right="1633" w:hanging="860"/>
        <w:rPr>
          <w:noProof/>
        </w:rPr>
      </w:pPr>
      <w:r>
        <w:rPr>
          <w:noProof/>
        </w:rPr>
        <w:t>Wniosek/inicjatywa:</w:t>
      </w:r>
    </w:p>
    <w:p>
      <w:pPr>
        <w:ind w:right="2"/>
        <w:rPr>
          <w:noProof/>
        </w:rPr>
      </w:pPr>
      <w:r>
        <w:rPr>
          <w:b/>
          <w:noProof/>
        </w:rPr>
        <w:t>X</w:t>
      </w:r>
      <w:r>
        <w:rPr>
          <w:noProof/>
        </w:rPr>
        <w:t xml:space="preserve"> może zostać w pełni sfinansowany(-a) w ramach odpowiedniego działu wieloletnich ram finansowych (WRF).</w:t>
      </w:r>
    </w:p>
    <w:p>
      <w:pPr>
        <w:ind w:right="2"/>
        <w:rPr>
          <w:noProof/>
        </w:rPr>
      </w:pPr>
      <w:r>
        <w:rPr>
          <w:rFonts w:ascii="Wingdings" w:eastAsia="Wingdings" w:hAnsi="Wingdings" w:cs="Wingdings"/>
          <w:noProof/>
        </w:rPr>
        <w:t></w:t>
      </w:r>
      <w:r>
        <w:rPr>
          <w:noProof/>
        </w:rPr>
        <w:t xml:space="preserve"> wymaga zastosowania nieprzydzielonego marginesu środków w ramach odpowiedniego działu WRF lub zastosowania specjalnych instrumentów zdefiniowanych w rozporządzeniu w sprawie WRF.</w:t>
      </w:r>
    </w:p>
    <w:p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845"/>
        <w:jc w:val="left"/>
        <w:rPr>
          <w:noProof/>
        </w:rPr>
      </w:pPr>
      <w:r>
        <w:rPr>
          <w:noProof/>
          <w:sz w:val="20"/>
        </w:rPr>
        <w:t>Należy wyjaśnić, który wariant jest konieczny, określając działy i linie budżetowe, których ma dotyczyć, odpowiadające im kwoty oraz proponowane instrumenty, które należy zastosować.</w:t>
      </w:r>
    </w:p>
    <w:p>
      <w:pPr>
        <w:ind w:right="2"/>
        <w:rPr>
          <w:noProof/>
        </w:rPr>
      </w:pPr>
      <w:r>
        <w:rPr>
          <w:rFonts w:ascii="Wingdings" w:eastAsia="Wingdings" w:hAnsi="Wingdings" w:cs="Wingdings"/>
          <w:noProof/>
        </w:rPr>
        <w:t></w:t>
      </w:r>
      <w:r>
        <w:rPr>
          <w:noProof/>
        </w:rPr>
        <w:t xml:space="preserve"> wymaga rewizji WRF.</w:t>
      </w:r>
    </w:p>
    <w:p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845"/>
        <w:jc w:val="left"/>
        <w:rPr>
          <w:noProof/>
        </w:rPr>
      </w:pPr>
      <w:r>
        <w:rPr>
          <w:noProof/>
          <w:sz w:val="20"/>
        </w:rPr>
        <w:t>Należy wyjaśnić, który wariant jest konieczny, określając linie budżetowe, których ma on dotyczyć, oraz podając odpowiednie kwoty.</w:t>
      </w:r>
    </w:p>
    <w:p>
      <w:pPr>
        <w:pStyle w:val="ManualHeading3"/>
        <w:rPr>
          <w:noProof/>
        </w:rPr>
      </w:pPr>
      <w:r>
        <w:rPr>
          <w:noProof/>
        </w:rPr>
        <w:t xml:space="preserve">3.2.5 </w:t>
      </w:r>
      <w:r>
        <w:rPr>
          <w:noProof/>
        </w:rPr>
        <w:tab/>
        <w:t>Udział osób trzecich w finansowaniu</w:t>
      </w:r>
    </w:p>
    <w:p>
      <w:pPr>
        <w:ind w:left="845" w:right="5320" w:hanging="860"/>
        <w:rPr>
          <w:noProof/>
        </w:rPr>
      </w:pPr>
      <w:r>
        <w:rPr>
          <w:noProof/>
        </w:rPr>
        <w:t>Wniosek/inicjatywa:</w:t>
      </w:r>
    </w:p>
    <w:p>
      <w:pPr>
        <w:ind w:right="2"/>
        <w:rPr>
          <w:noProof/>
        </w:rPr>
      </w:pPr>
      <w:r>
        <w:rPr>
          <w:b/>
          <w:noProof/>
        </w:rPr>
        <w:t>X</w:t>
      </w:r>
      <w:r>
        <w:rPr>
          <w:noProof/>
        </w:rPr>
        <w:t xml:space="preserve"> nie przewiduje współfinansowania ze strony osób trzecich</w:t>
      </w:r>
    </w:p>
    <w:p>
      <w:pPr>
        <w:ind w:right="2"/>
        <w:rPr>
          <w:noProof/>
        </w:rPr>
      </w:pPr>
      <w:r>
        <w:rPr>
          <w:noProof/>
        </w:rPr>
        <w:t>przewiduje współfinansowanie ze strony osób trzecich szacowane zgodnie z poniższymi szacunkami:</w:t>
      </w:r>
    </w:p>
    <w:p>
      <w:pPr>
        <w:ind w:left="10" w:right="-7"/>
        <w:jc w:val="right"/>
        <w:rPr>
          <w:noProof/>
        </w:rPr>
      </w:pPr>
      <w:r>
        <w:rPr>
          <w:noProof/>
          <w:sz w:val="20"/>
        </w:rPr>
        <w:t>Środki w EUR</w:t>
      </w:r>
    </w:p>
    <w:p>
      <w:pPr>
        <w:pStyle w:val="ManualHeading2"/>
        <w:rPr>
          <w:noProof/>
        </w:rPr>
      </w:pPr>
      <w:r>
        <w:rPr>
          <w:noProof/>
        </w:rPr>
        <w:t xml:space="preserve">3.3. </w:t>
      </w:r>
      <w:r>
        <w:rPr>
          <w:noProof/>
        </w:rPr>
        <w:tab/>
        <w:t xml:space="preserve">Szacunkowy wpływ na dochody </w:t>
      </w:r>
    </w:p>
    <w:p>
      <w:pPr>
        <w:pStyle w:val="ListDash1"/>
        <w:rPr>
          <w:noProof/>
        </w:rPr>
      </w:pPr>
      <w:r>
        <w:rPr>
          <w:b/>
          <w:noProof/>
        </w:rPr>
        <w:t>X</w:t>
      </w:r>
      <w:r>
        <w:rPr>
          <w:noProof/>
        </w:rPr>
        <w:t xml:space="preserve"> Wniosek/inicjatywa nie ma wpływu finansowego na dochody.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>Wniosek/inicjatywa ma wpływ finansowy określony poniżej:</w:t>
      </w:r>
    </w:p>
    <w:p>
      <w:pPr>
        <w:pStyle w:val="ListNumberLevel3"/>
        <w:rPr>
          <w:noProof/>
        </w:rPr>
      </w:pPr>
      <w:r>
        <w:rPr>
          <w:rFonts w:ascii="Wingdings" w:eastAsia="Wingdings" w:hAnsi="Wingdings" w:cs="Wingdings"/>
          <w:noProof/>
        </w:rPr>
        <w:t></w:t>
      </w:r>
      <w:r>
        <w:rPr>
          <w:noProof/>
        </w:rPr>
        <w:t xml:space="preserve"> </w:t>
      </w:r>
      <w:r>
        <w:rPr>
          <w:noProof/>
        </w:rPr>
        <w:tab/>
        <w:t>wpływ na zasoby własne</w:t>
      </w:r>
    </w:p>
    <w:p>
      <w:pPr>
        <w:pStyle w:val="ListNumberLevel3"/>
        <w:rPr>
          <w:noProof/>
        </w:rPr>
      </w:pPr>
      <w:r>
        <w:rPr>
          <w:rFonts w:ascii="Wingdings" w:eastAsia="Wingdings" w:hAnsi="Wingdings" w:cs="Wingdings"/>
          <w:noProof/>
        </w:rPr>
        <w:t></w:t>
      </w:r>
      <w:r>
        <w:rPr>
          <w:noProof/>
        </w:rPr>
        <w:t xml:space="preserve"> </w:t>
      </w:r>
      <w:r>
        <w:rPr>
          <w:noProof/>
        </w:rPr>
        <w:tab/>
        <w:t>wpływ na inne dochody</w:t>
      </w:r>
    </w:p>
    <w:p>
      <w:pPr>
        <w:pStyle w:val="ListNumberLevel3"/>
        <w:rPr>
          <w:noProof/>
        </w:rPr>
      </w:pPr>
      <w:r>
        <w:rPr>
          <w:noProof/>
        </w:rPr>
        <w:t>Wskazać, czy dochody są przypisane do linii budżetowej po stronie wydatków X</w:t>
      </w:r>
    </w:p>
    <w:p>
      <w:pPr>
        <w:ind w:left="3161" w:right="2854"/>
        <w:jc w:val="center"/>
        <w:rPr>
          <w:noProof/>
        </w:rPr>
      </w:pPr>
      <w:r>
        <w:rPr>
          <w:noProof/>
        </w:rPr>
        <w:t xml:space="preserve">     EUR</w:t>
      </w:r>
    </w:p>
    <w:p>
      <w:pPr>
        <w:ind w:left="845"/>
        <w:jc w:val="left"/>
        <w:rPr>
          <w:noProof/>
        </w:rPr>
      </w:pPr>
      <w:r>
        <w:rPr>
          <w:noProof/>
          <w:sz w:val="20"/>
        </w:rPr>
        <w:t>W przypadku wpływu na dochody różne „przeznaczone na określony cel” należy wskazać linie budżetowe po stronie wydatków, które ten wpływ obejmie.</w:t>
      </w:r>
    </w:p>
    <w:p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845"/>
        <w:rPr>
          <w:noProof/>
        </w:rPr>
      </w:pPr>
      <w:r>
        <w:rPr>
          <w:noProof/>
        </w:rPr>
        <w:t>Nie dotyczy</w:t>
      </w:r>
    </w:p>
    <w:p>
      <w:pPr>
        <w:ind w:left="845"/>
        <w:jc w:val="left"/>
        <w:rPr>
          <w:noProof/>
        </w:rPr>
      </w:pPr>
      <w:r>
        <w:rPr>
          <w:noProof/>
          <w:sz w:val="20"/>
        </w:rPr>
        <w:t>Pozostałe uwagi (np. metoda/wzór użyte do obliczenia wpływu na dochody albo inne informacje).</w:t>
      </w:r>
    </w:p>
    <w:sectPr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6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andscap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andscape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[…]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[…]</w:t>
      </w:r>
    </w:p>
  </w:footnote>
  <w:footnote w:id="3">
    <w:p>
      <w:pPr>
        <w:pStyle w:val="FootnoteText"/>
        <w:ind w:left="0" w:firstLine="0"/>
      </w:pPr>
      <w:r>
        <w:rPr>
          <w:rStyle w:val="FootnoteReference"/>
        </w:rPr>
        <w:footnoteRef/>
      </w:r>
      <w:r>
        <w:tab/>
        <w:t>Rozporządzenie Parlamentu Europejskiego i Rady (UE) nr 1288/2013 z dnia 11 grudnia 2013 r. ustanawiające „Erasmus+”: unijny program na rzecz kształcenia, szkolenia, młodzieży i sportu oraz uchylające decyzje nr 1719/2006/WE, 1720/2006/WE i 1298/2008/WE (Dz.U. L 347 z 20.12.2013, s. 50)</w:t>
      </w:r>
    </w:p>
  </w:footnote>
  <w:footnote w:id="4">
    <w:p>
      <w:pPr>
        <w:pStyle w:val="footnotedescription"/>
        <w:spacing w:line="249" w:lineRule="auto"/>
        <w:ind w:left="142" w:hanging="142"/>
        <w:rPr>
          <w:lang w:val="pl-PL"/>
        </w:rPr>
      </w:pPr>
      <w:r>
        <w:rPr>
          <w:rStyle w:val="footnotemark"/>
        </w:rPr>
        <w:footnoteRef/>
      </w:r>
      <w:r>
        <w:rPr>
          <w:lang w:val="pl-PL"/>
        </w:rPr>
        <w:t xml:space="preserve"> Wyjaśnienia dotyczące trybów zarządzania oraz odniesienia do rozporządzenia finansowego znajdują się na następującej stronie: </w:t>
      </w:r>
      <w:hyperlink r:id="rId1">
        <w:r>
          <w:rPr>
            <w:color w:val="0000FF"/>
            <w:u w:val="single" w:color="0000FF"/>
            <w:lang w:val="pl-PL"/>
          </w:rPr>
          <w:t>https://myintracomm.ec.europa.eu/budgweb/EN/man/budgmanag/Pages/budgmanag.aspx</w:t>
        </w:r>
      </w:hyperlink>
      <w:hyperlink r:id="rId2">
        <w:r>
          <w:rPr>
            <w:lang w:val="pl-PL"/>
          </w:rPr>
          <w:t xml:space="preserve"> </w:t>
        </w:r>
      </w:hyperlink>
    </w:p>
  </w:footnote>
  <w:footnote w:id="5">
    <w:p>
      <w:pPr>
        <w:pStyle w:val="Footnot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71"/>
        </w:tabs>
        <w:rPr>
          <w:szCs w:val="24"/>
        </w:rPr>
      </w:pPr>
      <w:r>
        <w:rPr>
          <w:rStyle w:val="FootnoteReference"/>
        </w:rPr>
        <w:footnoteRef/>
      </w:r>
      <w:r>
        <w:tab/>
        <w:t>Środki zróżnicowane / środki niezróżnicowane</w:t>
      </w:r>
      <w:r>
        <w:tab/>
      </w:r>
    </w:p>
  </w:footnote>
  <w:footnote w:id="6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EFTA: Europejskie Stowarzyszenie Wolnego Handlu</w:t>
      </w:r>
    </w:p>
  </w:footnote>
  <w:footnote w:id="7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Kraje kandydujące oraz w stosownych przypadkach potencjalne kraje kandydujące Bałkanów Zachodnich.</w:t>
      </w:r>
    </w:p>
  </w:footnote>
  <w:footnote w:id="8">
    <w:p>
      <w:pPr>
        <w:pStyle w:val="footnotedescription"/>
        <w:spacing w:line="260" w:lineRule="auto"/>
        <w:ind w:left="142" w:hanging="142"/>
        <w:jc w:val="both"/>
        <w:rPr>
          <w:lang w:val="pl-PL"/>
        </w:rPr>
      </w:pPr>
      <w:r>
        <w:rPr>
          <w:rStyle w:val="footnotemark"/>
        </w:rPr>
        <w:footnoteRef/>
      </w:r>
      <w:r>
        <w:rPr>
          <w:lang w:val="pl-PL"/>
        </w:rPr>
        <w:t xml:space="preserve"> </w:t>
      </w:r>
      <w:r>
        <w:rPr>
          <w:sz w:val="18"/>
          <w:lang w:val="pl-PL"/>
        </w:rPr>
        <w:t>Rok N jest rokiem, w którym rozpoczyna się wprowadzanie w życie wniosku/inicjatywy. „N” należy zastąpić oczekiwanym pierwszym rokiem realizacji (np.: 2021) Tak samo należy postąpić dla kolejnych lat.</w:t>
      </w:r>
    </w:p>
  </w:footnote>
  <w:footnote w:id="9">
    <w:p>
      <w:pPr>
        <w:pStyle w:val="footnotedescription"/>
        <w:tabs>
          <w:tab w:val="center" w:pos="5869"/>
        </w:tabs>
        <w:spacing w:after="28"/>
        <w:rPr>
          <w:lang w:val="pl-PL"/>
        </w:rPr>
      </w:pPr>
      <w:r>
        <w:rPr>
          <w:rStyle w:val="footnotemark"/>
        </w:rPr>
        <w:footnoteRef/>
      </w:r>
      <w:r>
        <w:rPr>
          <w:lang w:val="pl-PL"/>
        </w:rPr>
        <w:t xml:space="preserve"> Produkty odnoszą się do produktów i usług, które zostaną zapewnione (np. liczba sfinansowanych wymian studentów, liczba kilometrów zbudowanych dróg itp.).</w:t>
      </w:r>
    </w:p>
  </w:footnote>
  <w:footnote w:id="10">
    <w:p>
      <w:pPr>
        <w:pStyle w:val="footnotedescription"/>
        <w:tabs>
          <w:tab w:val="center" w:pos="2837"/>
        </w:tabs>
      </w:pPr>
      <w:r>
        <w:rPr>
          <w:rStyle w:val="footnotemark"/>
        </w:rPr>
        <w:footnoteRef/>
      </w:r>
      <w:r>
        <w:rPr>
          <w:lang w:val="pl-PL"/>
        </w:rPr>
        <w:t xml:space="preserve"> Zgodnie z opisem w pkt 1.4.2. </w:t>
      </w:r>
      <w:r>
        <w:t>„Cele szczegółowe …”.</w:t>
      </w:r>
    </w:p>
  </w:footnote>
  <w:footnote w:id="11">
    <w:p>
      <w:pPr>
        <w:rPr>
          <w:highlight w:val="yellow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</w:rPr>
        <w:t>Rok N jest rokiem, w którym rozpoczyna się wprowadzanie w życie wniosku/inicjatywy. „N” należy zastąpić oczekiwanym pierwszym rokiem realizacji (np.: 2021) Tak samo należy postąpić dla kolejnych lat.</w:t>
      </w:r>
    </w:p>
  </w:footnote>
  <w:footnote w:id="12">
    <w:p>
      <w:r>
        <w:rPr>
          <w:rStyle w:val="FootnoteReference"/>
        </w:rPr>
        <w:footnoteRef/>
      </w:r>
      <w:r>
        <w:t xml:space="preserve"> </w:t>
      </w:r>
      <w:r>
        <w:rPr>
          <w:sz w:val="18"/>
        </w:rPr>
        <w:t>Wsparcie techniczne lub administracyjne oraz wydatki na wsparcie w zakresie wprowadzania w życie programów lub działań UE (dawne linie „BA”), pośrednie badania naukowe, bezpośrednie badania naukowe.</w:t>
      </w:r>
    </w:p>
    <w:p>
      <w:pPr>
        <w:pStyle w:val="FootnoteText"/>
      </w:pPr>
    </w:p>
  </w:footnote>
  <w:footnote w:id="13">
    <w:p>
      <w:pPr>
        <w:pStyle w:val="footnotedescription"/>
        <w:spacing w:line="262" w:lineRule="auto"/>
        <w:ind w:left="142" w:hanging="142"/>
        <w:jc w:val="both"/>
        <w:rPr>
          <w:lang w:val="pl-PL"/>
        </w:rPr>
      </w:pPr>
      <w:r>
        <w:rPr>
          <w:rStyle w:val="footnotemark"/>
        </w:rPr>
        <w:footnoteRef/>
      </w:r>
      <w:r>
        <w:rPr>
          <w:lang w:val="pl-PL"/>
        </w:rPr>
        <w:t xml:space="preserve"> CA = personel kontraktowy; LA = personel miejscowy; SNE = oddelegowany ekspert krajowy; INT = personel tymczasowy; JED = młodszy oddelegowany ekspert.</w:t>
      </w:r>
    </w:p>
  </w:footnote>
  <w:footnote w:id="14">
    <w:p>
      <w:pPr>
        <w:pStyle w:val="footnotedescription"/>
        <w:tabs>
          <w:tab w:val="center" w:pos="4248"/>
        </w:tabs>
        <w:rPr>
          <w:lang w:val="pl-PL"/>
        </w:rPr>
      </w:pPr>
      <w:r>
        <w:rPr>
          <w:rStyle w:val="footnotemark"/>
        </w:rPr>
        <w:footnoteRef/>
      </w:r>
      <w:r>
        <w:rPr>
          <w:lang w:val="pl-PL"/>
        </w:rPr>
        <w:t xml:space="preserve"> W ramach podpułapu na personel zewnętrzny ze środków operacyjnych (dawne linie „BA”).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Landscap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Landscap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6A95"/>
    <w:multiLevelType w:val="singleLevel"/>
    <w:tmpl w:val="02BAFA82"/>
    <w:name w:val="List Bullet 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">
    <w:nsid w:val="128364B0"/>
    <w:multiLevelType w:val="singleLevel"/>
    <w:tmpl w:val="D084FB54"/>
    <w:lvl w:ilvl="0">
      <w:start w:val="1"/>
      <w:numFmt w:val="bullet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">
    <w:nsid w:val="13E4330B"/>
    <w:multiLevelType w:val="multilevel"/>
    <w:tmpl w:val="875C4416"/>
    <w:name w:val="List Dash 3"/>
    <w:lvl w:ilvl="0">
      <w:start w:val="1"/>
      <w:numFmt w:val="decimal"/>
      <w:pStyle w:val="ListNumber1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6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7">
    <w:nsid w:val="2D820C1F"/>
    <w:multiLevelType w:val="singleLevel"/>
    <w:tmpl w:val="7896AADE"/>
    <w:name w:val="List Dash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</w:abstractNum>
  <w:abstractNum w:abstractNumId="8">
    <w:nsid w:val="2F191641"/>
    <w:multiLevelType w:val="multilevel"/>
    <w:tmpl w:val="B67C4E92"/>
    <w:lvl w:ilvl="0">
      <w:start w:val="1"/>
      <w:numFmt w:val="decimal"/>
      <w:pStyle w:val="ListNumber3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3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3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31CD398A"/>
    <w:multiLevelType w:val="singleLevel"/>
    <w:tmpl w:val="0276BF00"/>
    <w:lvl w:ilvl="0">
      <w:start w:val="1"/>
      <w:numFmt w:val="bullet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0">
    <w:nsid w:val="398C015E"/>
    <w:multiLevelType w:val="multilevel"/>
    <w:tmpl w:val="027A66BA"/>
    <w:name w:val="List Dash 4"/>
    <w:lvl w:ilvl="0">
      <w:start w:val="1"/>
      <w:numFmt w:val="decimal"/>
      <w:pStyle w:val="ListNumber2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2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3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4">
    <w:nsid w:val="489D74ED"/>
    <w:multiLevelType w:val="singleLevel"/>
    <w:tmpl w:val="C2E2F936"/>
    <w:name w:val="List Dash 2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5">
    <w:nsid w:val="4D0C058A"/>
    <w:multiLevelType w:val="singleLevel"/>
    <w:tmpl w:val="BAE8D90E"/>
    <w:name w:val="List Dash 1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6">
    <w:nsid w:val="542A1204"/>
    <w:multiLevelType w:val="multilevel"/>
    <w:tmpl w:val="BC1E8404"/>
    <w:lvl w:ilvl="0">
      <w:start w:val="1"/>
      <w:numFmt w:val="decimal"/>
      <w:pStyle w:val="ListNumber4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4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4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8">
    <w:nsid w:val="5B0B0635"/>
    <w:multiLevelType w:val="singleLevel"/>
    <w:tmpl w:val="017E7CEE"/>
    <w:lvl w:ilvl="0">
      <w:start w:val="1"/>
      <w:numFmt w:val="bullet"/>
      <w:lvlRestart w:val="0"/>
      <w:pStyle w:val="ListBullet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9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>
    <w:nsid w:val="5DF84969"/>
    <w:multiLevelType w:val="singleLevel"/>
    <w:tmpl w:val="1E12021A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3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5">
    <w:nsid w:val="71F06166"/>
    <w:multiLevelType w:val="multilevel"/>
    <w:tmpl w:val="C08066D2"/>
    <w:name w:val="0.6719891"/>
    <w:lvl w:ilvl="0">
      <w:start w:val="1"/>
      <w:numFmt w:val="decimal"/>
      <w:lvlRestart w:val="0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3D73F7A"/>
    <w:multiLevelType w:val="singleLevel"/>
    <w:tmpl w:val="26365734"/>
    <w:lvl w:ilvl="0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27">
    <w:nsid w:val="76BC5C11"/>
    <w:multiLevelType w:val="singleLevel"/>
    <w:tmpl w:val="E44CE82E"/>
    <w:lvl w:ilvl="0">
      <w:start w:val="1"/>
      <w:numFmt w:val="bullet"/>
      <w:pStyle w:val="ListBullet3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28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0"/>
  </w:num>
  <w:num w:numId="2">
    <w:abstractNumId w:val="18"/>
  </w:num>
  <w:num w:numId="3">
    <w:abstractNumId w:val="7"/>
  </w:num>
  <w:num w:numId="4">
    <w:abstractNumId w:val="15"/>
  </w:num>
  <w:num w:numId="5">
    <w:abstractNumId w:val="14"/>
  </w:num>
  <w:num w:numId="6">
    <w:abstractNumId w:val="25"/>
  </w:num>
  <w:num w:numId="7">
    <w:abstractNumId w:val="22"/>
  </w:num>
  <w:num w:numId="8">
    <w:abstractNumId w:val="26"/>
  </w:num>
  <w:num w:numId="9">
    <w:abstractNumId w:val="27"/>
  </w:num>
  <w:num w:numId="10">
    <w:abstractNumId w:val="1"/>
  </w:num>
  <w:num w:numId="11">
    <w:abstractNumId w:val="9"/>
  </w:num>
  <w:num w:numId="12">
    <w:abstractNumId w:val="2"/>
  </w:num>
  <w:num w:numId="13">
    <w:abstractNumId w:val="10"/>
  </w:num>
  <w:num w:numId="14">
    <w:abstractNumId w:val="8"/>
  </w:num>
  <w:num w:numId="15">
    <w:abstractNumId w:val="16"/>
  </w:num>
  <w:num w:numId="16">
    <w:abstractNumId w:val="11"/>
    <w:lvlOverride w:ilvl="0">
      <w:startOverride w:val="1"/>
    </w:lvlOverride>
  </w:num>
  <w:num w:numId="17">
    <w:abstractNumId w:val="21"/>
  </w:num>
  <w:num w:numId="18">
    <w:abstractNumId w:val="11"/>
  </w:num>
  <w:num w:numId="19">
    <w:abstractNumId w:val="24"/>
  </w:num>
  <w:num w:numId="20">
    <w:abstractNumId w:val="6"/>
  </w:num>
  <w:num w:numId="21">
    <w:abstractNumId w:val="12"/>
  </w:num>
  <w:num w:numId="22">
    <w:abstractNumId w:val="4"/>
  </w:num>
  <w:num w:numId="23">
    <w:abstractNumId w:val="23"/>
  </w:num>
  <w:num w:numId="24">
    <w:abstractNumId w:val="3"/>
  </w:num>
  <w:num w:numId="25">
    <w:abstractNumId w:val="13"/>
  </w:num>
  <w:num w:numId="26">
    <w:abstractNumId w:val="19"/>
  </w:num>
  <w:num w:numId="27">
    <w:abstractNumId w:val="20"/>
  </w:num>
  <w:num w:numId="28">
    <w:abstractNumId w:val="5"/>
  </w:num>
  <w:num w:numId="29">
    <w:abstractNumId w:val="17"/>
  </w:num>
  <w:num w:numId="30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1-30 14:55:40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44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2"/>
    <w:docVar w:name="DQCResult_UnknownFonts" w:val="0;0"/>
    <w:docVar w:name="DQCResult_UnknownStyles" w:val="0;2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F76E91FB-B1A6-4A10-97F6-683EA6F5E950"/>
    <w:docVar w:name="LW_COVERPAGE_TYPE" w:val="1"/>
    <w:docVar w:name="LW_CROSSREFERENCE" w:val="&lt;UNUSED&gt;"/>
    <w:docVar w:name="LW_DocType" w:val="COM"/>
    <w:docVar w:name="LW_EMISSION" w:val="30.1.2019"/>
    <w:docVar w:name="LW_EMISSION_ISODATE" w:val="2019-01-30"/>
    <w:docVar w:name="LW_EMISSION_LOCATION" w:val="BRX"/>
    <w:docVar w:name="LW_EMISSION_PREFIX" w:val="Bruksela, dnia "/>
    <w:docVar w:name="LW_EMISSION_SUFFIX" w:val=" r."/>
    <w:docVar w:name="LW_ID_DOCMODEL" w:val="SJ-023"/>
    <w:docVar w:name="LW_ID_DOCSIGNATURE" w:val="SJ-023"/>
    <w:docVar w:name="LW_ID_DOCSTRUCTURE" w:val="COM/PL/ORG"/>
    <w:docVar w:name="LW_ID_DOCTYPE" w:val="SJ-023"/>
    <w:docVar w:name="LW_ID_EXP.MOTIFS.NEW" w:val="EM_PL_"/>
    <w:docVar w:name="LW_ID_STATUT" w:val="SJ-023"/>
    <w:docVar w:name="LW_INTERETEEE.CP" w:val="&lt;UNUSED&gt;"/>
    <w:docVar w:name="LW_LANGUE" w:val="PL"/>
    <w:docVar w:name="LW_LEVEL_OF_SENSITIVITY" w:val="Standard treatment"/>
    <w:docVar w:name="LW_NOM.INST" w:val="KOMISJA EUROPEJSK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030"/>
    <w:docVar w:name="LW_REF.II.NEW.CP_YEAR" w:val="2019"/>
    <w:docVar w:name="LW_REF.INST.NEW" w:val="COM"/>
    <w:docVar w:name="LW_REF.INST.NEW_ADOPTED" w:val="final"/>
    <w:docVar w:name="LW_REF.INST.NEW_TEXT" w:val="(2019) 65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Wniosek"/>
    <w:docVar w:name="LW_SUPERTITRE" w:val="&lt;UNUSED&gt;"/>
    <w:docVar w:name="LW_TITRE.OBJ.CP" w:val="ustanawiaj\u261?ce przepisy dotycz\u261?ce kontynuacji trwaj\u261?cych dzia\u322?a\u324? w zakresie mobilno\u347?ci edukacyjnej w ramach programu Erasmus+ w zwi\u261?zku z wyst\u261?pieniem Zjednoczonego Królestwa Wielkiej Brytanii i Irlandii Pó\u322?nocnej (\u8222?Zjednoczone Królestwo\u8221?) z Unii Europejskiej "/>
    <w:docVar w:name="LW_TYPE.DOC.CP" w:val="ROZPORZ\u260?DZENIE PARLAMENTU EUROPEJSKIEGO I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able of figures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l-P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4">
    <w:name w:val="List Bullet 4"/>
    <w:basedOn w:val="Normal"/>
    <w:pPr>
      <w:numPr>
        <w:numId w:val="2"/>
      </w:numPr>
    </w:pPr>
    <w:rPr>
      <w:rFonts w:eastAsia="Times New Roman"/>
    </w:rPr>
  </w:style>
  <w:style w:type="paragraph" w:styleId="ListNumber">
    <w:name w:val="List Number"/>
    <w:basedOn w:val="Normal"/>
    <w:pPr>
      <w:numPr>
        <w:numId w:val="6"/>
      </w:numPr>
    </w:pPr>
    <w:rPr>
      <w:rFonts w:eastAsia="Times New Roman"/>
    </w:rPr>
  </w:style>
  <w:style w:type="paragraph" w:customStyle="1" w:styleId="ListBullet1">
    <w:name w:val="List Bullet 1"/>
    <w:basedOn w:val="Normal"/>
    <w:pPr>
      <w:numPr>
        <w:numId w:val="1"/>
      </w:numPr>
    </w:pPr>
    <w:rPr>
      <w:rFonts w:eastAsia="Times New Roman"/>
    </w:rPr>
  </w:style>
  <w:style w:type="paragraph" w:customStyle="1" w:styleId="ListDash">
    <w:name w:val="List Dash"/>
    <w:basedOn w:val="Normal"/>
    <w:pPr>
      <w:numPr>
        <w:numId w:val="3"/>
      </w:numPr>
    </w:pPr>
    <w:rPr>
      <w:rFonts w:eastAsia="Times New Roman"/>
    </w:rPr>
  </w:style>
  <w:style w:type="paragraph" w:customStyle="1" w:styleId="ListDash1">
    <w:name w:val="List Dash 1"/>
    <w:basedOn w:val="Normal"/>
    <w:pPr>
      <w:numPr>
        <w:numId w:val="4"/>
      </w:numPr>
    </w:pPr>
    <w:rPr>
      <w:rFonts w:eastAsia="Times New Roman"/>
    </w:rPr>
  </w:style>
  <w:style w:type="paragraph" w:customStyle="1" w:styleId="ListDash2">
    <w:name w:val="List Dash 2"/>
    <w:basedOn w:val="Normal"/>
    <w:pPr>
      <w:numPr>
        <w:numId w:val="5"/>
      </w:numPr>
    </w:pPr>
    <w:rPr>
      <w:rFonts w:eastAsia="Times New Roman"/>
    </w:rPr>
  </w:style>
  <w:style w:type="paragraph" w:customStyle="1" w:styleId="ListNumberLevel2">
    <w:name w:val="List Number (Level 2)"/>
    <w:basedOn w:val="Normal"/>
    <w:pPr>
      <w:numPr>
        <w:ilvl w:val="1"/>
        <w:numId w:val="6"/>
      </w:numPr>
    </w:pPr>
    <w:rPr>
      <w:rFonts w:eastAsia="Times New Roman"/>
    </w:rPr>
  </w:style>
  <w:style w:type="paragraph" w:customStyle="1" w:styleId="ListNumberLevel3">
    <w:name w:val="List Number (Level 3)"/>
    <w:basedOn w:val="Normal"/>
    <w:pPr>
      <w:numPr>
        <w:ilvl w:val="2"/>
        <w:numId w:val="6"/>
      </w:numPr>
    </w:pPr>
    <w:rPr>
      <w:rFonts w:eastAsia="Times New Roman"/>
    </w:rPr>
  </w:style>
  <w:style w:type="paragraph" w:customStyle="1" w:styleId="ListNumberLevel4">
    <w:name w:val="List Number (Level 4)"/>
    <w:basedOn w:val="Normal"/>
    <w:pPr>
      <w:numPr>
        <w:ilvl w:val="3"/>
        <w:numId w:val="6"/>
      </w:numPr>
    </w:pPr>
    <w:rPr>
      <w:rFonts w:eastAsia="Times New Roman"/>
    </w:rPr>
  </w:style>
  <w:style w:type="table" w:styleId="TableGrid">
    <w:name w:val="Table Grid"/>
    <w:basedOn w:val="TableNormal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Pr>
      <w:color w:val="0000FF"/>
      <w:u w:val="single"/>
    </w:rPr>
  </w:style>
  <w:style w:type="paragraph" w:styleId="ListBullet">
    <w:name w:val="List Bullet"/>
    <w:basedOn w:val="Normal"/>
    <w:pPr>
      <w:numPr>
        <w:numId w:val="7"/>
      </w:numPr>
    </w:pPr>
    <w:rPr>
      <w:rFonts w:eastAsia="Times New Roman"/>
    </w:rPr>
  </w:style>
  <w:style w:type="paragraph" w:styleId="ListBullet2">
    <w:name w:val="List Bullet 2"/>
    <w:basedOn w:val="Normal"/>
    <w:pPr>
      <w:numPr>
        <w:numId w:val="8"/>
      </w:numPr>
    </w:pPr>
    <w:rPr>
      <w:rFonts w:eastAsia="Times New Roman"/>
    </w:rPr>
  </w:style>
  <w:style w:type="paragraph" w:styleId="ListBullet3">
    <w:name w:val="List Bullet 3"/>
    <w:basedOn w:val="Normal"/>
    <w:pPr>
      <w:numPr>
        <w:numId w:val="9"/>
      </w:numPr>
    </w:pPr>
    <w:rPr>
      <w:rFonts w:eastAsia="Times New Roman"/>
    </w:rPr>
  </w:style>
  <w:style w:type="paragraph" w:styleId="ListNumber2">
    <w:name w:val="List Number 2"/>
    <w:basedOn w:val="Normal"/>
    <w:pPr>
      <w:numPr>
        <w:numId w:val="13"/>
      </w:numPr>
    </w:pPr>
    <w:rPr>
      <w:rFonts w:eastAsia="Times New Roman"/>
    </w:rPr>
  </w:style>
  <w:style w:type="paragraph" w:styleId="ListNumber3">
    <w:name w:val="List Number 3"/>
    <w:basedOn w:val="Normal"/>
    <w:pPr>
      <w:numPr>
        <w:numId w:val="14"/>
      </w:numPr>
    </w:pPr>
    <w:rPr>
      <w:rFonts w:eastAsia="Times New Roman"/>
    </w:rPr>
  </w:style>
  <w:style w:type="paragraph" w:styleId="ListNumber4">
    <w:name w:val="List Number 4"/>
    <w:basedOn w:val="Normal"/>
    <w:pPr>
      <w:numPr>
        <w:numId w:val="15"/>
      </w:numPr>
    </w:pPr>
    <w:rPr>
      <w:rFonts w:eastAsia="Times New Roman"/>
    </w:rPr>
  </w:style>
  <w:style w:type="paragraph" w:customStyle="1" w:styleId="ListDash3">
    <w:name w:val="List Dash 3"/>
    <w:basedOn w:val="Normal"/>
    <w:pPr>
      <w:numPr>
        <w:numId w:val="10"/>
      </w:numPr>
    </w:pPr>
    <w:rPr>
      <w:rFonts w:eastAsia="Times New Roman"/>
    </w:rPr>
  </w:style>
  <w:style w:type="paragraph" w:customStyle="1" w:styleId="ListDash4">
    <w:name w:val="List Dash 4"/>
    <w:basedOn w:val="Normal"/>
    <w:pPr>
      <w:numPr>
        <w:numId w:val="11"/>
      </w:numPr>
    </w:pPr>
    <w:rPr>
      <w:rFonts w:eastAsia="Times New Roman"/>
    </w:rPr>
  </w:style>
  <w:style w:type="paragraph" w:customStyle="1" w:styleId="ListNumber1">
    <w:name w:val="List Number 1"/>
    <w:basedOn w:val="Text1"/>
    <w:pPr>
      <w:numPr>
        <w:numId w:val="12"/>
      </w:numPr>
    </w:pPr>
    <w:rPr>
      <w:rFonts w:eastAsia="Times New Roman"/>
    </w:rPr>
  </w:style>
  <w:style w:type="paragraph" w:customStyle="1" w:styleId="ListNumber1Level2">
    <w:name w:val="List Number 1 (Level 2)"/>
    <w:basedOn w:val="Text1"/>
    <w:pPr>
      <w:numPr>
        <w:ilvl w:val="1"/>
        <w:numId w:val="12"/>
      </w:numPr>
    </w:pPr>
    <w:rPr>
      <w:rFonts w:eastAsia="Times New Roman"/>
    </w:rPr>
  </w:style>
  <w:style w:type="paragraph" w:customStyle="1" w:styleId="ListNumber2Level2">
    <w:name w:val="List Number 2 (Level 2)"/>
    <w:basedOn w:val="Text2"/>
    <w:pPr>
      <w:numPr>
        <w:ilvl w:val="1"/>
        <w:numId w:val="13"/>
      </w:numPr>
    </w:pPr>
    <w:rPr>
      <w:rFonts w:eastAsia="Times New Roman"/>
    </w:rPr>
  </w:style>
  <w:style w:type="paragraph" w:customStyle="1" w:styleId="ListNumber3Level2">
    <w:name w:val="List Number 3 (Level 2)"/>
    <w:basedOn w:val="Text3"/>
    <w:pPr>
      <w:numPr>
        <w:ilvl w:val="1"/>
        <w:numId w:val="14"/>
      </w:numPr>
    </w:pPr>
    <w:rPr>
      <w:rFonts w:eastAsia="Times New Roman"/>
    </w:rPr>
  </w:style>
  <w:style w:type="paragraph" w:customStyle="1" w:styleId="ListNumber4Level2">
    <w:name w:val="List Number 4 (Level 2)"/>
    <w:basedOn w:val="Text4"/>
    <w:pPr>
      <w:numPr>
        <w:ilvl w:val="1"/>
        <w:numId w:val="15"/>
      </w:numPr>
    </w:pPr>
    <w:rPr>
      <w:rFonts w:eastAsia="Times New Roman"/>
    </w:rPr>
  </w:style>
  <w:style w:type="paragraph" w:customStyle="1" w:styleId="ListNumber1Level3">
    <w:name w:val="List Number 1 (Level 3)"/>
    <w:basedOn w:val="Text1"/>
    <w:pPr>
      <w:numPr>
        <w:ilvl w:val="2"/>
        <w:numId w:val="12"/>
      </w:numPr>
    </w:pPr>
    <w:rPr>
      <w:rFonts w:eastAsia="Times New Roman"/>
    </w:rPr>
  </w:style>
  <w:style w:type="paragraph" w:customStyle="1" w:styleId="ListNumber2Level3">
    <w:name w:val="List Number 2 (Level 3)"/>
    <w:basedOn w:val="Text2"/>
    <w:pPr>
      <w:numPr>
        <w:ilvl w:val="2"/>
        <w:numId w:val="13"/>
      </w:numPr>
    </w:pPr>
    <w:rPr>
      <w:rFonts w:eastAsia="Times New Roman"/>
    </w:rPr>
  </w:style>
  <w:style w:type="paragraph" w:customStyle="1" w:styleId="ListNumber3Level3">
    <w:name w:val="List Number 3 (Level 3)"/>
    <w:basedOn w:val="Text3"/>
    <w:pPr>
      <w:numPr>
        <w:ilvl w:val="2"/>
        <w:numId w:val="14"/>
      </w:numPr>
    </w:pPr>
    <w:rPr>
      <w:rFonts w:eastAsia="Times New Roman"/>
    </w:rPr>
  </w:style>
  <w:style w:type="paragraph" w:customStyle="1" w:styleId="ListNumber4Level3">
    <w:name w:val="List Number 4 (Level 3)"/>
    <w:basedOn w:val="Text4"/>
    <w:pPr>
      <w:numPr>
        <w:ilvl w:val="2"/>
        <w:numId w:val="15"/>
      </w:numPr>
    </w:pPr>
    <w:rPr>
      <w:rFonts w:eastAsia="Times New Roman"/>
    </w:rPr>
  </w:style>
  <w:style w:type="paragraph" w:customStyle="1" w:styleId="ListNumber1Level4">
    <w:name w:val="List Number 1 (Level 4)"/>
    <w:basedOn w:val="Text1"/>
    <w:pPr>
      <w:numPr>
        <w:ilvl w:val="3"/>
        <w:numId w:val="12"/>
      </w:numPr>
    </w:pPr>
    <w:rPr>
      <w:rFonts w:eastAsia="Times New Roman"/>
    </w:rPr>
  </w:style>
  <w:style w:type="paragraph" w:customStyle="1" w:styleId="ListNumber2Level4">
    <w:name w:val="List Number 2 (Level 4)"/>
    <w:basedOn w:val="Text2"/>
    <w:pPr>
      <w:numPr>
        <w:ilvl w:val="3"/>
        <w:numId w:val="13"/>
      </w:numPr>
    </w:pPr>
    <w:rPr>
      <w:rFonts w:eastAsia="Times New Roman"/>
    </w:rPr>
  </w:style>
  <w:style w:type="paragraph" w:customStyle="1" w:styleId="ListNumber3Level4">
    <w:name w:val="List Number 3 (Level 4)"/>
    <w:basedOn w:val="Text3"/>
    <w:pPr>
      <w:numPr>
        <w:ilvl w:val="3"/>
        <w:numId w:val="14"/>
      </w:numPr>
    </w:pPr>
    <w:rPr>
      <w:rFonts w:eastAsia="Times New Roman"/>
    </w:rPr>
  </w:style>
  <w:style w:type="paragraph" w:customStyle="1" w:styleId="ListNumber4Level4">
    <w:name w:val="List Number 4 (Level 4)"/>
    <w:basedOn w:val="Text4"/>
    <w:pPr>
      <w:numPr>
        <w:ilvl w:val="3"/>
        <w:numId w:val="15"/>
      </w:numPr>
    </w:pPr>
    <w:rPr>
      <w:rFonts w:eastAsia="Times New Roman"/>
    </w:rPr>
  </w:style>
  <w:style w:type="paragraph" w:customStyle="1" w:styleId="Annexetitreacte">
    <w:name w:val="Annexe titre (acte)"/>
    <w:basedOn w:val="Normal"/>
    <w:next w:val="Normal"/>
    <w:pPr>
      <w:jc w:val="center"/>
    </w:pPr>
    <w:rPr>
      <w:rFonts w:eastAsia="Times New Roman"/>
      <w:b/>
      <w:u w:val="single"/>
    </w:rPr>
  </w:style>
  <w:style w:type="paragraph" w:customStyle="1" w:styleId="Annexetitreexposglobal">
    <w:name w:val="Annexe titre (exposé global)"/>
    <w:basedOn w:val="Normal"/>
    <w:next w:val="Normal"/>
    <w:pPr>
      <w:jc w:val="center"/>
    </w:pPr>
    <w:rPr>
      <w:rFonts w:eastAsia="Times New Roman"/>
      <w:b/>
      <w:u w:val="single"/>
    </w:rPr>
  </w:style>
  <w:style w:type="paragraph" w:customStyle="1" w:styleId="Annexetitrefichefinacte">
    <w:name w:val="Annexe titre (fiche fin. acte)"/>
    <w:basedOn w:val="Normal"/>
    <w:next w:val="Normal"/>
    <w:pPr>
      <w:jc w:val="center"/>
    </w:pPr>
    <w:rPr>
      <w:rFonts w:eastAsia="Times New Roman"/>
      <w:b/>
      <w:u w:val="single"/>
    </w:rPr>
  </w:style>
  <w:style w:type="paragraph" w:customStyle="1" w:styleId="Annexetitrefichefinglobale">
    <w:name w:val="Annexe titre (fiche fin. globale)"/>
    <w:basedOn w:val="Normal"/>
    <w:next w:val="Normal"/>
    <w:pPr>
      <w:jc w:val="center"/>
    </w:pPr>
    <w:rPr>
      <w:rFonts w:eastAsia="Times New Roman"/>
      <w:b/>
      <w:u w:val="single"/>
    </w:rPr>
  </w:style>
  <w:style w:type="paragraph" w:customStyle="1" w:styleId="Annexetitreglobale">
    <w:name w:val="Annexe titre (globale)"/>
    <w:basedOn w:val="Normal"/>
    <w:next w:val="Normal"/>
    <w:pPr>
      <w:jc w:val="center"/>
    </w:pPr>
    <w:rPr>
      <w:rFonts w:eastAsia="Times New Roman"/>
      <w:b/>
      <w:u w:val="single"/>
    </w:rPr>
  </w:style>
  <w:style w:type="paragraph" w:customStyle="1" w:styleId="Exposdesmotifstitreglobal">
    <w:name w:val="Exposé des motifs titre (global)"/>
    <w:basedOn w:val="Normal"/>
    <w:next w:val="Normal"/>
    <w:pPr>
      <w:jc w:val="center"/>
    </w:pPr>
    <w:rPr>
      <w:rFonts w:eastAsia="Times New Roman"/>
      <w:b/>
      <w:u w:val="single"/>
    </w:rPr>
  </w:style>
  <w:style w:type="paragraph" w:customStyle="1" w:styleId="Langueoriginale">
    <w:name w:val="Langue originale"/>
    <w:basedOn w:val="Normal"/>
    <w:pPr>
      <w:spacing w:before="360"/>
      <w:jc w:val="center"/>
    </w:pPr>
    <w:rPr>
      <w:rFonts w:eastAsia="Times New Roman"/>
      <w:caps/>
    </w:rPr>
  </w:style>
  <w:style w:type="paragraph" w:customStyle="1" w:styleId="Phrasefinale">
    <w:name w:val="Phrase finale"/>
    <w:basedOn w:val="Normal"/>
    <w:next w:val="Normal"/>
    <w:pPr>
      <w:spacing w:before="360" w:after="0"/>
      <w:jc w:val="center"/>
    </w:pPr>
    <w:rPr>
      <w:rFonts w:eastAsia="Times New Roman"/>
    </w:rPr>
  </w:style>
  <w:style w:type="paragraph" w:customStyle="1" w:styleId="Prliminairetitre">
    <w:name w:val="Préliminaire titre"/>
    <w:basedOn w:val="Normal"/>
    <w:next w:val="Normal"/>
    <w:pPr>
      <w:spacing w:before="360" w:after="360"/>
      <w:jc w:val="center"/>
    </w:pPr>
    <w:rPr>
      <w:rFonts w:eastAsia="Times New Roman"/>
      <w:b/>
    </w:rPr>
  </w:style>
  <w:style w:type="paragraph" w:customStyle="1" w:styleId="Prliminairetype">
    <w:name w:val="Préliminaire type"/>
    <w:basedOn w:val="Normal"/>
    <w:next w:val="Normal"/>
    <w:pPr>
      <w:spacing w:before="360" w:after="0"/>
      <w:jc w:val="center"/>
    </w:pPr>
    <w:rPr>
      <w:rFonts w:eastAsia="Times New Roman"/>
      <w:b/>
    </w:rPr>
  </w:style>
  <w:style w:type="paragraph" w:customStyle="1" w:styleId="Rfrenceinstitutionelle">
    <w:name w:val="Référence institutionelle"/>
    <w:basedOn w:val="Normal"/>
    <w:next w:val="Statut"/>
    <w:pPr>
      <w:spacing w:before="0" w:after="240"/>
      <w:ind w:left="5103"/>
      <w:jc w:val="left"/>
    </w:pPr>
    <w:rPr>
      <w:rFonts w:eastAsia="Times New Roman"/>
    </w:rPr>
  </w:style>
  <w:style w:type="paragraph" w:customStyle="1" w:styleId="Rfrenceinterinstitutionelle">
    <w:name w:val="Référence interinstitutionelle"/>
    <w:basedOn w:val="Normal"/>
    <w:next w:val="Statut"/>
    <w:pPr>
      <w:spacing w:before="0" w:after="0"/>
      <w:ind w:left="5103"/>
      <w:jc w:val="left"/>
    </w:pPr>
    <w:rPr>
      <w:rFonts w:eastAsia="Times New Roman"/>
    </w:rPr>
  </w:style>
  <w:style w:type="paragraph" w:customStyle="1" w:styleId="Rfrenceinterinstitutionelleprliminaire">
    <w:name w:val="Référence interinstitutionelle (préliminaire)"/>
    <w:basedOn w:val="Normal"/>
    <w:next w:val="Normal"/>
    <w:pPr>
      <w:spacing w:before="0" w:after="0"/>
      <w:ind w:left="5103"/>
      <w:jc w:val="left"/>
    </w:pPr>
    <w:rPr>
      <w:rFonts w:eastAsia="Times New Roman"/>
    </w:rPr>
  </w:style>
  <w:style w:type="paragraph" w:customStyle="1" w:styleId="Sous-titreobjetprliminaire">
    <w:name w:val="Sous-titre objet (préliminaire)"/>
    <w:basedOn w:val="Normal"/>
    <w:pPr>
      <w:spacing w:before="0" w:after="0"/>
      <w:jc w:val="center"/>
    </w:pPr>
    <w:rPr>
      <w:rFonts w:eastAsia="Times New Roman"/>
      <w:b/>
    </w:rPr>
  </w:style>
  <w:style w:type="paragraph" w:customStyle="1" w:styleId="Statutprliminaire">
    <w:name w:val="Statut (préliminaire)"/>
    <w:basedOn w:val="Normal"/>
    <w:next w:val="Normal"/>
    <w:pPr>
      <w:spacing w:before="360" w:after="0"/>
      <w:jc w:val="center"/>
    </w:pPr>
    <w:rPr>
      <w:rFonts w:eastAsia="Times New Roman"/>
    </w:rPr>
  </w:style>
  <w:style w:type="paragraph" w:customStyle="1" w:styleId="Titreobjetprliminaire">
    <w:name w:val="Titre objet (préliminaire)"/>
    <w:basedOn w:val="Normal"/>
    <w:next w:val="Normal"/>
    <w:pPr>
      <w:spacing w:before="360" w:after="360"/>
      <w:jc w:val="center"/>
    </w:pPr>
    <w:rPr>
      <w:rFonts w:eastAsia="Times New Roman"/>
      <w:b/>
    </w:rPr>
  </w:style>
  <w:style w:type="paragraph" w:customStyle="1" w:styleId="Typedudocumentprliminaire">
    <w:name w:val="Type du document (préliminaire)"/>
    <w:basedOn w:val="Normal"/>
    <w:next w:val="Normal"/>
    <w:pPr>
      <w:spacing w:before="360" w:after="0"/>
      <w:jc w:val="center"/>
    </w:pPr>
    <w:rPr>
      <w:rFonts w:eastAsia="Times New Roman"/>
      <w:b/>
    </w:rPr>
  </w:style>
  <w:style w:type="paragraph" w:customStyle="1" w:styleId="Fichefinancirestandardtitre">
    <w:name w:val="Fiche financière (standard) titre"/>
    <w:basedOn w:val="Normal"/>
    <w:next w:val="Normal"/>
    <w:pPr>
      <w:jc w:val="center"/>
    </w:pPr>
    <w:rPr>
      <w:rFonts w:eastAsia="Times New Roman"/>
      <w:b/>
      <w:u w:val="single"/>
    </w:rPr>
  </w:style>
  <w:style w:type="paragraph" w:customStyle="1" w:styleId="Fichefinancirestandardtitreacte">
    <w:name w:val="Fiche financière (standard) titre (acte)"/>
    <w:basedOn w:val="Normal"/>
    <w:next w:val="Normal"/>
    <w:pPr>
      <w:jc w:val="center"/>
    </w:pPr>
    <w:rPr>
      <w:rFonts w:eastAsia="Times New Roman"/>
      <w:b/>
      <w:u w:val="single"/>
    </w:rPr>
  </w:style>
  <w:style w:type="paragraph" w:customStyle="1" w:styleId="Fichefinanciretravailtitre">
    <w:name w:val="Fiche financière (travail) titre"/>
    <w:basedOn w:val="Normal"/>
    <w:next w:val="Normal"/>
    <w:pPr>
      <w:jc w:val="center"/>
    </w:pPr>
    <w:rPr>
      <w:rFonts w:eastAsia="Times New Roman"/>
      <w:b/>
      <w:u w:val="single"/>
    </w:rPr>
  </w:style>
  <w:style w:type="paragraph" w:customStyle="1" w:styleId="Fichefinanciretravailtitreacte">
    <w:name w:val="Fiche financière (travail) titre (acte)"/>
    <w:basedOn w:val="Normal"/>
    <w:next w:val="Normal"/>
    <w:pPr>
      <w:jc w:val="center"/>
    </w:pPr>
    <w:rPr>
      <w:rFonts w:eastAsia="Times New Roman"/>
      <w:b/>
      <w:u w:val="single"/>
    </w:rPr>
  </w:style>
  <w:style w:type="paragraph" w:customStyle="1" w:styleId="Fichefinancireattributiontitre">
    <w:name w:val="Fiche financière (attribution) titre"/>
    <w:basedOn w:val="Normal"/>
    <w:next w:val="Normal"/>
    <w:pPr>
      <w:jc w:val="center"/>
    </w:pPr>
    <w:rPr>
      <w:rFonts w:eastAsia="Times New Roman"/>
      <w:b/>
      <w:u w:val="single"/>
    </w:rPr>
  </w:style>
  <w:style w:type="paragraph" w:customStyle="1" w:styleId="Fichefinancireattributiontitreacte">
    <w:name w:val="Fiche financière (attribution) titre (acte)"/>
    <w:basedOn w:val="Normal"/>
    <w:next w:val="Normal"/>
    <w:pPr>
      <w:jc w:val="center"/>
    </w:pPr>
    <w:rPr>
      <w:rFonts w:eastAsia="Times New Roman"/>
      <w:b/>
      <w:u w:val="single"/>
    </w:rPr>
  </w:style>
  <w:style w:type="character" w:styleId="CommentReference">
    <w:name w:val="annotation reference"/>
    <w:uiPriority w:val="9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BalloonText">
    <w:name w:val="Balloon Text"/>
    <w:basedOn w:val="Normal"/>
    <w:link w:val="BalloonTextChar"/>
    <w:uiPriority w:val="99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  <w:lang w:val="pl-PL" w:eastAsia="pl-PL"/>
    </w:rPr>
  </w:style>
  <w:style w:type="paragraph" w:styleId="Caption">
    <w:name w:val="caption"/>
    <w:basedOn w:val="Normal"/>
    <w:next w:val="Normal"/>
    <w:qFormat/>
    <w:rPr>
      <w:rFonts w:eastAsia="Times New Roman"/>
      <w:b/>
      <w:bCs/>
      <w:sz w:val="20"/>
      <w:szCs w:val="20"/>
    </w:rPr>
  </w:style>
  <w:style w:type="paragraph" w:styleId="TableofFigures">
    <w:name w:val="table of figures"/>
    <w:basedOn w:val="Normal"/>
    <w:next w:val="Normal"/>
    <w:rPr>
      <w:rFonts w:eastAsia="Times New Roman"/>
    </w:rPr>
  </w:style>
  <w:style w:type="character" w:styleId="PageNumber">
    <w:name w:val="page number"/>
  </w:style>
  <w:style w:type="character" w:customStyle="1" w:styleId="tw4winMark">
    <w:name w:val="tw4winMark"/>
    <w:rPr>
      <w:vanish/>
      <w:color w:val="800080"/>
      <w:vertAlign w:val="subscript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rFonts w:eastAsia="Times New Roman"/>
      <w:b/>
    </w:rPr>
  </w:style>
  <w:style w:type="paragraph" w:customStyle="1" w:styleId="Sous-titreobjetPagedecouverture">
    <w:name w:val="Sous-titre objet (Page de couverture)"/>
    <w:basedOn w:val="Sous-titreobjet"/>
  </w:style>
  <w:style w:type="character" w:customStyle="1" w:styleId="TOCHeadingChar">
    <w:name w:val="TOC Heading Char"/>
    <w:uiPriority w:val="39"/>
    <w:rPr>
      <w:rFonts w:ascii="Times New Roman" w:hAnsi="Times New Roman" w:cs="Times New Roman"/>
      <w:b/>
      <w:sz w:val="28"/>
      <w:lang w:val="pl-PL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rFonts w:eastAsia="Calibri"/>
    </w:rPr>
  </w:style>
  <w:style w:type="character" w:customStyle="1" w:styleId="FooterCoverPageChar">
    <w:name w:val="Footer Cover Page Char"/>
    <w:link w:val="FooterCoverPage"/>
    <w:rPr>
      <w:rFonts w:ascii="Times New Roman" w:eastAsia="Calibri" w:hAnsi="Times New Roman" w:cs="Times New Roman"/>
      <w:sz w:val="24"/>
      <w:lang w:val="pl-PL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  <w:rPr>
      <w:rFonts w:eastAsia="Calibri"/>
    </w:rPr>
  </w:style>
  <w:style w:type="character" w:customStyle="1" w:styleId="HeaderCoverPageChar">
    <w:name w:val="Header Cover Page Char"/>
    <w:link w:val="HeaderCoverPage"/>
    <w:rPr>
      <w:rFonts w:ascii="Times New Roman" w:eastAsia="Calibri" w:hAnsi="Times New Roman" w:cs="Times New Roman"/>
      <w:sz w:val="24"/>
      <w:lang w:val="pl-PL" w:eastAsia="pl-PL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59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  <w:lang w:val="pl-PL" w:eastAsia="pl-PL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0">
    <w:name w:val="TableGri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pPr>
      <w:spacing w:before="0" w:after="111" w:line="249" w:lineRule="auto"/>
      <w:ind w:left="720" w:hanging="10"/>
      <w:contextualSpacing/>
    </w:pPr>
    <w:rPr>
      <w:rFonts w:eastAsia="Times New Roman"/>
      <w:color w:val="000000"/>
    </w:rPr>
  </w:style>
  <w:style w:type="paragraph" w:customStyle="1" w:styleId="Default">
    <w:name w:val="Default"/>
    <w:basedOn w:val="Normal"/>
    <w:pPr>
      <w:autoSpaceDE w:val="0"/>
      <w:autoSpaceDN w:val="0"/>
      <w:spacing w:before="0" w:after="0"/>
      <w:jc w:val="left"/>
    </w:pPr>
    <w:rPr>
      <w:rFonts w:ascii="Arial" w:hAnsi="Arial" w:cs="Arial"/>
      <w:color w:val="000000"/>
      <w:szCs w:val="24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7"/>
      </w:numPr>
    </w:pPr>
  </w:style>
  <w:style w:type="paragraph" w:customStyle="1" w:styleId="Tiret1">
    <w:name w:val="Tiret 1"/>
    <w:basedOn w:val="Point1"/>
    <w:pPr>
      <w:numPr>
        <w:numId w:val="18"/>
      </w:numPr>
    </w:pPr>
  </w:style>
  <w:style w:type="paragraph" w:customStyle="1" w:styleId="Tiret2">
    <w:name w:val="Tiret 2"/>
    <w:basedOn w:val="Point2"/>
    <w:pPr>
      <w:numPr>
        <w:numId w:val="19"/>
      </w:numPr>
    </w:pPr>
  </w:style>
  <w:style w:type="paragraph" w:customStyle="1" w:styleId="Tiret3">
    <w:name w:val="Tiret 3"/>
    <w:basedOn w:val="Point3"/>
    <w:pPr>
      <w:numPr>
        <w:numId w:val="20"/>
      </w:numPr>
    </w:pPr>
  </w:style>
  <w:style w:type="paragraph" w:customStyle="1" w:styleId="Tiret4">
    <w:name w:val="Tiret 4"/>
    <w:basedOn w:val="Point4"/>
    <w:pPr>
      <w:numPr>
        <w:numId w:val="2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4"/>
      </w:numPr>
    </w:pPr>
  </w:style>
  <w:style w:type="paragraph" w:customStyle="1" w:styleId="Point1number">
    <w:name w:val="Point 1 (number)"/>
    <w:basedOn w:val="Normal"/>
    <w:pPr>
      <w:numPr>
        <w:ilvl w:val="2"/>
        <w:numId w:val="24"/>
      </w:numPr>
    </w:pPr>
  </w:style>
  <w:style w:type="paragraph" w:customStyle="1" w:styleId="Point2number">
    <w:name w:val="Point 2 (number)"/>
    <w:basedOn w:val="Normal"/>
    <w:pPr>
      <w:numPr>
        <w:ilvl w:val="4"/>
        <w:numId w:val="24"/>
      </w:numPr>
    </w:pPr>
  </w:style>
  <w:style w:type="paragraph" w:customStyle="1" w:styleId="Point3number">
    <w:name w:val="Point 3 (number)"/>
    <w:basedOn w:val="Normal"/>
    <w:pPr>
      <w:numPr>
        <w:ilvl w:val="6"/>
        <w:numId w:val="24"/>
      </w:numPr>
    </w:pPr>
  </w:style>
  <w:style w:type="paragraph" w:customStyle="1" w:styleId="Point0letter">
    <w:name w:val="Point 0 (letter)"/>
    <w:basedOn w:val="Normal"/>
    <w:pPr>
      <w:numPr>
        <w:ilvl w:val="1"/>
        <w:numId w:val="24"/>
      </w:numPr>
    </w:pPr>
  </w:style>
  <w:style w:type="paragraph" w:customStyle="1" w:styleId="Point1letter">
    <w:name w:val="Point 1 (letter)"/>
    <w:basedOn w:val="Normal"/>
    <w:pPr>
      <w:numPr>
        <w:ilvl w:val="3"/>
        <w:numId w:val="24"/>
      </w:numPr>
    </w:pPr>
  </w:style>
  <w:style w:type="paragraph" w:customStyle="1" w:styleId="Point2letter">
    <w:name w:val="Point 2 (letter)"/>
    <w:basedOn w:val="Normal"/>
    <w:pPr>
      <w:numPr>
        <w:ilvl w:val="5"/>
        <w:numId w:val="24"/>
      </w:numPr>
    </w:pPr>
  </w:style>
  <w:style w:type="paragraph" w:customStyle="1" w:styleId="Point3letter">
    <w:name w:val="Point 3 (letter)"/>
    <w:basedOn w:val="Normal"/>
    <w:pPr>
      <w:numPr>
        <w:ilvl w:val="7"/>
        <w:numId w:val="24"/>
      </w:numPr>
    </w:pPr>
  </w:style>
  <w:style w:type="paragraph" w:customStyle="1" w:styleId="Point4letter">
    <w:name w:val="Point 4 (letter)"/>
    <w:basedOn w:val="Normal"/>
    <w:pPr>
      <w:numPr>
        <w:ilvl w:val="8"/>
        <w:numId w:val="24"/>
      </w:numPr>
    </w:pPr>
  </w:style>
  <w:style w:type="paragraph" w:customStyle="1" w:styleId="Bullet0">
    <w:name w:val="Bullet 0"/>
    <w:basedOn w:val="Normal"/>
    <w:pPr>
      <w:numPr>
        <w:numId w:val="25"/>
      </w:numPr>
    </w:pPr>
  </w:style>
  <w:style w:type="paragraph" w:customStyle="1" w:styleId="Bullet1">
    <w:name w:val="Bullet 1"/>
    <w:basedOn w:val="Normal"/>
    <w:pPr>
      <w:numPr>
        <w:numId w:val="26"/>
      </w:numPr>
    </w:pPr>
  </w:style>
  <w:style w:type="paragraph" w:customStyle="1" w:styleId="Bullet2">
    <w:name w:val="Bullet 2"/>
    <w:basedOn w:val="Normal"/>
    <w:pPr>
      <w:numPr>
        <w:numId w:val="27"/>
      </w:numPr>
    </w:pPr>
  </w:style>
  <w:style w:type="paragraph" w:customStyle="1" w:styleId="Bullet3">
    <w:name w:val="Bullet 3"/>
    <w:basedOn w:val="Normal"/>
    <w:pPr>
      <w:numPr>
        <w:numId w:val="28"/>
      </w:numPr>
    </w:pPr>
  </w:style>
  <w:style w:type="paragraph" w:customStyle="1" w:styleId="Bullet4">
    <w:name w:val="Bullet 4"/>
    <w:basedOn w:val="Normal"/>
    <w:pPr>
      <w:numPr>
        <w:numId w:val="2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able of figures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l-P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4">
    <w:name w:val="List Bullet 4"/>
    <w:basedOn w:val="Normal"/>
    <w:pPr>
      <w:numPr>
        <w:numId w:val="2"/>
      </w:numPr>
    </w:pPr>
    <w:rPr>
      <w:rFonts w:eastAsia="Times New Roman"/>
    </w:rPr>
  </w:style>
  <w:style w:type="paragraph" w:styleId="ListNumber">
    <w:name w:val="List Number"/>
    <w:basedOn w:val="Normal"/>
    <w:pPr>
      <w:numPr>
        <w:numId w:val="6"/>
      </w:numPr>
    </w:pPr>
    <w:rPr>
      <w:rFonts w:eastAsia="Times New Roman"/>
    </w:rPr>
  </w:style>
  <w:style w:type="paragraph" w:customStyle="1" w:styleId="ListBullet1">
    <w:name w:val="List Bullet 1"/>
    <w:basedOn w:val="Normal"/>
    <w:pPr>
      <w:numPr>
        <w:numId w:val="1"/>
      </w:numPr>
    </w:pPr>
    <w:rPr>
      <w:rFonts w:eastAsia="Times New Roman"/>
    </w:rPr>
  </w:style>
  <w:style w:type="paragraph" w:customStyle="1" w:styleId="ListDash">
    <w:name w:val="List Dash"/>
    <w:basedOn w:val="Normal"/>
    <w:pPr>
      <w:numPr>
        <w:numId w:val="3"/>
      </w:numPr>
    </w:pPr>
    <w:rPr>
      <w:rFonts w:eastAsia="Times New Roman"/>
    </w:rPr>
  </w:style>
  <w:style w:type="paragraph" w:customStyle="1" w:styleId="ListDash1">
    <w:name w:val="List Dash 1"/>
    <w:basedOn w:val="Normal"/>
    <w:pPr>
      <w:numPr>
        <w:numId w:val="4"/>
      </w:numPr>
    </w:pPr>
    <w:rPr>
      <w:rFonts w:eastAsia="Times New Roman"/>
    </w:rPr>
  </w:style>
  <w:style w:type="paragraph" w:customStyle="1" w:styleId="ListDash2">
    <w:name w:val="List Dash 2"/>
    <w:basedOn w:val="Normal"/>
    <w:pPr>
      <w:numPr>
        <w:numId w:val="5"/>
      </w:numPr>
    </w:pPr>
    <w:rPr>
      <w:rFonts w:eastAsia="Times New Roman"/>
    </w:rPr>
  </w:style>
  <w:style w:type="paragraph" w:customStyle="1" w:styleId="ListNumberLevel2">
    <w:name w:val="List Number (Level 2)"/>
    <w:basedOn w:val="Normal"/>
    <w:pPr>
      <w:numPr>
        <w:ilvl w:val="1"/>
        <w:numId w:val="6"/>
      </w:numPr>
    </w:pPr>
    <w:rPr>
      <w:rFonts w:eastAsia="Times New Roman"/>
    </w:rPr>
  </w:style>
  <w:style w:type="paragraph" w:customStyle="1" w:styleId="ListNumberLevel3">
    <w:name w:val="List Number (Level 3)"/>
    <w:basedOn w:val="Normal"/>
    <w:pPr>
      <w:numPr>
        <w:ilvl w:val="2"/>
        <w:numId w:val="6"/>
      </w:numPr>
    </w:pPr>
    <w:rPr>
      <w:rFonts w:eastAsia="Times New Roman"/>
    </w:rPr>
  </w:style>
  <w:style w:type="paragraph" w:customStyle="1" w:styleId="ListNumberLevel4">
    <w:name w:val="List Number (Level 4)"/>
    <w:basedOn w:val="Normal"/>
    <w:pPr>
      <w:numPr>
        <w:ilvl w:val="3"/>
        <w:numId w:val="6"/>
      </w:numPr>
    </w:pPr>
    <w:rPr>
      <w:rFonts w:eastAsia="Times New Roman"/>
    </w:rPr>
  </w:style>
  <w:style w:type="table" w:styleId="TableGrid">
    <w:name w:val="Table Grid"/>
    <w:basedOn w:val="TableNormal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Pr>
      <w:color w:val="0000FF"/>
      <w:u w:val="single"/>
    </w:rPr>
  </w:style>
  <w:style w:type="paragraph" w:styleId="ListBullet">
    <w:name w:val="List Bullet"/>
    <w:basedOn w:val="Normal"/>
    <w:pPr>
      <w:numPr>
        <w:numId w:val="7"/>
      </w:numPr>
    </w:pPr>
    <w:rPr>
      <w:rFonts w:eastAsia="Times New Roman"/>
    </w:rPr>
  </w:style>
  <w:style w:type="paragraph" w:styleId="ListBullet2">
    <w:name w:val="List Bullet 2"/>
    <w:basedOn w:val="Normal"/>
    <w:pPr>
      <w:numPr>
        <w:numId w:val="8"/>
      </w:numPr>
    </w:pPr>
    <w:rPr>
      <w:rFonts w:eastAsia="Times New Roman"/>
    </w:rPr>
  </w:style>
  <w:style w:type="paragraph" w:styleId="ListBullet3">
    <w:name w:val="List Bullet 3"/>
    <w:basedOn w:val="Normal"/>
    <w:pPr>
      <w:numPr>
        <w:numId w:val="9"/>
      </w:numPr>
    </w:pPr>
    <w:rPr>
      <w:rFonts w:eastAsia="Times New Roman"/>
    </w:rPr>
  </w:style>
  <w:style w:type="paragraph" w:styleId="ListNumber2">
    <w:name w:val="List Number 2"/>
    <w:basedOn w:val="Normal"/>
    <w:pPr>
      <w:numPr>
        <w:numId w:val="13"/>
      </w:numPr>
    </w:pPr>
    <w:rPr>
      <w:rFonts w:eastAsia="Times New Roman"/>
    </w:rPr>
  </w:style>
  <w:style w:type="paragraph" w:styleId="ListNumber3">
    <w:name w:val="List Number 3"/>
    <w:basedOn w:val="Normal"/>
    <w:pPr>
      <w:numPr>
        <w:numId w:val="14"/>
      </w:numPr>
    </w:pPr>
    <w:rPr>
      <w:rFonts w:eastAsia="Times New Roman"/>
    </w:rPr>
  </w:style>
  <w:style w:type="paragraph" w:styleId="ListNumber4">
    <w:name w:val="List Number 4"/>
    <w:basedOn w:val="Normal"/>
    <w:pPr>
      <w:numPr>
        <w:numId w:val="15"/>
      </w:numPr>
    </w:pPr>
    <w:rPr>
      <w:rFonts w:eastAsia="Times New Roman"/>
    </w:rPr>
  </w:style>
  <w:style w:type="paragraph" w:customStyle="1" w:styleId="ListDash3">
    <w:name w:val="List Dash 3"/>
    <w:basedOn w:val="Normal"/>
    <w:pPr>
      <w:numPr>
        <w:numId w:val="10"/>
      </w:numPr>
    </w:pPr>
    <w:rPr>
      <w:rFonts w:eastAsia="Times New Roman"/>
    </w:rPr>
  </w:style>
  <w:style w:type="paragraph" w:customStyle="1" w:styleId="ListDash4">
    <w:name w:val="List Dash 4"/>
    <w:basedOn w:val="Normal"/>
    <w:pPr>
      <w:numPr>
        <w:numId w:val="11"/>
      </w:numPr>
    </w:pPr>
    <w:rPr>
      <w:rFonts w:eastAsia="Times New Roman"/>
    </w:rPr>
  </w:style>
  <w:style w:type="paragraph" w:customStyle="1" w:styleId="ListNumber1">
    <w:name w:val="List Number 1"/>
    <w:basedOn w:val="Text1"/>
    <w:pPr>
      <w:numPr>
        <w:numId w:val="12"/>
      </w:numPr>
    </w:pPr>
    <w:rPr>
      <w:rFonts w:eastAsia="Times New Roman"/>
    </w:rPr>
  </w:style>
  <w:style w:type="paragraph" w:customStyle="1" w:styleId="ListNumber1Level2">
    <w:name w:val="List Number 1 (Level 2)"/>
    <w:basedOn w:val="Text1"/>
    <w:pPr>
      <w:numPr>
        <w:ilvl w:val="1"/>
        <w:numId w:val="12"/>
      </w:numPr>
    </w:pPr>
    <w:rPr>
      <w:rFonts w:eastAsia="Times New Roman"/>
    </w:rPr>
  </w:style>
  <w:style w:type="paragraph" w:customStyle="1" w:styleId="ListNumber2Level2">
    <w:name w:val="List Number 2 (Level 2)"/>
    <w:basedOn w:val="Text2"/>
    <w:pPr>
      <w:numPr>
        <w:ilvl w:val="1"/>
        <w:numId w:val="13"/>
      </w:numPr>
    </w:pPr>
    <w:rPr>
      <w:rFonts w:eastAsia="Times New Roman"/>
    </w:rPr>
  </w:style>
  <w:style w:type="paragraph" w:customStyle="1" w:styleId="ListNumber3Level2">
    <w:name w:val="List Number 3 (Level 2)"/>
    <w:basedOn w:val="Text3"/>
    <w:pPr>
      <w:numPr>
        <w:ilvl w:val="1"/>
        <w:numId w:val="14"/>
      </w:numPr>
    </w:pPr>
    <w:rPr>
      <w:rFonts w:eastAsia="Times New Roman"/>
    </w:rPr>
  </w:style>
  <w:style w:type="paragraph" w:customStyle="1" w:styleId="ListNumber4Level2">
    <w:name w:val="List Number 4 (Level 2)"/>
    <w:basedOn w:val="Text4"/>
    <w:pPr>
      <w:numPr>
        <w:ilvl w:val="1"/>
        <w:numId w:val="15"/>
      </w:numPr>
    </w:pPr>
    <w:rPr>
      <w:rFonts w:eastAsia="Times New Roman"/>
    </w:rPr>
  </w:style>
  <w:style w:type="paragraph" w:customStyle="1" w:styleId="ListNumber1Level3">
    <w:name w:val="List Number 1 (Level 3)"/>
    <w:basedOn w:val="Text1"/>
    <w:pPr>
      <w:numPr>
        <w:ilvl w:val="2"/>
        <w:numId w:val="12"/>
      </w:numPr>
    </w:pPr>
    <w:rPr>
      <w:rFonts w:eastAsia="Times New Roman"/>
    </w:rPr>
  </w:style>
  <w:style w:type="paragraph" w:customStyle="1" w:styleId="ListNumber2Level3">
    <w:name w:val="List Number 2 (Level 3)"/>
    <w:basedOn w:val="Text2"/>
    <w:pPr>
      <w:numPr>
        <w:ilvl w:val="2"/>
        <w:numId w:val="13"/>
      </w:numPr>
    </w:pPr>
    <w:rPr>
      <w:rFonts w:eastAsia="Times New Roman"/>
    </w:rPr>
  </w:style>
  <w:style w:type="paragraph" w:customStyle="1" w:styleId="ListNumber3Level3">
    <w:name w:val="List Number 3 (Level 3)"/>
    <w:basedOn w:val="Text3"/>
    <w:pPr>
      <w:numPr>
        <w:ilvl w:val="2"/>
        <w:numId w:val="14"/>
      </w:numPr>
    </w:pPr>
    <w:rPr>
      <w:rFonts w:eastAsia="Times New Roman"/>
    </w:rPr>
  </w:style>
  <w:style w:type="paragraph" w:customStyle="1" w:styleId="ListNumber4Level3">
    <w:name w:val="List Number 4 (Level 3)"/>
    <w:basedOn w:val="Text4"/>
    <w:pPr>
      <w:numPr>
        <w:ilvl w:val="2"/>
        <w:numId w:val="15"/>
      </w:numPr>
    </w:pPr>
    <w:rPr>
      <w:rFonts w:eastAsia="Times New Roman"/>
    </w:rPr>
  </w:style>
  <w:style w:type="paragraph" w:customStyle="1" w:styleId="ListNumber1Level4">
    <w:name w:val="List Number 1 (Level 4)"/>
    <w:basedOn w:val="Text1"/>
    <w:pPr>
      <w:numPr>
        <w:ilvl w:val="3"/>
        <w:numId w:val="12"/>
      </w:numPr>
    </w:pPr>
    <w:rPr>
      <w:rFonts w:eastAsia="Times New Roman"/>
    </w:rPr>
  </w:style>
  <w:style w:type="paragraph" w:customStyle="1" w:styleId="ListNumber2Level4">
    <w:name w:val="List Number 2 (Level 4)"/>
    <w:basedOn w:val="Text2"/>
    <w:pPr>
      <w:numPr>
        <w:ilvl w:val="3"/>
        <w:numId w:val="13"/>
      </w:numPr>
    </w:pPr>
    <w:rPr>
      <w:rFonts w:eastAsia="Times New Roman"/>
    </w:rPr>
  </w:style>
  <w:style w:type="paragraph" w:customStyle="1" w:styleId="ListNumber3Level4">
    <w:name w:val="List Number 3 (Level 4)"/>
    <w:basedOn w:val="Text3"/>
    <w:pPr>
      <w:numPr>
        <w:ilvl w:val="3"/>
        <w:numId w:val="14"/>
      </w:numPr>
    </w:pPr>
    <w:rPr>
      <w:rFonts w:eastAsia="Times New Roman"/>
    </w:rPr>
  </w:style>
  <w:style w:type="paragraph" w:customStyle="1" w:styleId="ListNumber4Level4">
    <w:name w:val="List Number 4 (Level 4)"/>
    <w:basedOn w:val="Text4"/>
    <w:pPr>
      <w:numPr>
        <w:ilvl w:val="3"/>
        <w:numId w:val="15"/>
      </w:numPr>
    </w:pPr>
    <w:rPr>
      <w:rFonts w:eastAsia="Times New Roman"/>
    </w:rPr>
  </w:style>
  <w:style w:type="paragraph" w:customStyle="1" w:styleId="Annexetitreacte">
    <w:name w:val="Annexe titre (acte)"/>
    <w:basedOn w:val="Normal"/>
    <w:next w:val="Normal"/>
    <w:pPr>
      <w:jc w:val="center"/>
    </w:pPr>
    <w:rPr>
      <w:rFonts w:eastAsia="Times New Roman"/>
      <w:b/>
      <w:u w:val="single"/>
    </w:rPr>
  </w:style>
  <w:style w:type="paragraph" w:customStyle="1" w:styleId="Annexetitreexposglobal">
    <w:name w:val="Annexe titre (exposé global)"/>
    <w:basedOn w:val="Normal"/>
    <w:next w:val="Normal"/>
    <w:pPr>
      <w:jc w:val="center"/>
    </w:pPr>
    <w:rPr>
      <w:rFonts w:eastAsia="Times New Roman"/>
      <w:b/>
      <w:u w:val="single"/>
    </w:rPr>
  </w:style>
  <w:style w:type="paragraph" w:customStyle="1" w:styleId="Annexetitrefichefinacte">
    <w:name w:val="Annexe titre (fiche fin. acte)"/>
    <w:basedOn w:val="Normal"/>
    <w:next w:val="Normal"/>
    <w:pPr>
      <w:jc w:val="center"/>
    </w:pPr>
    <w:rPr>
      <w:rFonts w:eastAsia="Times New Roman"/>
      <w:b/>
      <w:u w:val="single"/>
    </w:rPr>
  </w:style>
  <w:style w:type="paragraph" w:customStyle="1" w:styleId="Annexetitrefichefinglobale">
    <w:name w:val="Annexe titre (fiche fin. globale)"/>
    <w:basedOn w:val="Normal"/>
    <w:next w:val="Normal"/>
    <w:pPr>
      <w:jc w:val="center"/>
    </w:pPr>
    <w:rPr>
      <w:rFonts w:eastAsia="Times New Roman"/>
      <w:b/>
      <w:u w:val="single"/>
    </w:rPr>
  </w:style>
  <w:style w:type="paragraph" w:customStyle="1" w:styleId="Annexetitreglobale">
    <w:name w:val="Annexe titre (globale)"/>
    <w:basedOn w:val="Normal"/>
    <w:next w:val="Normal"/>
    <w:pPr>
      <w:jc w:val="center"/>
    </w:pPr>
    <w:rPr>
      <w:rFonts w:eastAsia="Times New Roman"/>
      <w:b/>
      <w:u w:val="single"/>
    </w:rPr>
  </w:style>
  <w:style w:type="paragraph" w:customStyle="1" w:styleId="Exposdesmotifstitreglobal">
    <w:name w:val="Exposé des motifs titre (global)"/>
    <w:basedOn w:val="Normal"/>
    <w:next w:val="Normal"/>
    <w:pPr>
      <w:jc w:val="center"/>
    </w:pPr>
    <w:rPr>
      <w:rFonts w:eastAsia="Times New Roman"/>
      <w:b/>
      <w:u w:val="single"/>
    </w:rPr>
  </w:style>
  <w:style w:type="paragraph" w:customStyle="1" w:styleId="Langueoriginale">
    <w:name w:val="Langue originale"/>
    <w:basedOn w:val="Normal"/>
    <w:pPr>
      <w:spacing w:before="360"/>
      <w:jc w:val="center"/>
    </w:pPr>
    <w:rPr>
      <w:rFonts w:eastAsia="Times New Roman"/>
      <w:caps/>
    </w:rPr>
  </w:style>
  <w:style w:type="paragraph" w:customStyle="1" w:styleId="Phrasefinale">
    <w:name w:val="Phrase finale"/>
    <w:basedOn w:val="Normal"/>
    <w:next w:val="Normal"/>
    <w:pPr>
      <w:spacing w:before="360" w:after="0"/>
      <w:jc w:val="center"/>
    </w:pPr>
    <w:rPr>
      <w:rFonts w:eastAsia="Times New Roman"/>
    </w:rPr>
  </w:style>
  <w:style w:type="paragraph" w:customStyle="1" w:styleId="Prliminairetitre">
    <w:name w:val="Préliminaire titre"/>
    <w:basedOn w:val="Normal"/>
    <w:next w:val="Normal"/>
    <w:pPr>
      <w:spacing w:before="360" w:after="360"/>
      <w:jc w:val="center"/>
    </w:pPr>
    <w:rPr>
      <w:rFonts w:eastAsia="Times New Roman"/>
      <w:b/>
    </w:rPr>
  </w:style>
  <w:style w:type="paragraph" w:customStyle="1" w:styleId="Prliminairetype">
    <w:name w:val="Préliminaire type"/>
    <w:basedOn w:val="Normal"/>
    <w:next w:val="Normal"/>
    <w:pPr>
      <w:spacing w:before="360" w:after="0"/>
      <w:jc w:val="center"/>
    </w:pPr>
    <w:rPr>
      <w:rFonts w:eastAsia="Times New Roman"/>
      <w:b/>
    </w:rPr>
  </w:style>
  <w:style w:type="paragraph" w:customStyle="1" w:styleId="Rfrenceinstitutionelle">
    <w:name w:val="Référence institutionelle"/>
    <w:basedOn w:val="Normal"/>
    <w:next w:val="Statut"/>
    <w:pPr>
      <w:spacing w:before="0" w:after="240"/>
      <w:ind w:left="5103"/>
      <w:jc w:val="left"/>
    </w:pPr>
    <w:rPr>
      <w:rFonts w:eastAsia="Times New Roman"/>
    </w:rPr>
  </w:style>
  <w:style w:type="paragraph" w:customStyle="1" w:styleId="Rfrenceinterinstitutionelle">
    <w:name w:val="Référence interinstitutionelle"/>
    <w:basedOn w:val="Normal"/>
    <w:next w:val="Statut"/>
    <w:pPr>
      <w:spacing w:before="0" w:after="0"/>
      <w:ind w:left="5103"/>
      <w:jc w:val="left"/>
    </w:pPr>
    <w:rPr>
      <w:rFonts w:eastAsia="Times New Roman"/>
    </w:rPr>
  </w:style>
  <w:style w:type="paragraph" w:customStyle="1" w:styleId="Rfrenceinterinstitutionelleprliminaire">
    <w:name w:val="Référence interinstitutionelle (préliminaire)"/>
    <w:basedOn w:val="Normal"/>
    <w:next w:val="Normal"/>
    <w:pPr>
      <w:spacing w:before="0" w:after="0"/>
      <w:ind w:left="5103"/>
      <w:jc w:val="left"/>
    </w:pPr>
    <w:rPr>
      <w:rFonts w:eastAsia="Times New Roman"/>
    </w:rPr>
  </w:style>
  <w:style w:type="paragraph" w:customStyle="1" w:styleId="Sous-titreobjetprliminaire">
    <w:name w:val="Sous-titre objet (préliminaire)"/>
    <w:basedOn w:val="Normal"/>
    <w:pPr>
      <w:spacing w:before="0" w:after="0"/>
      <w:jc w:val="center"/>
    </w:pPr>
    <w:rPr>
      <w:rFonts w:eastAsia="Times New Roman"/>
      <w:b/>
    </w:rPr>
  </w:style>
  <w:style w:type="paragraph" w:customStyle="1" w:styleId="Statutprliminaire">
    <w:name w:val="Statut (préliminaire)"/>
    <w:basedOn w:val="Normal"/>
    <w:next w:val="Normal"/>
    <w:pPr>
      <w:spacing w:before="360" w:after="0"/>
      <w:jc w:val="center"/>
    </w:pPr>
    <w:rPr>
      <w:rFonts w:eastAsia="Times New Roman"/>
    </w:rPr>
  </w:style>
  <w:style w:type="paragraph" w:customStyle="1" w:styleId="Titreobjetprliminaire">
    <w:name w:val="Titre objet (préliminaire)"/>
    <w:basedOn w:val="Normal"/>
    <w:next w:val="Normal"/>
    <w:pPr>
      <w:spacing w:before="360" w:after="360"/>
      <w:jc w:val="center"/>
    </w:pPr>
    <w:rPr>
      <w:rFonts w:eastAsia="Times New Roman"/>
      <w:b/>
    </w:rPr>
  </w:style>
  <w:style w:type="paragraph" w:customStyle="1" w:styleId="Typedudocumentprliminaire">
    <w:name w:val="Type du document (préliminaire)"/>
    <w:basedOn w:val="Normal"/>
    <w:next w:val="Normal"/>
    <w:pPr>
      <w:spacing w:before="360" w:after="0"/>
      <w:jc w:val="center"/>
    </w:pPr>
    <w:rPr>
      <w:rFonts w:eastAsia="Times New Roman"/>
      <w:b/>
    </w:rPr>
  </w:style>
  <w:style w:type="paragraph" w:customStyle="1" w:styleId="Fichefinancirestandardtitre">
    <w:name w:val="Fiche financière (standard) titre"/>
    <w:basedOn w:val="Normal"/>
    <w:next w:val="Normal"/>
    <w:pPr>
      <w:jc w:val="center"/>
    </w:pPr>
    <w:rPr>
      <w:rFonts w:eastAsia="Times New Roman"/>
      <w:b/>
      <w:u w:val="single"/>
    </w:rPr>
  </w:style>
  <w:style w:type="paragraph" w:customStyle="1" w:styleId="Fichefinancirestandardtitreacte">
    <w:name w:val="Fiche financière (standard) titre (acte)"/>
    <w:basedOn w:val="Normal"/>
    <w:next w:val="Normal"/>
    <w:pPr>
      <w:jc w:val="center"/>
    </w:pPr>
    <w:rPr>
      <w:rFonts w:eastAsia="Times New Roman"/>
      <w:b/>
      <w:u w:val="single"/>
    </w:rPr>
  </w:style>
  <w:style w:type="paragraph" w:customStyle="1" w:styleId="Fichefinanciretravailtitre">
    <w:name w:val="Fiche financière (travail) titre"/>
    <w:basedOn w:val="Normal"/>
    <w:next w:val="Normal"/>
    <w:pPr>
      <w:jc w:val="center"/>
    </w:pPr>
    <w:rPr>
      <w:rFonts w:eastAsia="Times New Roman"/>
      <w:b/>
      <w:u w:val="single"/>
    </w:rPr>
  </w:style>
  <w:style w:type="paragraph" w:customStyle="1" w:styleId="Fichefinanciretravailtitreacte">
    <w:name w:val="Fiche financière (travail) titre (acte)"/>
    <w:basedOn w:val="Normal"/>
    <w:next w:val="Normal"/>
    <w:pPr>
      <w:jc w:val="center"/>
    </w:pPr>
    <w:rPr>
      <w:rFonts w:eastAsia="Times New Roman"/>
      <w:b/>
      <w:u w:val="single"/>
    </w:rPr>
  </w:style>
  <w:style w:type="paragraph" w:customStyle="1" w:styleId="Fichefinancireattributiontitre">
    <w:name w:val="Fiche financière (attribution) titre"/>
    <w:basedOn w:val="Normal"/>
    <w:next w:val="Normal"/>
    <w:pPr>
      <w:jc w:val="center"/>
    </w:pPr>
    <w:rPr>
      <w:rFonts w:eastAsia="Times New Roman"/>
      <w:b/>
      <w:u w:val="single"/>
    </w:rPr>
  </w:style>
  <w:style w:type="paragraph" w:customStyle="1" w:styleId="Fichefinancireattributiontitreacte">
    <w:name w:val="Fiche financière (attribution) titre (acte)"/>
    <w:basedOn w:val="Normal"/>
    <w:next w:val="Normal"/>
    <w:pPr>
      <w:jc w:val="center"/>
    </w:pPr>
    <w:rPr>
      <w:rFonts w:eastAsia="Times New Roman"/>
      <w:b/>
      <w:u w:val="single"/>
    </w:rPr>
  </w:style>
  <w:style w:type="character" w:styleId="CommentReference">
    <w:name w:val="annotation reference"/>
    <w:uiPriority w:val="9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BalloonText">
    <w:name w:val="Balloon Text"/>
    <w:basedOn w:val="Normal"/>
    <w:link w:val="BalloonTextChar"/>
    <w:uiPriority w:val="99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  <w:lang w:val="pl-PL" w:eastAsia="pl-PL"/>
    </w:rPr>
  </w:style>
  <w:style w:type="paragraph" w:styleId="Caption">
    <w:name w:val="caption"/>
    <w:basedOn w:val="Normal"/>
    <w:next w:val="Normal"/>
    <w:qFormat/>
    <w:rPr>
      <w:rFonts w:eastAsia="Times New Roman"/>
      <w:b/>
      <w:bCs/>
      <w:sz w:val="20"/>
      <w:szCs w:val="20"/>
    </w:rPr>
  </w:style>
  <w:style w:type="paragraph" w:styleId="TableofFigures">
    <w:name w:val="table of figures"/>
    <w:basedOn w:val="Normal"/>
    <w:next w:val="Normal"/>
    <w:rPr>
      <w:rFonts w:eastAsia="Times New Roman"/>
    </w:rPr>
  </w:style>
  <w:style w:type="character" w:styleId="PageNumber">
    <w:name w:val="page number"/>
  </w:style>
  <w:style w:type="character" w:customStyle="1" w:styleId="tw4winMark">
    <w:name w:val="tw4winMark"/>
    <w:rPr>
      <w:vanish/>
      <w:color w:val="800080"/>
      <w:vertAlign w:val="subscript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rFonts w:eastAsia="Times New Roman"/>
      <w:b/>
    </w:rPr>
  </w:style>
  <w:style w:type="paragraph" w:customStyle="1" w:styleId="Sous-titreobjetPagedecouverture">
    <w:name w:val="Sous-titre objet (Page de couverture)"/>
    <w:basedOn w:val="Sous-titreobjet"/>
  </w:style>
  <w:style w:type="character" w:customStyle="1" w:styleId="TOCHeadingChar">
    <w:name w:val="TOC Heading Char"/>
    <w:uiPriority w:val="39"/>
    <w:rPr>
      <w:rFonts w:ascii="Times New Roman" w:hAnsi="Times New Roman" w:cs="Times New Roman"/>
      <w:b/>
      <w:sz w:val="28"/>
      <w:lang w:val="pl-PL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rFonts w:eastAsia="Calibri"/>
    </w:rPr>
  </w:style>
  <w:style w:type="character" w:customStyle="1" w:styleId="FooterCoverPageChar">
    <w:name w:val="Footer Cover Page Char"/>
    <w:link w:val="FooterCoverPage"/>
    <w:rPr>
      <w:rFonts w:ascii="Times New Roman" w:eastAsia="Calibri" w:hAnsi="Times New Roman" w:cs="Times New Roman"/>
      <w:sz w:val="24"/>
      <w:lang w:val="pl-PL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  <w:rPr>
      <w:rFonts w:eastAsia="Calibri"/>
    </w:rPr>
  </w:style>
  <w:style w:type="character" w:customStyle="1" w:styleId="HeaderCoverPageChar">
    <w:name w:val="Header Cover Page Char"/>
    <w:link w:val="HeaderCoverPage"/>
    <w:rPr>
      <w:rFonts w:ascii="Times New Roman" w:eastAsia="Calibri" w:hAnsi="Times New Roman" w:cs="Times New Roman"/>
      <w:sz w:val="24"/>
      <w:lang w:val="pl-PL" w:eastAsia="pl-PL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59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  <w:lang w:val="pl-PL" w:eastAsia="pl-PL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0">
    <w:name w:val="TableGri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pPr>
      <w:spacing w:before="0" w:after="111" w:line="249" w:lineRule="auto"/>
      <w:ind w:left="720" w:hanging="10"/>
      <w:contextualSpacing/>
    </w:pPr>
    <w:rPr>
      <w:rFonts w:eastAsia="Times New Roman"/>
      <w:color w:val="000000"/>
    </w:rPr>
  </w:style>
  <w:style w:type="paragraph" w:customStyle="1" w:styleId="Default">
    <w:name w:val="Default"/>
    <w:basedOn w:val="Normal"/>
    <w:pPr>
      <w:autoSpaceDE w:val="0"/>
      <w:autoSpaceDN w:val="0"/>
      <w:spacing w:before="0" w:after="0"/>
      <w:jc w:val="left"/>
    </w:pPr>
    <w:rPr>
      <w:rFonts w:ascii="Arial" w:hAnsi="Arial" w:cs="Arial"/>
      <w:color w:val="000000"/>
      <w:szCs w:val="24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7"/>
      </w:numPr>
    </w:pPr>
  </w:style>
  <w:style w:type="paragraph" w:customStyle="1" w:styleId="Tiret1">
    <w:name w:val="Tiret 1"/>
    <w:basedOn w:val="Point1"/>
    <w:pPr>
      <w:numPr>
        <w:numId w:val="18"/>
      </w:numPr>
    </w:pPr>
  </w:style>
  <w:style w:type="paragraph" w:customStyle="1" w:styleId="Tiret2">
    <w:name w:val="Tiret 2"/>
    <w:basedOn w:val="Point2"/>
    <w:pPr>
      <w:numPr>
        <w:numId w:val="19"/>
      </w:numPr>
    </w:pPr>
  </w:style>
  <w:style w:type="paragraph" w:customStyle="1" w:styleId="Tiret3">
    <w:name w:val="Tiret 3"/>
    <w:basedOn w:val="Point3"/>
    <w:pPr>
      <w:numPr>
        <w:numId w:val="20"/>
      </w:numPr>
    </w:pPr>
  </w:style>
  <w:style w:type="paragraph" w:customStyle="1" w:styleId="Tiret4">
    <w:name w:val="Tiret 4"/>
    <w:basedOn w:val="Point4"/>
    <w:pPr>
      <w:numPr>
        <w:numId w:val="2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4"/>
      </w:numPr>
    </w:pPr>
  </w:style>
  <w:style w:type="paragraph" w:customStyle="1" w:styleId="Point1number">
    <w:name w:val="Point 1 (number)"/>
    <w:basedOn w:val="Normal"/>
    <w:pPr>
      <w:numPr>
        <w:ilvl w:val="2"/>
        <w:numId w:val="24"/>
      </w:numPr>
    </w:pPr>
  </w:style>
  <w:style w:type="paragraph" w:customStyle="1" w:styleId="Point2number">
    <w:name w:val="Point 2 (number)"/>
    <w:basedOn w:val="Normal"/>
    <w:pPr>
      <w:numPr>
        <w:ilvl w:val="4"/>
        <w:numId w:val="24"/>
      </w:numPr>
    </w:pPr>
  </w:style>
  <w:style w:type="paragraph" w:customStyle="1" w:styleId="Point3number">
    <w:name w:val="Point 3 (number)"/>
    <w:basedOn w:val="Normal"/>
    <w:pPr>
      <w:numPr>
        <w:ilvl w:val="6"/>
        <w:numId w:val="24"/>
      </w:numPr>
    </w:pPr>
  </w:style>
  <w:style w:type="paragraph" w:customStyle="1" w:styleId="Point0letter">
    <w:name w:val="Point 0 (letter)"/>
    <w:basedOn w:val="Normal"/>
    <w:pPr>
      <w:numPr>
        <w:ilvl w:val="1"/>
        <w:numId w:val="24"/>
      </w:numPr>
    </w:pPr>
  </w:style>
  <w:style w:type="paragraph" w:customStyle="1" w:styleId="Point1letter">
    <w:name w:val="Point 1 (letter)"/>
    <w:basedOn w:val="Normal"/>
    <w:pPr>
      <w:numPr>
        <w:ilvl w:val="3"/>
        <w:numId w:val="24"/>
      </w:numPr>
    </w:pPr>
  </w:style>
  <w:style w:type="paragraph" w:customStyle="1" w:styleId="Point2letter">
    <w:name w:val="Point 2 (letter)"/>
    <w:basedOn w:val="Normal"/>
    <w:pPr>
      <w:numPr>
        <w:ilvl w:val="5"/>
        <w:numId w:val="24"/>
      </w:numPr>
    </w:pPr>
  </w:style>
  <w:style w:type="paragraph" w:customStyle="1" w:styleId="Point3letter">
    <w:name w:val="Point 3 (letter)"/>
    <w:basedOn w:val="Normal"/>
    <w:pPr>
      <w:numPr>
        <w:ilvl w:val="7"/>
        <w:numId w:val="24"/>
      </w:numPr>
    </w:pPr>
  </w:style>
  <w:style w:type="paragraph" w:customStyle="1" w:styleId="Point4letter">
    <w:name w:val="Point 4 (letter)"/>
    <w:basedOn w:val="Normal"/>
    <w:pPr>
      <w:numPr>
        <w:ilvl w:val="8"/>
        <w:numId w:val="24"/>
      </w:numPr>
    </w:pPr>
  </w:style>
  <w:style w:type="paragraph" w:customStyle="1" w:styleId="Bullet0">
    <w:name w:val="Bullet 0"/>
    <w:basedOn w:val="Normal"/>
    <w:pPr>
      <w:numPr>
        <w:numId w:val="25"/>
      </w:numPr>
    </w:pPr>
  </w:style>
  <w:style w:type="paragraph" w:customStyle="1" w:styleId="Bullet1">
    <w:name w:val="Bullet 1"/>
    <w:basedOn w:val="Normal"/>
    <w:pPr>
      <w:numPr>
        <w:numId w:val="26"/>
      </w:numPr>
    </w:pPr>
  </w:style>
  <w:style w:type="paragraph" w:customStyle="1" w:styleId="Bullet2">
    <w:name w:val="Bullet 2"/>
    <w:basedOn w:val="Normal"/>
    <w:pPr>
      <w:numPr>
        <w:numId w:val="27"/>
      </w:numPr>
    </w:pPr>
  </w:style>
  <w:style w:type="paragraph" w:customStyle="1" w:styleId="Bullet3">
    <w:name w:val="Bullet 3"/>
    <w:basedOn w:val="Normal"/>
    <w:pPr>
      <w:numPr>
        <w:numId w:val="28"/>
      </w:numPr>
    </w:pPr>
  </w:style>
  <w:style w:type="paragraph" w:customStyle="1" w:styleId="Bullet4">
    <w:name w:val="Bullet 4"/>
    <w:basedOn w:val="Normal"/>
    <w:pPr>
      <w:numPr>
        <w:numId w:val="2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myintracomm.ec.europa.eu/budgweb/EN/leg/internal/Documents/2016-5-legislative-financial-statement-ann-en.docx" TargetMode="Externa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yperlink" Target="https://myintracomm.ec.europa.eu/budgweb/EN/leg/internal/Documents/2016-5-legislative-financial-statement-ann-en.docx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myintracomm.ec.europa.eu/budgweb/EN/leg/internal/Documents/2016-5-legislative-financial-statement-ann-en.docx" TargetMode="Externa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5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header" Target="header7.xml"/><Relationship Id="rId10" Type="http://schemas.openxmlformats.org/officeDocument/2006/relationships/header" Target="header1.xml"/><Relationship Id="rId19" Type="http://schemas.openxmlformats.org/officeDocument/2006/relationships/hyperlink" Target="https://myintracomm.ec.europa.eu/budgweb/EN/leg/internal/Documents/2016-5-legislative-financial-statement-ann-en.docx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header" Target="header4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myintracomm.ec.europa.eu/budgweb/EN/man/budgmanag/Pages/budgmanag.aspx" TargetMode="External"/><Relationship Id="rId1" Type="http://schemas.openxmlformats.org/officeDocument/2006/relationships/hyperlink" Target="https://myintracomm.ec.europa.eu/budgweb/EN/man/budgmanag/Pages/budgmanag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857E6C8-84BE-42F5-A758-16061C7E7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2</TotalTime>
  <Pages>17</Pages>
  <Words>3397</Words>
  <Characters>22322</Characters>
  <Application>Microsoft Office Word</Application>
  <DocSecurity>0</DocSecurity>
  <Lines>1240</Lines>
  <Paragraphs>408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DIGIT/C6</cp:lastModifiedBy>
  <cp:revision>20</cp:revision>
  <dcterms:created xsi:type="dcterms:W3CDTF">2019-01-30T12:20:00Z</dcterms:created>
  <dcterms:modified xsi:type="dcterms:W3CDTF">2019-01-30T13:55:00Z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6.0.100.0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SJ-023</vt:lpwstr>
  </property>
  <property fmtid="{D5CDD505-2E9C-101B-9397-08002B2CF9AE}" pid="10" name="DQCStatus">
    <vt:lpwstr>Green (DQC version 03)</vt:lpwstr>
  </property>
</Properties>
</file>