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4202EEB-1BF3-4A4C-8567-3D422787FF5C" style="width:450.6pt;height:406.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color w:val="000000"/>
          <w:u w:color="000000"/>
          <w:bdr w:val="nil"/>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In overeenstemming met artikel 5 van het aan het Verdrag betreffende de Europese Unie en het Verdrag tot oprichting van de Europese Gemeenschap gehechte Protocol tot opneming van het Schengenacquis in het kader van de Europese Unie, en artikel 8, lid 2, van Besluit 2000/365/EG van de Raad van 29 mei 2000 betreffende het verzoek van het Verenigd Koninkrijk van Groot-Brittannië en Noord-Ierland deel te mogen nemen aan enkele van de bepalingen van het Schengenacquis</w:t>
      </w:r>
      <w:r>
        <w:rPr>
          <w:rStyle w:val="FootnoteReference"/>
          <w:noProof/>
        </w:rPr>
        <w:footnoteReference w:id="1"/>
      </w:r>
      <w:r>
        <w:rPr>
          <w:noProof/>
        </w:rPr>
        <w:t>, heeft het Verenigd Koninkrijk deelgenomen aan Verordening (EG) nr. 377/2004 van de Raad van 19 februari 2004 betreffende de oprichting van een netwerk van immigratieverbindingsfunctionarissen, zoals gewijzigd bij Verordening (EU) nr. 493/2011 van het Europees Parlement en de Raad van 5 april 2011.</w:t>
      </w:r>
    </w:p>
    <w:p>
      <w:pPr>
        <w:pBdr>
          <w:top w:val="nil"/>
          <w:left w:val="nil"/>
          <w:bottom w:val="nil"/>
          <w:right w:val="nil"/>
          <w:between w:val="nil"/>
          <w:bar w:val="nil"/>
        </w:pBdr>
        <w:spacing w:before="0" w:after="240"/>
        <w:rPr>
          <w:noProof/>
        </w:rPr>
      </w:pPr>
      <w:r>
        <w:rPr>
          <w:noProof/>
        </w:rPr>
        <w:t>Op 16 mei 2018 heeft de Commissie een nieuwe wijziging van Verordening nr. 377/2004 voorgesteld in de vorm van een herschikking</w:t>
      </w:r>
      <w:r>
        <w:rPr>
          <w:rStyle w:val="FootnoteReference"/>
          <w:noProof/>
        </w:rPr>
        <w:footnoteReference w:id="2"/>
      </w:r>
      <w:r>
        <w:rPr>
          <w:noProof/>
        </w:rPr>
        <w:t>. Dit voorstel is op 2 juli 2018 in alle vereiste talen door de Raad ontvangen.</w:t>
      </w:r>
    </w:p>
    <w:p>
      <w:pPr>
        <w:pBdr>
          <w:top w:val="nil"/>
          <w:left w:val="nil"/>
          <w:bottom w:val="nil"/>
          <w:right w:val="nil"/>
          <w:between w:val="nil"/>
          <w:bar w:val="nil"/>
        </w:pBdr>
        <w:spacing w:before="0" w:after="240"/>
        <w:rPr>
          <w:noProof/>
        </w:rPr>
      </w:pPr>
      <w:r>
        <w:rPr>
          <w:noProof/>
        </w:rPr>
        <w:t xml:space="preserve">Overeenkomstig de procedure van artikel 5, lid 2, van het aan het Verdrag betreffende de Europese Unie en het Verdrag betreffende de werking van de Europese Unie gehechte Protocol nr. 19 betreffende het Schengenacquis dat is opgenomen in het kader van de Europese Unie, heeft het Verenigd Koninkrijk de voorzitter van de Raad op 1 oktober 2018 medegedeeld dat het niet wenst deel te nemen aan het herschikkingsvoorstel van 16 mei 2018. Als gevolg hiervan neemt het Verenigd Koninkrijk niet langer deel aan de aanneming van dit voorstel. </w:t>
      </w:r>
    </w:p>
    <w:p>
      <w:pPr>
        <w:pBdr>
          <w:top w:val="nil"/>
          <w:left w:val="nil"/>
          <w:bottom w:val="nil"/>
          <w:right w:val="nil"/>
          <w:between w:val="nil"/>
          <w:bar w:val="nil"/>
        </w:pBdr>
        <w:spacing w:before="0" w:after="240"/>
        <w:rPr>
          <w:noProof/>
        </w:rPr>
      </w:pPr>
      <w:r>
        <w:rPr>
          <w:noProof/>
        </w:rPr>
        <w:t>Omdat het netwerkkarakter van het netwerk van immigratieverbindingsfunctionarissen het voor een lidstaat onmogelijk maakt deel te blijven uitmaken van dat netwerk wanneer de gewijzigde wetgeving tot oprichting van dat netwerk op die lidstaat niet van toepassing is, is een ander gevolg van de bovengenoemde mededeling dat het Verenigd Koninkrijk vanaf de datum van inwerkingtreding van het herschikkingsvoorstel met betrekking tot het netwerk van immigratieverbindingsfunctionarissen niet langer zal deelnemen aan dat netwerk.</w:t>
      </w:r>
    </w:p>
    <w:p>
      <w:pPr>
        <w:pBdr>
          <w:top w:val="nil"/>
          <w:left w:val="nil"/>
          <w:bottom w:val="nil"/>
          <w:right w:val="nil"/>
          <w:between w:val="nil"/>
          <w:bar w:val="nil"/>
        </w:pBdr>
        <w:spacing w:before="0" w:after="240"/>
        <w:rPr>
          <w:noProof/>
        </w:rPr>
      </w:pPr>
      <w:r>
        <w:rPr>
          <w:noProof/>
        </w:rPr>
        <w:t xml:space="preserve">Overeenkomstig artikel 5, lid 3, van Protocol nr. 19 betreffende het Schengenacquis bepaalt de Raad de mate waarin en de voorwaarden waaronder het Verenigd Koninkrijk zal ophouden deel te nemen aan delen van het Schengenacquis waarop de bovengenoemde mededeling betrekking heeft. De Raad neemt een besluit met gekwalificeerde meerderheid van stemmen op voorstel van de Commissie. </w:t>
      </w:r>
    </w:p>
    <w:p>
      <w:pPr>
        <w:pBdr>
          <w:top w:val="nil"/>
          <w:left w:val="nil"/>
          <w:bottom w:val="nil"/>
          <w:right w:val="nil"/>
          <w:between w:val="nil"/>
          <w:bar w:val="nil"/>
        </w:pBdr>
        <w:spacing w:before="0" w:after="240"/>
        <w:rPr>
          <w:noProof/>
        </w:rPr>
      </w:pPr>
      <w:r>
        <w:rPr>
          <w:noProof/>
        </w:rPr>
        <w:t>Het besluit van de Raad krachtens artikel 5, lid 3, van Protocol nr. 19 betreffende het Schengenacquis beantwoordt aan de volgende criteria: de noodzaak om de ruimst mogelijke deelneming van de betrokken lidstaat aan het Schengenacquis te behouden zonder de praktische toepasbaarheid ervan ernstig in het gedrang te brengen en rekening houdend met de samenhang ervan.</w:t>
      </w:r>
    </w:p>
    <w:p>
      <w:pPr>
        <w:pBdr>
          <w:top w:val="nil"/>
          <w:left w:val="nil"/>
          <w:bottom w:val="nil"/>
          <w:right w:val="nil"/>
          <w:between w:val="nil"/>
          <w:bar w:val="nil"/>
        </w:pBdr>
        <w:spacing w:before="0" w:after="240"/>
        <w:rPr>
          <w:noProof/>
        </w:rPr>
      </w:pPr>
      <w:r>
        <w:rPr>
          <w:noProof/>
        </w:rPr>
        <w:t>Het herschikkingsvoorstel van 16 mei 2018 beoogt de coördinatie op te voeren en het gebruik van immigratieverbindingsfunctionarissen, inclusief de nieuwe, in derde landen ingezette Europese verbindingsfunctionarissen, te optimaliseren om beter in te spelen op de prioriteiten van de EU op migratiegebied.</w:t>
      </w:r>
    </w:p>
    <w:p>
      <w:pPr>
        <w:pBdr>
          <w:top w:val="nil"/>
          <w:left w:val="nil"/>
          <w:bottom w:val="nil"/>
          <w:right w:val="nil"/>
          <w:between w:val="nil"/>
          <w:bar w:val="nil"/>
        </w:pBdr>
        <w:spacing w:before="0" w:after="240"/>
        <w:rPr>
          <w:noProof/>
        </w:rPr>
      </w:pPr>
      <w:r>
        <w:rPr>
          <w:noProof/>
        </w:rPr>
        <w:t>Het herschikkingsvoorstel van 16 mei 2018 streeft dezelfde doelstellingen na als Verordening (EG) nr. 377/2004, zoals gewijzigd bij Verordening (EU) nr. 493/2011, door te focussen op betere samenwerking en coördinatie tussen in derde landen gedetacheerde immigratieverbindingsfunctionarissen, met name door middel van de verplichting tot oprichting van plaatselijke of regionale netwerken van immigratieverbindingsfunctionarissen, de bevordering van het gebruik van een speciaal e-instrument voor regelmatige uitwisseling van informatie binnen de plaatselijke netwerken en de invoering van een systeem voor verslaglegging over de activiteiten van de netwerken van immigratieverbindingsfunctionarissen, maar zonder specifieke operationele wisselwerking met andere systemen of rechtsinstrumenten binnen het Schengenacquis toe te staan.</w:t>
      </w:r>
    </w:p>
    <w:p>
      <w:pPr>
        <w:pBdr>
          <w:top w:val="nil"/>
          <w:left w:val="nil"/>
          <w:bottom w:val="nil"/>
          <w:right w:val="nil"/>
          <w:between w:val="nil"/>
          <w:bar w:val="nil"/>
        </w:pBdr>
        <w:spacing w:before="0" w:after="240"/>
        <w:rPr>
          <w:noProof/>
        </w:rPr>
      </w:pPr>
      <w:r>
        <w:rPr>
          <w:noProof/>
        </w:rPr>
        <w:t xml:space="preserve">Uit de aard van het herschikkingsvoorstel van 16 mei 2018 en de bestaande Verordening (EG) nr. 377/2004, zoals gewijzigd bij Verordening (EU) 493/2011, volgt dat zij een op zichzelf staande maatregel binnen het Schengenacquis vormen die niet in operationele wisselwerking staat met andere rechtsinstrumenten die deel uitmaken van het Schengenacquis. </w:t>
      </w:r>
    </w:p>
    <w:p>
      <w:pPr>
        <w:pBdr>
          <w:top w:val="nil"/>
          <w:left w:val="nil"/>
          <w:bottom w:val="nil"/>
          <w:right w:val="nil"/>
          <w:between w:val="nil"/>
          <w:bar w:val="nil"/>
        </w:pBdr>
        <w:spacing w:before="0" w:after="240"/>
        <w:rPr>
          <w:noProof/>
        </w:rPr>
      </w:pPr>
      <w:r>
        <w:rPr>
          <w:noProof/>
        </w:rPr>
        <w:t>In dit zeer uitzonderlijke geval kan er derhalve van worden uitgegaan dat ondanks de beëindiging van de deelneming van het Verenigd Koninkrijk aan Verordening (EG) nr. 377/2004, zoals gewijzigd bij Verordening (EU) nr. 493/2011, de voortdurende deelneming van het Verenigd Koninkrijk aan het resterende deel van het Schengenacquis waaraan het momenteel deelneemt, zorgt voor de ruimst mogelijke deelneming aan dat acquis zonder de praktische toepasbaarheid ervan ernstig in het gedrang te brengen, rekening houdend met de samenhang ervan.</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noProof/>
        </w:rPr>
      </w:pPr>
      <w:r>
        <w:rPr>
          <w:noProof/>
        </w:rPr>
        <w:t xml:space="preserve">Niet van toepassing.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u w:color="000000"/>
          <w:bdr w:val="nil"/>
        </w:rPr>
      </w:pPr>
      <w:r>
        <w:rPr>
          <w:noProof/>
        </w:rPr>
        <w:t>Dit voorstel is gebaseerd op artikel 5, lid 3, van Protocol nr. 19 betreffende het Schengenacquis dat is opgenomen in het kader van de Europese Unie.</w:t>
      </w:r>
    </w:p>
    <w:p>
      <w:pPr>
        <w:pStyle w:val="ManualHeading2"/>
        <w:rPr>
          <w:rFonts w:eastAsia="Arial Unicode MS"/>
          <w:noProof/>
          <w:u w:color="000000"/>
          <w:bdr w:val="nil"/>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noProof/>
        </w:rPr>
      </w:pPr>
      <w:r>
        <w:rPr>
          <w:noProof/>
        </w:rPr>
        <w:t xml:space="preserve">Niet van toepassing. </w:t>
      </w:r>
    </w:p>
    <w:p>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u w:color="000000"/>
          <w:bdr w:val="nil"/>
        </w:rPr>
        <w:t>Evenredigheid</w:t>
      </w:r>
    </w:p>
    <w:p>
      <w:pPr>
        <w:pBdr>
          <w:top w:val="nil"/>
          <w:left w:val="nil"/>
          <w:bottom w:val="nil"/>
          <w:right w:val="nil"/>
          <w:between w:val="nil"/>
          <w:bar w:val="nil"/>
        </w:pBdr>
        <w:spacing w:before="0" w:after="240"/>
        <w:rPr>
          <w:noProof/>
        </w:rPr>
      </w:pPr>
      <w:r>
        <w:rPr>
          <w:noProof/>
        </w:rPr>
        <w:t>Niet van toepassing.</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noProof/>
        </w:rPr>
      </w:pPr>
      <w:r>
        <w:rPr>
          <w:noProof/>
        </w:rPr>
        <w:t>Protocol nr. 19 betreffende het Schengenacquis dat is opgenomen in het kader van de Europese Unie beschrijft de procedures voor de deelneming van het Verenigd Koninkrijk aan maatregelen die voortbouwen op het Schengenacquis.</w:t>
      </w:r>
    </w:p>
    <w:p>
      <w:pPr>
        <w:pBdr>
          <w:top w:val="nil"/>
          <w:left w:val="nil"/>
          <w:bottom w:val="nil"/>
          <w:right w:val="nil"/>
          <w:between w:val="nil"/>
          <w:bar w:val="nil"/>
        </w:pBdr>
        <w:spacing w:before="0" w:after="240"/>
        <w:rPr>
          <w:noProof/>
        </w:rPr>
      </w:pPr>
      <w:r>
        <w:rPr>
          <w:b/>
          <w:noProof/>
        </w:rPr>
        <w:t>3.</w:t>
      </w:r>
      <w:r>
        <w:rPr>
          <w:noProof/>
        </w:rPr>
        <w:tab/>
      </w:r>
      <w:r>
        <w:rPr>
          <w:b/>
          <w:noProof/>
        </w:rPr>
        <w:t>EVALUATIE, RAADPLEGING VAN BELANGHEBBENDEN EN EFFECTBEOORDELING</w:t>
      </w:r>
    </w:p>
    <w:p>
      <w:pPr>
        <w:rPr>
          <w:rFonts w:eastAsia="Arial Unicode MS"/>
          <w:noProof/>
        </w:rPr>
      </w:pPr>
      <w:r>
        <w:rPr>
          <w:noProof/>
        </w:rPr>
        <w:t xml:space="preserve">Gezien de aard en het toepassingsgebied van dit voorstel zijn evaluatie achteraf, raadpleging van belanghebbenden en effectbeoordeling niet nodig. </w:t>
      </w:r>
      <w:r>
        <w:rPr>
          <w:noProof/>
        </w:rPr>
        <w:tab/>
      </w:r>
    </w:p>
    <w:p>
      <w:pPr>
        <w:pStyle w:val="ManualHeading1"/>
        <w:rPr>
          <w:noProof/>
        </w:rPr>
      </w:pPr>
      <w:r>
        <w:rPr>
          <w:noProof/>
        </w:rPr>
        <w:t>4.</w:t>
      </w:r>
      <w:r>
        <w:rPr>
          <w:noProof/>
        </w:rPr>
        <w:tab/>
        <w:t>GEVOLGEN VOOR DE BEGROTING</w:t>
      </w:r>
    </w:p>
    <w:p>
      <w:pPr>
        <w:rPr>
          <w:noProof/>
        </w:rPr>
      </w:pPr>
      <w:r>
        <w:rPr>
          <w:noProof/>
        </w:rPr>
        <w:t>Dit voorstel heeft geen gevolgen voor de begroting.</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2019/0011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de mededeling van het Verenigd Koninkrijk van Groot-Brittannië en Noord-Ierland dat het niet langer wenst deel te nemen aan enkele bepalingen van het Schengenacquis die zijn opgenomen in Verordening (EG) nr. 377/2004 van de Raad van 19 februari 2004 betreffende de oprichting van een netwerk van immigratieverbindingsfunctionarissen</w:t>
      </w:r>
      <w:r>
        <w:rPr>
          <w:noProof/>
        </w:rPr>
        <w:br/>
      </w:r>
    </w:p>
    <w:p>
      <w:pPr>
        <w:pStyle w:val="Institutionquiagit"/>
        <w:rPr>
          <w:noProof/>
        </w:rPr>
      </w:pPr>
      <w:r>
        <w:rPr>
          <w:noProof/>
        </w:rPr>
        <w:t>DE RAAD VAN DE EUROPESE UNIE,</w:t>
      </w:r>
    </w:p>
    <w:p>
      <w:pPr>
        <w:rPr>
          <w:noProof/>
        </w:rPr>
      </w:pPr>
      <w:r>
        <w:rPr>
          <w:noProof/>
        </w:rPr>
        <w:t xml:space="preserve">Gezien het Verdrag betreffende de Europese Unie, </w:t>
      </w:r>
    </w:p>
    <w:p>
      <w:pPr>
        <w:rPr>
          <w:noProof/>
        </w:rPr>
      </w:pPr>
      <w:r>
        <w:rPr>
          <w:noProof/>
        </w:rPr>
        <w:t xml:space="preserve">Gezien het Verdrag betreffende de werking van de Europese Unie, </w:t>
      </w:r>
    </w:p>
    <w:p>
      <w:pPr>
        <w:rPr>
          <w:noProof/>
        </w:rPr>
      </w:pPr>
      <w:r>
        <w:rPr>
          <w:noProof/>
        </w:rPr>
        <w:t>Gezien het voorstel van de Europese Commissie,</w:t>
      </w:r>
    </w:p>
    <w:p>
      <w:pPr>
        <w:rPr>
          <w:noProof/>
        </w:rPr>
      </w:pPr>
      <w:r>
        <w:rPr>
          <w:noProof/>
        </w:rPr>
        <w:t>Gezien het aan het Verdrag betreffende de Europese Unie en het Verdrag betreffende de werking van de Europese Unie gehechte Protocol nr. 19 betreffende het Schengenacquis dat is opgenomen in het kader van de Europese Unie, en met name artikel 5, lid 3,</w:t>
      </w:r>
    </w:p>
    <w:p>
      <w:pPr>
        <w:rPr>
          <w:noProof/>
        </w:rPr>
      </w:pPr>
      <w:r>
        <w:rPr>
          <w:noProof/>
        </w:rPr>
        <w:t>Gezien de door de regering van het Verenigd Koninkrijk van Groot-Brittannië en Noord-Ierland bij brief van 1 oktober 2018 aan de voorzitter van de Raad toegezonden mededeling krachtens artikel 5, lid 2, van Protocol nr. 19 betreffende het Schengenacquis dat is opgenomen in het kader van de Europese Unie, van zijn wens om niet deel te nemen aan het voorstel voor een verordening van het Europees Parlement en de Raad betreffende de oprichting van een Europees netwerk van immigratieverbindingsfunctionarissen,</w:t>
      </w:r>
      <w:r>
        <w:rPr>
          <w:rStyle w:val="FootnoteReference"/>
          <w:noProof/>
        </w:rPr>
        <w:t xml:space="preserve"> </w:t>
      </w:r>
      <w:r>
        <w:rPr>
          <w:rStyle w:val="FootnoteReference"/>
          <w:noProof/>
        </w:rPr>
        <w:footnoteReference w:id="3"/>
      </w:r>
    </w:p>
    <w:p>
      <w:pPr>
        <w:rPr>
          <w:noProof/>
        </w:rPr>
      </w:pPr>
      <w:r>
        <w:rPr>
          <w:noProof/>
        </w:rPr>
        <w:t>Overwegende hetgeen volgt:</w:t>
      </w:r>
    </w:p>
    <w:p>
      <w:pPr>
        <w:pStyle w:val="ManualConsidrant"/>
        <w:rPr>
          <w:noProof/>
        </w:rPr>
      </w:pPr>
      <w:r>
        <w:t>(1)</w:t>
      </w:r>
      <w:r>
        <w:tab/>
      </w:r>
      <w:r>
        <w:rPr>
          <w:noProof/>
        </w:rPr>
        <w:t>Het Verenigd Koninkrijk heeft deelgenomen aan Verordening (EG) nr. 377/2004 van de Raad</w:t>
      </w:r>
      <w:r>
        <w:rPr>
          <w:rStyle w:val="FootnoteReference"/>
          <w:noProof/>
        </w:rPr>
        <w:footnoteReference w:id="4"/>
      </w:r>
      <w:r>
        <w:rPr>
          <w:noProof/>
        </w:rPr>
        <w:t>, zoals gewijzigd bij Verordening (EU) nr. 493/2011 van het Europees Parlement en de Raad van 5 april 2011</w:t>
      </w:r>
      <w:r>
        <w:rPr>
          <w:rStyle w:val="FootnoteReference"/>
          <w:noProof/>
        </w:rPr>
        <w:footnoteReference w:id="5"/>
      </w:r>
      <w:r>
        <w:rPr>
          <w:noProof/>
        </w:rPr>
        <w:t>.</w:t>
      </w:r>
    </w:p>
    <w:p>
      <w:pPr>
        <w:pStyle w:val="ManualConsidrant"/>
        <w:rPr>
          <w:noProof/>
        </w:rPr>
      </w:pPr>
      <w:r>
        <w:t>(2)</w:t>
      </w:r>
      <w:r>
        <w:tab/>
      </w:r>
      <w:r>
        <w:rPr>
          <w:noProof/>
        </w:rPr>
        <w:t>Op 1 oktober 2018, binnen de voorgeschreven termijn van drie maanden, heeft het Verenigd Koninkrijk de voorzitter van de Raad in kennis gesteld van zijn wens om niet deel te nemen aan de vaststelling van de herschikking van de verordening inzake de oprichting van een Europees netwerk van immigratieverbindingsfunctionarissen, die op 16 mei 2018 door de Commissie is voorgesteld en op 2 juli 2018 in alle vereiste talen door de Raad is ontvangen.</w:t>
      </w:r>
    </w:p>
    <w:p>
      <w:pPr>
        <w:pStyle w:val="ManualConsidrant"/>
        <w:rPr>
          <w:noProof/>
        </w:rPr>
      </w:pPr>
      <w:r>
        <w:t>(3)</w:t>
      </w:r>
      <w:r>
        <w:tab/>
      </w:r>
      <w:r>
        <w:rPr>
          <w:noProof/>
        </w:rPr>
        <w:t>Verordening (EG) nr. 377/2004 beoogt de samenwerking tussen in derde landen gedetacheerde immigratieverbindingsfunctionarissen te verbeteren, met name door de verplichting in te voeren om plaatselijke of regionale netwerken van immigratieverbindingsfunctionarissen te vormen, het gebruik van een speciaal e-instrument voor regelmatige uitwisseling van informatie binnen de plaatselijke netwerken te bevorderen en een systeem voor verslaglegging over de activiteiten van de netwerken van immigratieverbindingsfunctionarissen in de vorm van halfjaarlijkse verslagen van het voorzitterschap in te voeren, zonder het gebruik van operationele systemen te vereisen en zonder dat sprake is van directe wisselwerking met wettelijke bepalingen die zijn opgenomen in andere rechtsinstrumenten die deel uitmaken van het Schengenacquis.</w:t>
      </w:r>
    </w:p>
    <w:p>
      <w:pPr>
        <w:pStyle w:val="ManualConsidrant"/>
        <w:rPr>
          <w:noProof/>
        </w:rPr>
      </w:pPr>
      <w:r>
        <w:t>(4)</w:t>
      </w:r>
      <w:r>
        <w:tab/>
      </w:r>
      <w:r>
        <w:rPr>
          <w:noProof/>
        </w:rPr>
        <w:t>Het voorstel van 16 mei 2018 tot herschikking van de verordening betreffende de oprichting van een Europees netwerk van immigratieverbindingsfunctionarissen beoogt de coördinatie te verbeteren en het gebruik van immigratieverbindingsfunctionarissen, inclusief de nieuwe, in derde landen ingezette Europese verbindingsfunctionarissen, te optimaliseren om doeltreffender in te spelen op de prioriteiten van de EU op het gebied van migratie, maar wijkt niet af van de aard van de huidige Verordening (EG) nr. 377/2004, zoals gewijzigd bij Verordening (EU) nr. 493/2011, wat betreft de concrete wisselwerking ervan met de andere delen van het Schengenacquis.</w:t>
      </w:r>
    </w:p>
    <w:p>
      <w:pPr>
        <w:pStyle w:val="ManualConsidrant"/>
        <w:rPr>
          <w:noProof/>
        </w:rPr>
      </w:pPr>
      <w:r>
        <w:t>(5)</w:t>
      </w:r>
      <w:r>
        <w:tab/>
      </w:r>
      <w:r>
        <w:rPr>
          <w:noProof/>
        </w:rPr>
        <w:t>Het voorstel tot herschikking van de verordening betreffende de oprichting van een Europees netwerk van immigratieverbindingsfunctionarissen kan dus, net als Verordening (EG) nr. 377/2004, zoals gewijzigd bij Verordening (EU) 493/2011, worden beschouwd als een op zichzelf staande maatregel binnen het Schengenacquis die niet in operationele wisselwerking staat met andere rechtsinstrumenten die deel uitmaken van het Schengenacquis.</w:t>
      </w:r>
    </w:p>
    <w:p>
      <w:pPr>
        <w:pStyle w:val="ManualConsidrant"/>
        <w:rPr>
          <w:noProof/>
        </w:rPr>
      </w:pPr>
      <w:r>
        <w:t>(6)</w:t>
      </w:r>
      <w:r>
        <w:tab/>
      </w:r>
      <w:r>
        <w:rPr>
          <w:noProof/>
        </w:rPr>
        <w:t>In dit uitzonderlijke geval en gezien het op zichzelf staande karakter binnen het Schengenacquis van Verordening nr. 377/2004, zoals gewijzigd bij Verordening (EU) nr. 493/2011, kan ervan worden uitgegaan dat, als het Verenigd Koninkrijk niet langer deelneemt aan die verordening of alle verdere wijzigingen daarvan, maar wel blijft deelnemen aan het resterende deel van het Schengenacquis waaraan het momenteel overeenkomstig Besluit 2000/365/EG van de Raad</w:t>
      </w:r>
      <w:r>
        <w:rPr>
          <w:rStyle w:val="FootnoteReference"/>
          <w:noProof/>
        </w:rPr>
        <w:footnoteReference w:id="6"/>
      </w:r>
      <w:r>
        <w:rPr>
          <w:noProof/>
        </w:rPr>
        <w:t xml:space="preserve"> deelneemt, dit zou zorgen voor de ruimst mogelijke deelneming van het Verenigd Koninkrijk zonder de praktische toepasbaarheid van de andere onderdelen van het Schengenacquis ernstig in het gedrang te brengen en rekening houdend met de samenhang daarvan.</w:t>
      </w:r>
    </w:p>
    <w:p>
      <w:pPr>
        <w:pStyle w:val="ManualConsidrant"/>
        <w:rPr>
          <w:noProof/>
        </w:rPr>
      </w:pPr>
      <w:r>
        <w:t>(7)</w:t>
      </w:r>
      <w:r>
        <w:tab/>
      </w:r>
      <w:r>
        <w:rPr>
          <w:noProof/>
        </w:rPr>
        <w:t xml:space="preserve">Artikel 8, lid 2, van Besluit 2000/365/EG moet derhalve, in overeenstemming met artikel 5, lid 3, van Protocol nr. 19 betreffende het Schengenacquis dat is opgenomen in het kader van de Europese Unie en met ingang van de inwerkingtreding van de voorgestelde herschikking van Verordening (EG) nr. 377/2004, niet langer van toepassing zijn op het Verenigd Koninkrijk van Groot-Brittannië en Noord-Ierland wat betreft Verordening (EG) nr. 377/2004, zoals gewijzigd bij Verordening (EU) nr. 493/2011, en alle verdere wijzigingen daarvan, inclusief het voorstel tot herschikking van Verordening (EG) nr. 377/2004. </w:t>
      </w:r>
    </w:p>
    <w:p>
      <w:pPr>
        <w:pStyle w:val="ManualConsidrant"/>
        <w:rPr>
          <w:noProof/>
        </w:rPr>
      </w:pPr>
      <w:r>
        <w:t>(8)</w:t>
      </w:r>
      <w:r>
        <w:tab/>
      </w:r>
      <w:r>
        <w:rPr>
          <w:noProof/>
        </w:rPr>
        <w:t>Als gevolg hiervan moet overeenkomstig artikel 5, lid 3, van dat protocol ook punt 6 van bijlage I bij Besluit 2004/926/EG</w:t>
      </w:r>
      <w:r>
        <w:rPr>
          <w:rStyle w:val="FootnoteReference"/>
          <w:noProof/>
        </w:rPr>
        <w:footnoteReference w:id="7"/>
      </w:r>
      <w:r>
        <w:rPr>
          <w:noProof/>
        </w:rPr>
        <w:t xml:space="preserve"> voor wat betreft Verordening (EG) nr. 377/2004 niet langer van toepassing zijn vanaf de datum van inwerkingtreding van de voorgestelde herschikking,</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Besluit 2000/365/EG en punt 6 van bijlage I bij Besluit 2004/926/EG zijn niet langer van toepassing op het Verenigd Koninkrijk van Groot-Brittannië en Noord-Ierland wat betreft Verordening (EG) nr. 377/2004 van de Raad betreffende de oprichting van een netwerk van immigratieverbindingsfunctionarissen, zoals gewijzigd bij Verordening (EU) nr. 493/2011, en alle verdere wijzigingen daarvan, vanaf de dag van inwerkingtreding van de voorgestelde herschikking van de verordening van het Europees Parlement en de Raad betreffende de oprichting van een Europees netwerk van immigratieverbindingsfunctionarissen.</w:t>
      </w:r>
    </w:p>
    <w:p>
      <w:pPr>
        <w:pStyle w:val="Titrearticle"/>
        <w:rPr>
          <w:noProof/>
        </w:rPr>
      </w:pPr>
      <w:r>
        <w:rPr>
          <w:noProof/>
        </w:rPr>
        <w:t>Artikel 2</w:t>
      </w:r>
    </w:p>
    <w:p>
      <w:pPr>
        <w:keepLines/>
        <w:rPr>
          <w:noProof/>
        </w:rPr>
      </w:pPr>
      <w:r>
        <w:rPr>
          <w:noProof/>
        </w:rPr>
        <w:t xml:space="preserve">Dit besluit treedt in werking op de dag na die van de bekendmaking ervan in het </w:t>
      </w:r>
      <w:r>
        <w:rPr>
          <w:i/>
          <w:noProof/>
        </w:rPr>
        <w:t>Publicatieblad van de Europese Unie</w:t>
      </w:r>
      <w:r>
        <w:rPr>
          <w:noProof/>
        </w:rPr>
        <w: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131 van 1.6.2000, blz. 43.</w:t>
      </w:r>
    </w:p>
  </w:footnote>
  <w:footnote w:id="2">
    <w:p>
      <w:pPr>
        <w:pStyle w:val="FootnoteText"/>
      </w:pPr>
      <w:r>
        <w:rPr>
          <w:rStyle w:val="FootnoteReference"/>
        </w:rPr>
        <w:footnoteRef/>
      </w:r>
      <w:r>
        <w:tab/>
        <w:t>Voorstel voor een verordening van het Europees Parlement en de Raad betreffende de oprichting van een Europees netwerk van immigratieverbindingsfunctionarissen (herschikking)*, COM(2018) 303 final.</w:t>
      </w:r>
    </w:p>
  </w:footnote>
  <w:footnote w:id="3">
    <w:p>
      <w:pPr>
        <w:pStyle w:val="FootnoteText"/>
      </w:pPr>
      <w:r>
        <w:rPr>
          <w:rStyle w:val="FootnoteReference"/>
        </w:rPr>
        <w:footnoteRef/>
      </w:r>
      <w:r>
        <w:tab/>
        <w:t>COM(2018) 303 final.</w:t>
      </w:r>
    </w:p>
  </w:footnote>
  <w:footnote w:id="4">
    <w:p>
      <w:pPr>
        <w:pStyle w:val="FootnoteText"/>
      </w:pPr>
      <w:r>
        <w:rPr>
          <w:rStyle w:val="FootnoteReference"/>
        </w:rPr>
        <w:footnoteRef/>
      </w:r>
      <w:r>
        <w:tab/>
        <w:t>Verordening (EG) nr. 377/2004 van de Raad van 19 februari 2004 betreffende de oprichting van een netwerk van immigratieverbindingsfunctionarissen (PB L 64 van 2.3.2004, blz. 1).</w:t>
      </w:r>
    </w:p>
  </w:footnote>
  <w:footnote w:id="5">
    <w:p>
      <w:pPr>
        <w:pStyle w:val="FootnoteText"/>
      </w:pPr>
      <w:r>
        <w:rPr>
          <w:rStyle w:val="FootnoteReference"/>
        </w:rPr>
        <w:footnoteRef/>
      </w:r>
      <w:r>
        <w:tab/>
        <w:t>Verordening (EU) nr. 493/2011 van het Europees Parlement en de Raad van 5 april 2011 tot wijziging van Verordening (EG) nr. 377/2004 van de Raad van 19 februari 2004 betreffende de oprichting van een netwerk van immigratieverbindingsfunctionarissen (PB L 141 van 27.5.2011, blz. 13).</w:t>
      </w:r>
    </w:p>
  </w:footnote>
  <w:footnote w:id="6">
    <w:p>
      <w:pPr>
        <w:pStyle w:val="FootnoteText"/>
        <w:rPr>
          <w:lang w:val="sk-SK"/>
        </w:rPr>
      </w:pPr>
      <w:r>
        <w:rPr>
          <w:rStyle w:val="FootnoteReference"/>
        </w:rPr>
        <w:footnoteRef/>
      </w:r>
      <w:r>
        <w:tab/>
        <w:t>Besluit 2000/365/EG van de Raad van 29 mei 2000 betreffende het verzoek van het Verenigd Koninkrijk van Groot-Brittannië en Noord-Ierland deel te mogen nemen aan enkele van de bepalingen van het Schengenacquis (PB L 131 van 1.6.2000, blz. 43).</w:t>
      </w:r>
    </w:p>
  </w:footnote>
  <w:footnote w:id="7">
    <w:p>
      <w:pPr>
        <w:pStyle w:val="FootnoteText"/>
      </w:pPr>
      <w:r>
        <w:rPr>
          <w:rStyle w:val="FootnoteReference"/>
        </w:rPr>
        <w:footnoteRef/>
      </w:r>
      <w:r>
        <w:tab/>
        <w:t>Besluit 2004/926/EG van de Raad van 22 december 2004 betreffende de toepassing door het Verenigd Koninkrijk van Groot-Brittannië en Noord-Ierland van de bepalingen van het Schengenacquis (PB L 395 van 31.12.2004, blz.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3CB9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28A4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2DE1E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0ECB7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841F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0674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8D4E7C4"/>
    <w:lvl w:ilvl="0">
      <w:start w:val="1"/>
      <w:numFmt w:val="decimal"/>
      <w:pStyle w:val="ListNumber"/>
      <w:lvlText w:val="%1."/>
      <w:lvlJc w:val="left"/>
      <w:pPr>
        <w:tabs>
          <w:tab w:val="num" w:pos="360"/>
        </w:tabs>
        <w:ind w:left="360" w:hanging="360"/>
      </w:pPr>
    </w:lvl>
  </w:abstractNum>
  <w:abstractNum w:abstractNumId="7">
    <w:nsid w:val="FFFFFF89"/>
    <w:multiLevelType w:val="singleLevel"/>
    <w:tmpl w:val="B7326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ETTE Anne (HOME)">
    <w15:presenceInfo w15:providerId="None" w15:userId="BARETTE Anne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1:14: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4202EEB-1BF3-4A4C-8567-3D422787FF5C"/>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11"/>
    <w:docVar w:name="LW_REF.II.NEW.CP_YEAR" w:val="2019"/>
    <w:docVar w:name="LW_REF.INST.NEW" w:val="COM"/>
    <w:docVar w:name="LW_REF.INST.NEW_ADOPTED" w:val="final"/>
    <w:docVar w:name="LW_REF.INST.NEW_TEXT" w:val="(2019) 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mededeling van het Verenigd Koninkrijk van Groot-Brittannië en Noord-Ierland dat het niet langer wenst deel te nemen aan enkele bepalingen van het Schengenacquis die zijn opgenomen in Verordening (EG) nr. 377/2004 van de Raad van 19 februari 2004 betreffende de oprichting van een netwerk van immigratieverbindingsfunctionarissen_x000b_"/>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6489">
      <w:bodyDiv w:val="1"/>
      <w:marLeft w:val="0"/>
      <w:marRight w:val="0"/>
      <w:marTop w:val="0"/>
      <w:marBottom w:val="0"/>
      <w:divBdr>
        <w:top w:val="none" w:sz="0" w:space="0" w:color="auto"/>
        <w:left w:val="none" w:sz="0" w:space="0" w:color="auto"/>
        <w:bottom w:val="none" w:sz="0" w:space="0" w:color="auto"/>
        <w:right w:val="none" w:sz="0" w:space="0" w:color="auto"/>
      </w:divBdr>
    </w:div>
    <w:div w:id="1993946932">
      <w:bodyDiv w:val="1"/>
      <w:marLeft w:val="0"/>
      <w:marRight w:val="0"/>
      <w:marTop w:val="0"/>
      <w:marBottom w:val="0"/>
      <w:divBdr>
        <w:top w:val="none" w:sz="0" w:space="0" w:color="auto"/>
        <w:left w:val="none" w:sz="0" w:space="0" w:color="auto"/>
        <w:bottom w:val="none" w:sz="0" w:space="0" w:color="auto"/>
        <w:right w:val="none" w:sz="0" w:space="0" w:color="auto"/>
      </w:divBdr>
      <w:divsChild>
        <w:div w:id="500394591">
          <w:marLeft w:val="0"/>
          <w:marRight w:val="0"/>
          <w:marTop w:val="0"/>
          <w:marBottom w:val="0"/>
          <w:divBdr>
            <w:top w:val="none" w:sz="0" w:space="0" w:color="auto"/>
            <w:left w:val="none" w:sz="0" w:space="0" w:color="auto"/>
            <w:bottom w:val="none" w:sz="0" w:space="0" w:color="auto"/>
            <w:right w:val="none" w:sz="0" w:space="0" w:color="auto"/>
          </w:divBdr>
        </w:div>
        <w:div w:id="158487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CC74-E239-446C-B0C2-75C6CC48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1773</Words>
  <Characters>10500</Characters>
  <Application>Microsoft Office Word</Application>
  <DocSecurity>0</DocSecurity>
  <Lines>181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2018-10-24T15:44:00Z</cp:lastPrinted>
  <dcterms:created xsi:type="dcterms:W3CDTF">2019-01-25T16:32:00Z</dcterms:created>
  <dcterms:modified xsi:type="dcterms:W3CDTF">2019-01-28T10:14:00Z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