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603C6EAD-50C1-4334-84FA-0AE591A9D335" style="width:450.75pt;height:321pt">
            <v:imagedata r:id="rId9" o:title=""/>
          </v:shape>
        </w:pict>
      </w:r>
    </w:p>
    <w:bookmarkEnd w:id="0"/>
    <w:p>
      <w:pPr>
        <w:spacing w:after="120" w:line="276" w:lineRule="auto"/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after="120" w:line="276" w:lineRule="auto"/>
        <w:mirrorIndents/>
        <w:rPr>
          <w:rFonts w:cstheme="minorHAnsi"/>
          <w:b/>
          <w:noProof/>
          <w:u w:val="single"/>
        </w:rPr>
      </w:pPr>
      <w:bookmarkStart w:id="1" w:name="_GoBack"/>
      <w:bookmarkEnd w:id="1"/>
      <w:r>
        <w:rPr>
          <w:rFonts w:cstheme="minorHAnsi"/>
          <w:b/>
          <w:noProof/>
          <w:u w:val="single"/>
        </w:rPr>
        <w:lastRenderedPageBreak/>
        <w:t>ZOBOWIĄZANIA GLOBALNE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Unia Europejska (UE) promuje zintegrowane podejście, w ramach którego łączy się wszystkie dostępne instrumenty z UE i jej państw członkowskich, aby dążyć do zapewnienia większego pokoju i dobrobytu na świecie. W 2017 r. Europa i cały świat nadal musiały stawiać czoła znaczącym wyzwaniom. UE reagowała kompleksowo, wykorzystując cały szeroki wachlarz swoich polityk i narzędzi, takich jak działania dyplomatyczne i rozwojowe, działania w zakresie bezpieczeństwa, finansów i handlu oraz pomoc humanitarna. Wprowadzone środki reagowania na sytuacje kryzysowe obejmowały wsparcie w przypadku wszystkich trwających na całym świecie poważnych kryzysów, w tym działania w dziesięciu „najmniej bezpiecznych” państwach</w:t>
      </w:r>
      <w:r>
        <w:rPr>
          <w:rFonts w:cstheme="minorHAnsi"/>
          <w:noProof/>
          <w:vertAlign w:val="superscript"/>
        </w:rPr>
        <w:footnoteReference w:id="1"/>
      </w:r>
      <w:r>
        <w:rPr>
          <w:noProof/>
        </w:rPr>
        <w:t>.</w:t>
      </w:r>
    </w:p>
    <w:p>
      <w:pPr>
        <w:spacing w:after="120" w:line="276" w:lineRule="auto"/>
        <w:jc w:val="both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Silniejsza pozycja UE na arenie międzynarodowej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 xml:space="preserve">W 2017 r. rozpoczęto pełne wdrażanie </w:t>
      </w:r>
      <w:bookmarkStart w:id="2" w:name="_Hlk515464105"/>
      <w:r>
        <w:rPr>
          <w:noProof/>
        </w:rPr>
        <w:t xml:space="preserve">globalnej strategii </w:t>
      </w:r>
      <w:bookmarkEnd w:id="2"/>
      <w:r>
        <w:rPr>
          <w:noProof/>
        </w:rPr>
        <w:t>na rzecz polityki zagranicznej i bezpieczeństwa Unii Europejskiej</w:t>
      </w:r>
      <w:r>
        <w:rPr>
          <w:rStyle w:val="FootnoteReference"/>
          <w:rFonts w:cstheme="minorHAnsi"/>
          <w:noProof/>
        </w:rPr>
        <w:footnoteReference w:id="2"/>
      </w:r>
      <w:r>
        <w:rPr>
          <w:noProof/>
        </w:rPr>
        <w:t xml:space="preserve">. W globalnej strategii UE określono podstawowe interesy UE oraz zasady podejmowania działań i przedstawiono w niej wizję bardziej wiarygodniej, odpowiedzialnej i otwartej UE na arenie światowej. 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UE nadal starała się zaradzić istniejącym wysokim poziomom podatności na zagrożenia wynikającym z kryzysu humanitarnego, suszy i braku bezpieczeństwa, finansując działania na kwotę ponad 2,2 mld EUR w ponad 90 państwach niebędących członkiem UE. UE i jej państwa członkowskie pozostają największym darczyńcą pomocy humanitarnej na świecie.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UE i jej państwa członkowskie są największym darczyńcą oficjalnej pomocy rozwojowej (ODA) – ich wkład stanowi ponad połowę ODA na świecie. W 2017 r. sama Komisja Europejska przekazała na rzecz ODA 13,34 mld EUR.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 xml:space="preserve">Wdrażanie globalnej strategii UE w zakresie bezpieczeństwa i ochrony przebiegało sprawnie i merytorycznie, a prace dotyczyły </w:t>
      </w:r>
      <w:bookmarkStart w:id="3" w:name="_Hlk515464137"/>
      <w:r>
        <w:rPr>
          <w:noProof/>
        </w:rPr>
        <w:t>skoordynowanego rocznego przeglądu w zakresie obronności (CARD)</w:t>
      </w:r>
      <w:bookmarkEnd w:id="3"/>
      <w:r>
        <w:rPr>
          <w:rStyle w:val="FootnoteReference"/>
          <w:rFonts w:cstheme="minorHAnsi"/>
          <w:noProof/>
        </w:rPr>
        <w:footnoteReference w:id="3"/>
      </w:r>
      <w:r>
        <w:rPr>
          <w:noProof/>
        </w:rPr>
        <w:t xml:space="preserve">, ustanowienia </w:t>
      </w:r>
      <w:bookmarkStart w:id="4" w:name="_Hlk515464173"/>
      <w:r>
        <w:rPr>
          <w:noProof/>
        </w:rPr>
        <w:t>Komórki Planowania i Prowadzenia Operacji Wojskowych (MPCC)</w:t>
      </w:r>
      <w:bookmarkEnd w:id="4"/>
      <w:r>
        <w:rPr>
          <w:rStyle w:val="FootnoteReference"/>
          <w:rFonts w:cstheme="minorHAnsi"/>
          <w:noProof/>
        </w:rPr>
        <w:footnoteReference w:id="4"/>
      </w:r>
      <w:r>
        <w:rPr>
          <w:noProof/>
        </w:rPr>
        <w:t>, wdrożenia europejskiego planu działań w sektorze obrony i wspólnej deklaracji UE-NATO oraz porozumienia w sprawie stałej współpracy strukturalnej (PESCO)</w:t>
      </w:r>
      <w:r>
        <w:rPr>
          <w:rFonts w:cstheme="minorHAnsi"/>
          <w:noProof/>
          <w:vertAlign w:val="superscript"/>
        </w:rPr>
        <w:footnoteReference w:id="5"/>
      </w:r>
      <w:r>
        <w:rPr>
          <w:noProof/>
        </w:rPr>
        <w:t>.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W globalnej strategii UE w zakresie bezpieczeństwa i ochrony uznano znaczenie międzynarodowego systemu opartego na multilateralizmie. UE i Organizacja Narodów Zjednoczonych (ONZ) są nieodzownymi partnerami w zapewnianiu pokoju i bezpieczeństwa. Przełomowa współpraca w ramach wspólnej trójstronnej Unii Afrykańskiej (UA)-UE-ONZ dotycząca Libii i migracji ma na celu utorowanie drogi do zacieśnionej współpracy w ramach szerszego programu na rzecz pokoju i bezpieczeństwa. Wsparcie udzielone połączonym siłom Grupy Pięciu na rzecz Sahelu również świadczy o znaczeniu inwestowania w partnerstwa w dziedzinie bezpieczeństwa na poziomie globalnym i regionalnym.</w:t>
      </w:r>
    </w:p>
    <w:p>
      <w:pPr>
        <w:spacing w:after="120" w:line="276" w:lineRule="auto"/>
        <w:jc w:val="both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Europejski konsensus w sprawie rozwoju, w ramach którego wdraża się Agendę na rzecz zrównoważonego rozwoju 2030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W czerwcu 2017 r. prezydencja maltańska podpisała we wspólnym oświadczeniu nowy Europejski konsensus w sprawie rozwoju</w:t>
      </w:r>
      <w:r>
        <w:rPr>
          <w:rStyle w:val="FootnoteReference"/>
          <w:rFonts w:cstheme="minorHAnsi"/>
          <w:noProof/>
        </w:rPr>
        <w:footnoteReference w:id="6"/>
      </w:r>
      <w:r>
        <w:rPr>
          <w:noProof/>
        </w:rPr>
        <w:t xml:space="preserve"> w imieniu Rady i państw członkowskich, Parlamentu, Komisji i Wysokiej Przedstawiciel Unii do Spraw Zagranicznych i Polityki Bezpieczeństwa. Nowy konsensus stanowi odpowiedź UE na globalne tendencje i wyzwania dotyczące współpracy międzynarodowej i rozwoju, dzięki której dostosowano działania zewnętrzne UE do Agendy na rzecz zrównoważonego rozwoju 2030 i unijnych </w:t>
      </w:r>
      <w:bookmarkStart w:id="5" w:name="_Hlk515465899"/>
      <w:r>
        <w:rPr>
          <w:noProof/>
        </w:rPr>
        <w:t>celów zrównoważonego rozwoju</w:t>
      </w:r>
      <w:bookmarkEnd w:id="5"/>
      <w:r>
        <w:rPr>
          <w:noProof/>
        </w:rPr>
        <w:t>.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 xml:space="preserve">Konsensus, zbudowany wokół pięciu elementów agendy na rzecz zrównoważonego rozwoju 2030 (ludzie, planeta, dobrobyt, pokój i partnerstwo), przedstawia zrównoważone i zintegrowane podejście do gospodarczego, społecznego i środowiskowego wymiaru zrównoważonego rozwoju. </w:t>
      </w:r>
    </w:p>
    <w:p>
      <w:pPr>
        <w:spacing w:after="120" w:line="276" w:lineRule="auto"/>
        <w:jc w:val="both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Plan inwestycji zewnętrznych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W 2017 r., po wejściu w życie we wrześniu rozporządzenia w sprawie Europejskiego Funduszu na rzecz Zrównoważonego Rozwoju (EFZR) rozpoczęto wdrażanie ambitnego unijnego Planu inwestycji zagranicznych</w:t>
      </w:r>
      <w:r>
        <w:rPr>
          <w:rStyle w:val="FootnoteReference"/>
          <w:rFonts w:cstheme="minorHAnsi"/>
          <w:noProof/>
        </w:rPr>
        <w:footnoteReference w:id="7"/>
      </w:r>
      <w:r>
        <w:rPr>
          <w:noProof/>
        </w:rPr>
        <w:t xml:space="preserve">. Przy udziale 4,1 mld EUR (2,6 mld EUR na łączenie i 1,5 mld EUR na gwarancje) plan ten ma na celu zmobilizowanie inwestycji na łączną kwotę 44 mld EUR w Afryce i krajach objętych unijną polityką sąsiedztwa w ramach pięciu „okien inwestycyjnych” obejmujących następujące obszary: zrównoważona energia i łączność; finansowanie mikroprzedsiębiorstw oraz małych i średnich przedsiębiorstw (MMŚP); rolnictwo zrównoważone, przedsiębiorcy wiejscy i przemysł rolny; zrównoważony rozwój miast; cyfryzacja na rzecz rozwoju. 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Przyjęcie Planu inwestycji zagranicznych stało się przełomowym momentem w unijnych działaniach zewnętrznych dzięki przyspieszeniu zaangażowania sektora prywatnego w osiąganie wyników w kontekście szerszych celów globalnej polityki.</w:t>
      </w:r>
    </w:p>
    <w:p>
      <w:pPr>
        <w:spacing w:after="120" w:line="276" w:lineRule="auto"/>
        <w:jc w:val="both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Lepsza współpraca z państwami członkowskimi UE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 xml:space="preserve">W Europejskim konsensusie w sprawie rozwoju najważniejszym elementem wysiłków podejmowanych przez UE na rzecz osiągnięcia lepszej współpracy z państwami członkowskimi w zakresie wdrażania Agendy na rzecz zrównoważonego rozwoju 2030 jest wspólne programowanie. Dzięki łączeniu zasobów i zdolności wspólne programowanie zwiększa wspólny wpływ i widoczność europejskiej współpracy na rzecz rozwoju oraz działań zewnętrznych. 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W maju 2017 r. w niezależnej ocenie unijnych procesów wspólnego programowania</w:t>
      </w:r>
      <w:r>
        <w:rPr>
          <w:rFonts w:cstheme="minorHAnsi"/>
          <w:noProof/>
          <w:vertAlign w:val="superscript"/>
        </w:rPr>
        <w:footnoteReference w:id="8"/>
      </w:r>
      <w:r>
        <w:rPr>
          <w:noProof/>
        </w:rPr>
        <w:t xml:space="preserve"> stwierdzono, że w wyniku tego działania osiągnięto lepszą koordynację między UE, państwami członkowskimi i innymi partnerami na rzecz rozwoju, oraz wzmocniono głos UE i państw członkowskich oraz wykorzystanie dźwigni finansowej na szczeblu krajowym. 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Pod koniec 2017 r. istniały 23 dokumenty dotyczące wspólnego programowania, z których siedem wykonano w ciągu tego roku. Proces wspólnego programowania przeprowadzano w dodatkowych 36 krajach partnerskich.</w:t>
      </w:r>
    </w:p>
    <w:p>
      <w:pPr>
        <w:spacing w:after="120" w:line="276" w:lineRule="auto"/>
        <w:jc w:val="both"/>
        <w:rPr>
          <w:rFonts w:cstheme="minorHAnsi"/>
          <w:b/>
          <w:noProof/>
        </w:rPr>
      </w:pPr>
      <w:r>
        <w:rPr>
          <w:rFonts w:cstheme="minorHAnsi"/>
          <w:b/>
          <w:noProof/>
        </w:rPr>
        <w:t xml:space="preserve">Spójność polityki na rzecz rozwoju </w:t>
      </w:r>
    </w:p>
    <w:p>
      <w:pPr>
        <w:spacing w:after="120" w:line="276" w:lineRule="auto"/>
        <w:jc w:val="both"/>
        <w:rPr>
          <w:rFonts w:cstheme="minorHAnsi"/>
          <w:noProof/>
        </w:rPr>
      </w:pPr>
      <w:bookmarkStart w:id="6" w:name="_Hlk515466604"/>
      <w:r>
        <w:rPr>
          <w:noProof/>
        </w:rPr>
        <w:t xml:space="preserve">Spójność polityki na rzecz rozwoju </w:t>
      </w:r>
      <w:bookmarkEnd w:id="6"/>
      <w:r>
        <w:rPr>
          <w:noProof/>
        </w:rPr>
        <w:t xml:space="preserve">wymaga, by UE uwzględniała cele współpracy na rzecz rozwoju we wszystkich wdrażanych politykach, które prawdopodobnie będą mieć wpływ na kraje rozwijające się. 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W 2017 r. Komisja nadal promowała spójność polityki na rzecz rozwoju, w tym poprzez włączenie jej do Europejskiego konsensusu w sprawie rozwoju, i podkreślała jej znaczący wkład w osiąganie celów zrównoważonego rozwoju.</w:t>
      </w:r>
    </w:p>
    <w:p>
      <w:pPr>
        <w:spacing w:after="120" w:line="276" w:lineRule="auto"/>
        <w:jc w:val="both"/>
        <w:rPr>
          <w:rFonts w:cstheme="minorHAnsi"/>
          <w:b/>
          <w:noProof/>
          <w:u w:val="single"/>
        </w:rPr>
      </w:pPr>
    </w:p>
    <w:p>
      <w:pPr>
        <w:spacing w:after="120" w:line="276" w:lineRule="auto"/>
        <w:jc w:val="both"/>
        <w:rPr>
          <w:rFonts w:cstheme="minorHAnsi"/>
          <w:b/>
          <w:noProof/>
          <w:u w:val="single"/>
        </w:rPr>
      </w:pPr>
    </w:p>
    <w:p>
      <w:pPr>
        <w:keepNext/>
        <w:keepLines/>
        <w:spacing w:after="120" w:line="276" w:lineRule="auto"/>
        <w:jc w:val="both"/>
        <w:rPr>
          <w:rFonts w:cstheme="minorHAnsi"/>
          <w:b/>
          <w:noProof/>
          <w:u w:val="single"/>
        </w:rPr>
      </w:pPr>
      <w:r>
        <w:rPr>
          <w:rFonts w:cstheme="minorHAnsi"/>
          <w:b/>
          <w:noProof/>
          <w:u w:val="single"/>
        </w:rPr>
        <w:t>GLOBALNY ZASIĘG</w:t>
      </w:r>
    </w:p>
    <w:p>
      <w:pPr>
        <w:keepNext/>
        <w:keepLines/>
        <w:spacing w:after="120" w:line="276" w:lineRule="auto"/>
        <w:jc w:val="both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Afryka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Rok 2017 był ważny dla partnerstwa strategicznego z Afryką. W maju przyjęto wspólny komunikat w sprawie nadania nowego impulsu partnerstwu Afryka-UE</w:t>
      </w:r>
      <w:r>
        <w:rPr>
          <w:rFonts w:cstheme="minorHAnsi"/>
          <w:noProof/>
          <w:vertAlign w:val="superscript"/>
        </w:rPr>
        <w:footnoteReference w:id="9"/>
      </w:r>
      <w:r>
        <w:rPr>
          <w:noProof/>
        </w:rPr>
        <w:t xml:space="preserve">, a następnie zorganizowano piąty szczyt Unia Afrykańska-UE, który odbył się w Abidżanie w listopadzie. Rozpoczęły się przygotowania do nawiązania nowych stosunków z państwami należącymi do grupy państw Afryki, Karaibów i Pacyfiku (AKP), aby ustanowić nowoczesne, polityczne i ukierunkowane partnerstwo „zastępujące umowę z Kotonu” między równymi partnerami. 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 xml:space="preserve">W 2017 r. zatwierdzono 40 nowych programów w trzech regionach objętych kryzysowym funduszem powierniczym na rzecz stabilności oraz eliminowania przyczyn migracji nieuregulowanej i wysiedleń w Afryce. </w:t>
      </w:r>
    </w:p>
    <w:p>
      <w:pPr>
        <w:spacing w:after="120" w:line="276" w:lineRule="auto"/>
        <w:jc w:val="both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Region objęty procesem rozszerzenia</w:t>
      </w:r>
    </w:p>
    <w:p>
      <w:pPr>
        <w:spacing w:after="120" w:line="276" w:lineRule="auto"/>
        <w:jc w:val="both"/>
        <w:rPr>
          <w:rFonts w:cstheme="minorHAnsi"/>
          <w:iCs/>
          <w:noProof/>
        </w:rPr>
      </w:pPr>
      <w:r>
        <w:rPr>
          <w:noProof/>
        </w:rPr>
        <w:t>Głównym wydarzeniem politycznym w 2017 r. było orędzie o stanie Unii</w:t>
      </w:r>
      <w:r>
        <w:rPr>
          <w:rFonts w:cstheme="minorHAnsi"/>
          <w:noProof/>
          <w:vertAlign w:val="superscript"/>
        </w:rPr>
        <w:footnoteReference w:id="10"/>
      </w:r>
      <w:r>
        <w:rPr>
          <w:noProof/>
        </w:rPr>
        <w:t xml:space="preserve"> przewodniczącego Junckera, w którym potwierdził on i podkreślił jednoznaczne poparcie UE dla perspektywy rozszerzenia o Bałkany Zachodnie. </w:t>
      </w:r>
    </w:p>
    <w:p>
      <w:pPr>
        <w:spacing w:after="120" w:line="276" w:lineRule="auto"/>
        <w:jc w:val="both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Region objęty europejską polityką sąsiedztwa</w:t>
      </w:r>
    </w:p>
    <w:p>
      <w:pPr>
        <w:spacing w:after="120" w:line="276" w:lineRule="auto"/>
        <w:jc w:val="both"/>
        <w:rPr>
          <w:rFonts w:cstheme="minorHAnsi"/>
          <w:iCs/>
          <w:noProof/>
        </w:rPr>
      </w:pPr>
      <w:r>
        <w:rPr>
          <w:noProof/>
        </w:rPr>
        <w:t>W 2017 r. UE kontynuowała wdrażanie swojej zmienionej europejskiej polityki sąsiedztwa (EPS) w celu osiągnięcia wspólnych celów dotyczących ustabilizowania sytuacji w krajach objętych europejską polityką sąsiedztwa i opracowania partnerstw bardziej dostosowanych do potrzeb. Ustanowiono zmienione programy stowarzyszeniowe z Gruzją i Mołdawią oraz wszedł w życie układ o stowarzyszeniu zawarty z Ukrainą, obejmujący pogłębioną i kompleksową strefę wolnego handlu. Zawarto i podpisano umowę o kompleksowej i wzmocnionej współpracy z Armenią. Podczas szczytu Partnerstwa Wschodniego, który odbył się w listopadzie, przedstawiono wytyczne dotyczące przyszłej współpracy regionalnej na podstawie „20 oczekiwanych do roku 2020 rezultatów”</w:t>
      </w:r>
      <w:r>
        <w:rPr>
          <w:rFonts w:cstheme="minorHAnsi"/>
          <w:noProof/>
          <w:vertAlign w:val="superscript"/>
        </w:rPr>
        <w:footnoteReference w:id="11"/>
      </w:r>
      <w:r>
        <w:rPr>
          <w:noProof/>
        </w:rPr>
        <w:t>.</w:t>
      </w:r>
    </w:p>
    <w:p>
      <w:pPr>
        <w:spacing w:after="120" w:line="276" w:lineRule="auto"/>
        <w:jc w:val="both"/>
        <w:rPr>
          <w:rFonts w:cstheme="minorHAnsi"/>
          <w:iCs/>
          <w:noProof/>
        </w:rPr>
      </w:pPr>
      <w:r>
        <w:rPr>
          <w:noProof/>
        </w:rPr>
        <w:t xml:space="preserve">Za pośrednictwem unijnych programów nadal wspierano gospodarczy, społeczny, kulturowy i polityczny rozwój krajów południowego sąsiedztwa, w tym krajów przyjmujących uchodźców z Syrii. 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Z Algierią i Egiptem uzgodniono priorytety partnerstwa na lata 2017–2020, poczyniono natomiast postępy we wspólnym określaniu podobnych priorytetów z Armenią, Tunezją, Palestyną, Azerbejdżanem i Białorusią.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W maju 2017 r. przyjęto wspólny komunikat dotyczący wydarzeń w sąsiedztwie i wdrażania przeglądu EPS</w:t>
      </w:r>
      <w:r>
        <w:rPr>
          <w:rFonts w:cstheme="minorHAnsi"/>
          <w:noProof/>
          <w:vertAlign w:val="superscript"/>
        </w:rPr>
        <w:footnoteReference w:id="12"/>
      </w:r>
      <w:r>
        <w:rPr>
          <w:noProof/>
        </w:rPr>
        <w:t>.</w:t>
      </w:r>
    </w:p>
    <w:p>
      <w:pPr>
        <w:spacing w:after="120" w:line="276" w:lineRule="auto"/>
        <w:jc w:val="both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Azja, Azja Środkowa i region Pacyfiku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Zarówno podczas 19. szczytu UE-Chiny w czerwcu 2017 r., jak i podczas szczytu UE-Indie w październiku wyrażono wspólne zaangażowanie w rozwiązywanie ogólnoświatowych i regionalnych problemów, takich jak zmiana klimatu i zagrożenia dla bezpieczeństwa. W 2017 r. UE podpisała porozumienia polityczne w sprawie szerokiego zakresu obszarów współpracy z Australią i Nową Zelandią.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UE była niezwykle zaangażowana w zwalczenie kryzysu uchodźczego Rohingjów w Bangladeszu i Mjanmie/Birmie oraz zwiększyła swoje wysiłki w obszarze pomocy humanitarnej, współorganizując konferencję darczyńców ONZ w październiku i deklarując największe wsparcie finansowe.</w:t>
      </w:r>
    </w:p>
    <w:p>
      <w:pPr>
        <w:spacing w:after="120" w:line="276" w:lineRule="auto"/>
        <w:jc w:val="both"/>
        <w:rPr>
          <w:rFonts w:cstheme="minorHAnsi"/>
          <w:noProof/>
        </w:rPr>
      </w:pPr>
    </w:p>
    <w:p>
      <w:pPr>
        <w:spacing w:after="120" w:line="276" w:lineRule="auto"/>
        <w:jc w:val="both"/>
        <w:rPr>
          <w:rFonts w:cstheme="minorHAnsi"/>
          <w:noProof/>
        </w:rPr>
      </w:pPr>
    </w:p>
    <w:p>
      <w:pPr>
        <w:spacing w:after="120" w:line="276" w:lineRule="auto"/>
        <w:jc w:val="both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Ameryka Łacińska i region Karaibów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W 2017 r. dokonano postępów w negocjacjach z południowoamerykańskim blokiem handlowym Mercosur w sprawie układu o stowarzyszeniu dwóch regionów, a w listopadzie tego roku rozpoczęło się tymczasowe stosowanie Umowy o dialogu politycznym i współpracy między UE a Kubą. Na początku roku weszła w życie wielostronna umowa handlowa z Ekwadorem.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W 2017 r. UE starała się oprzeć przedmiot swojej współpracy z Ameryka Łacińską i Karaibami na bardziej zróżnicowanym modelu, w ramach którego istotną rolę odgrywają inwestycje, badania naukowe i innowacje, edukacja i agenda cyfrowa.</w:t>
      </w:r>
    </w:p>
    <w:p>
      <w:pPr>
        <w:spacing w:after="120" w:line="276" w:lineRule="auto"/>
        <w:jc w:val="both"/>
        <w:rPr>
          <w:rFonts w:cstheme="minorHAnsi"/>
          <w:noProof/>
        </w:rPr>
      </w:pPr>
    </w:p>
    <w:p>
      <w:pPr>
        <w:keepNext/>
        <w:keepLines/>
        <w:spacing w:after="120" w:line="276" w:lineRule="auto"/>
        <w:mirrorIndents/>
        <w:rPr>
          <w:rFonts w:cstheme="minorHAnsi"/>
          <w:b/>
          <w:noProof/>
          <w:u w:val="single"/>
        </w:rPr>
      </w:pPr>
      <w:r>
        <w:rPr>
          <w:rFonts w:cstheme="minorHAnsi"/>
          <w:b/>
          <w:noProof/>
          <w:u w:val="single"/>
        </w:rPr>
        <w:t>LUDZIE</w:t>
      </w:r>
    </w:p>
    <w:p>
      <w:pPr>
        <w:keepNext/>
        <w:keepLines/>
        <w:spacing w:after="120" w:line="276" w:lineRule="auto"/>
        <w:jc w:val="both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Rozwój społeczny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 xml:space="preserve">W centrum polityki UE na rzecz rozwoju znajduje się eliminacja ubóstwa (1. cel zrównoważonego rozwoju), zmniejszenie nierówności i dyskryminacji (10. cel zrównoważonego rozwoju) i niepozostawianie nikogo w tyle. 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 xml:space="preserve">Wkład w światowe inicjatywy, takie jak </w:t>
      </w:r>
      <w:bookmarkStart w:id="7" w:name="_Hlk515483557"/>
      <w:r>
        <w:rPr>
          <w:noProof/>
        </w:rPr>
        <w:t>Globalny Fundusz na rzecz Walki z AIDS, Gruźlicą i Malarią, Sojusz na rzecz Szczepionek (GAVI), Globalne Partnerstwo na rzecz Edukacji,</w:t>
      </w:r>
      <w:bookmarkEnd w:id="7"/>
      <w:r>
        <w:rPr>
          <w:noProof/>
        </w:rPr>
        <w:t xml:space="preserve"> i fundusz „Education Cannot Wait” zapewnił UE znaczącą rolę w kształtowaniu międzynarodowego programu politycznego w dziedzinie zdrowa (3. cel zrównoważonego rozwoju) i edukacji (4. cel zrównoważonego rozwoju). Dzięki tym inicjatywom 11 milionom osób udzielono pomocy w odbyciu ratującego życie leczenia HIV, wyleczono 17,4 mln przypadków gruźlicy i rozdano 795 mln moskitier w celu zapobiegania malarii. Dzięki wsparciu przez UE Globalnego Partnerstwa na rzecz Edukacji w 2015 r. w szkołach podstawowych w krajach partnerskich uczyło się 72 mln więcej dzieci niż w 2002 r. </w:t>
      </w:r>
    </w:p>
    <w:p>
      <w:pPr>
        <w:spacing w:after="120" w:line="276" w:lineRule="auto"/>
        <w:jc w:val="both"/>
        <w:rPr>
          <w:rFonts w:cstheme="minorHAnsi"/>
          <w:iCs/>
          <w:noProof/>
        </w:rPr>
      </w:pPr>
      <w:r>
        <w:rPr>
          <w:noProof/>
        </w:rPr>
        <w:t>Za pośrednictwem programu Erasmus+ UE pomogła zwiększyć zdolność do zatrudnienia osób fizycznych w krajach partnerskich. W 2017 r. studentom i pracownikom przyznano ponad 40 500 stypendiów indywidualnych, przy czym z ponad połowy tych stypendiów skorzystały kraje objęte europejską polityką sąsiedztwa i kraje objęte procesem rozszerzenia. Ponadto około 350 międzynarodowych udziałów w projektach opartych na współpracy w ramach programu „Horyzont 2020” otrzymało wsparcie w wysokości około 40 mln EUR z funduszy UE.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Na nowo położono nacisk na kulturowy wymiar rozwoju i współpracy międzynarodowej w następstwie przyjęcia konkluzji Rady z maja 2017 r. w sprawie „strategicznego podejścia UE do międzynarodowych stosunków kulturalnych”</w:t>
      </w:r>
      <w:r>
        <w:rPr>
          <w:rFonts w:cstheme="minorHAnsi"/>
          <w:noProof/>
          <w:vertAlign w:val="superscript"/>
        </w:rPr>
        <w:footnoteReference w:id="13"/>
      </w:r>
      <w:r>
        <w:rPr>
          <w:noProof/>
        </w:rPr>
        <w:t xml:space="preserve">. </w:t>
      </w:r>
    </w:p>
    <w:p>
      <w:pPr>
        <w:spacing w:after="120" w:line="276" w:lineRule="auto"/>
        <w:jc w:val="both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Równouprawnienie płci i wzmocnienie pozycji kobiet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UE i jej państwa członkowskie pozostają światowymi liderami w dziedzinie równouprawnienia płci i wzmocnienia pozycji kobiet i dziewcząt (5. cel zrównoważonego rozwoju). W 2017 r. opublikowano</w:t>
      </w:r>
      <w:r>
        <w:rPr>
          <w:rStyle w:val="FootnoteReference"/>
          <w:rFonts w:cstheme="minorHAnsi"/>
          <w:noProof/>
        </w:rPr>
        <w:footnoteReference w:id="14"/>
      </w:r>
      <w:r>
        <w:rPr>
          <w:noProof/>
        </w:rPr>
        <w:t xml:space="preserve"> pierwsze sprawozdanie z wdrażania drugiego unijnego planu działania w sprawie równości płci na lata 2016–2020</w:t>
      </w:r>
      <w:r>
        <w:rPr>
          <w:rStyle w:val="FootnoteReference"/>
          <w:rFonts w:cstheme="minorHAnsi"/>
          <w:noProof/>
        </w:rPr>
        <w:footnoteReference w:id="15"/>
      </w:r>
      <w:r>
        <w:rPr>
          <w:noProof/>
        </w:rPr>
        <w:t>.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Komisja ściśle monitoruje postępy w dziedzinie równouprawnienia płci i walki z przemocą ze względu na płeć w regionie objętym procesem rozszerzenia. Kwestie te poruszane są również w trakcie negocjacji w sprawie przystąpienia oraz procesu stabilizacji i stowarzyszenia przedstawionego w pakiecie „rozszerzenie” z 2017 r.</w:t>
      </w:r>
      <w:r>
        <w:rPr>
          <w:rStyle w:val="FootnoteReference"/>
          <w:rFonts w:cstheme="minorHAnsi"/>
          <w:noProof/>
        </w:rPr>
        <w:footnoteReference w:id="16"/>
      </w:r>
    </w:p>
    <w:p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  <w:noProof/>
          <w:u w:val="single"/>
        </w:rPr>
      </w:pPr>
      <w:r>
        <w:rPr>
          <w:rFonts w:cstheme="minorHAnsi"/>
          <w:noProof/>
          <w:u w:val="single"/>
        </w:rPr>
        <w:t>Skierowanie uwagi na przemoc ze względu na płeć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W 2017 r. rozpoczęto inicjatywę „Spotlight”</w:t>
      </w:r>
      <w:r>
        <w:rPr>
          <w:rStyle w:val="FootnoteReference"/>
          <w:rFonts w:cstheme="minorHAnsi"/>
          <w:noProof/>
        </w:rPr>
        <w:footnoteReference w:id="17"/>
      </w:r>
      <w:r>
        <w:rPr>
          <w:noProof/>
        </w:rPr>
        <w:t xml:space="preserve">, nowe partnerstwo UE-ONZ mające na celu wyeliminowanie wszelkich form przemocy wobec kobiet i dziewcząt. Inicjatywa ta, na której wsparcie UE przeznaczyła 500 mln EUR, ma na celu osiągnięcie transformacji na szczeblu regionalnym, przy czym wysiłki w tym zakresie dotyczą w szczególności Azji, Pacyfiku, Afryki (w szczególności Afryki Subsaharyjskiej), Ameryki Łacińskiej i Karaibów. </w:t>
      </w:r>
    </w:p>
    <w:p>
      <w:pPr>
        <w:keepNext/>
        <w:keepLines/>
        <w:spacing w:after="120" w:line="276" w:lineRule="auto"/>
        <w:jc w:val="both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Migracja, przymusowe wysiedlenie i azyl</w:t>
      </w:r>
    </w:p>
    <w:p>
      <w:pPr>
        <w:spacing w:after="120" w:line="276" w:lineRule="auto"/>
        <w:jc w:val="both"/>
        <w:rPr>
          <w:noProof/>
        </w:rPr>
      </w:pPr>
      <w:r>
        <w:rPr>
          <w:noProof/>
        </w:rPr>
        <w:t>Migracja i mobilność nadal znajdowały się wśród priorytetów polityki UE, przy czym uwagę przeniesiono na szlak środkowośródziemnomorski stanowiący największe wyzwanie; głównym krajem wyjazdu do UE była nadal Libia. W ramach Instrumentu Pomocy dla Uchodźców w Turcji nadal reagowano na potrzeby uchodźców i społeczności przyjmującej w kraju dzięki wkładowi Komisji, który w 2017 r. wyniósł 3 mld EUR.</w:t>
      </w:r>
    </w:p>
    <w:p>
      <w:pPr>
        <w:spacing w:after="120" w:line="276" w:lineRule="auto"/>
        <w:jc w:val="both"/>
        <w:rPr>
          <w:rFonts w:cstheme="minorHAnsi"/>
          <w:iCs/>
          <w:noProof/>
        </w:rPr>
      </w:pPr>
      <w:r>
        <w:rPr>
          <w:noProof/>
        </w:rPr>
        <w:t>W regionie Bałkanów Zachodnich UE odgrywa wiodącą rolę w łączeniu reakcji na problemy związane z uchodźcami i migracją.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  <w:iCs/>
          <w:noProof/>
          <w:u w:val="single"/>
        </w:rPr>
      </w:pPr>
      <w:r>
        <w:rPr>
          <w:rFonts w:cstheme="minorHAnsi"/>
          <w:noProof/>
          <w:u w:val="single"/>
        </w:rPr>
        <w:t>Zarządzanie mieszanymi ruchami migracyjnymi w Libii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  <w:iCs/>
          <w:noProof/>
        </w:rPr>
      </w:pPr>
      <w:r>
        <w:rPr>
          <w:noProof/>
        </w:rPr>
        <w:t>W 2017 r. Komisja szybko zareagowała na zalecenia zawarte we wspólnym komunikacie „Migracja na szlaku środkowośródziemnomorskim – Zarządzanie przepływami, ratowanie życia”</w:t>
      </w:r>
      <w:r>
        <w:rPr>
          <w:rFonts w:cstheme="minorHAnsi"/>
          <w:noProof/>
          <w:vertAlign w:val="superscript"/>
        </w:rPr>
        <w:footnoteReference w:id="18"/>
      </w:r>
      <w:r>
        <w:rPr>
          <w:noProof/>
        </w:rPr>
        <w:t xml:space="preserve"> opublikowanym w styczniu. Błyskawicznie opracowano wart 90 mln EUR program, aby zapewnić ochronę i pomoc potrzebującym w Libii oraz wsparcie na rzecz ustabilizowania społeczności przyjmujących.</w:t>
      </w:r>
    </w:p>
    <w:p>
      <w:pPr>
        <w:keepNext/>
        <w:keepLines/>
        <w:spacing w:after="120" w:line="276" w:lineRule="auto"/>
        <w:jc w:val="both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Bezpieczeństwo żywnościowe i żywieniowe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Problem głodu na świecie, braku bezpieczeństwa żywnościowego i żywieniowego stawał się w 2017 r. coraz bardziej poważny – liczba osób cierpiących głód wzrosła o kolejne 38 mln. W sprawozdaniu w sprawie kryzysów żywnościowych na świecie (Global Report on Food Crises</w:t>
      </w:r>
      <w:r>
        <w:rPr>
          <w:rFonts w:cstheme="minorHAnsi"/>
          <w:noProof/>
          <w:vertAlign w:val="superscript"/>
        </w:rPr>
        <w:footnoteReference w:id="19"/>
      </w:r>
      <w:r>
        <w:rPr>
          <w:noProof/>
        </w:rPr>
        <w:t>) opublikowanym w marcu stwierdzono, że kryzys żywnościowy dotyczy ponad 108 mln osób i wskazano kilka obszarów zagrożonych klęską głodu.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Przyczyniając się do osiągnięcia 2. celu zrównoważonego rozwoju, UE nie szczędziła wysiłków, w ramach których udzieliła ukierunkowanego tematycznego i dwustronnego wsparcia, szczególnie na rzecz zwalczania niestabilności i sytuacji kryzysowych w wielu krajach, w kwocie 140 mln EUR przyznanej w synergii z kwotą 750 mln EUR, aby pomóc uniknąć głodu w czterech następujących państwach, które uznano za zagrożone: Somalia, Sudan Południowy, Jemen i Nigeria.</w:t>
      </w:r>
    </w:p>
    <w:p>
      <w:pPr>
        <w:spacing w:after="120" w:line="276" w:lineRule="auto"/>
        <w:rPr>
          <w:rFonts w:cstheme="minorHAnsi"/>
          <w:b/>
          <w:noProof/>
          <w:u w:val="single"/>
        </w:rPr>
      </w:pPr>
    </w:p>
    <w:p>
      <w:pPr>
        <w:keepNext/>
        <w:keepLines/>
        <w:spacing w:after="120" w:line="276" w:lineRule="auto"/>
        <w:mirrorIndents/>
        <w:rPr>
          <w:rFonts w:cstheme="minorHAnsi"/>
          <w:b/>
          <w:noProof/>
          <w:u w:val="single"/>
        </w:rPr>
      </w:pPr>
      <w:r>
        <w:rPr>
          <w:rFonts w:cstheme="minorHAnsi"/>
          <w:b/>
          <w:noProof/>
          <w:u w:val="single"/>
        </w:rPr>
        <w:t>PLANETA</w:t>
      </w:r>
    </w:p>
    <w:p>
      <w:pPr>
        <w:keepNext/>
        <w:keepLines/>
        <w:spacing w:after="120" w:line="276" w:lineRule="auto"/>
        <w:jc w:val="both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Zmiana klimatu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 xml:space="preserve">Zmiana klimatu (13. cel zrównoważonego rozwoju) nadal stanowi główne zagrożenie wpływające na światowy zrównoważony rozwój. W 2017 r. region Karaibów dotknęło kilka gwałtownych huraganów, co przedstawia skutki częstszych ekstremalnych zdarzeń pogodowych. UE wspiera inicjatywę na rzecz światowych ram dotyczących zmniejszania ryzyka związanego z klęskami żywiołowymi, w ramach której przeprowadzono oceny potrzeb po klęsce żywiołowej (PDNA) i która przyczyniła się do udzielenia Karaibom szybkiego wsparcia po uderzeniu huraganów. 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 xml:space="preserve">Przystosowanie się do zmiany klimatu stanowi najważniejszy priorytet większości krajów rozwijających się, w szczególności </w:t>
      </w:r>
      <w:bookmarkStart w:id="8" w:name="_Hlk515522961"/>
      <w:r>
        <w:rPr>
          <w:noProof/>
        </w:rPr>
        <w:t>małych rozwijających się państw wyspiarskich</w:t>
      </w:r>
      <w:bookmarkEnd w:id="8"/>
      <w:r>
        <w:rPr>
          <w:noProof/>
        </w:rPr>
        <w:t xml:space="preserve"> i </w:t>
      </w:r>
      <w:bookmarkStart w:id="9" w:name="_Hlk515522994"/>
      <w:r>
        <w:rPr>
          <w:noProof/>
        </w:rPr>
        <w:t>krajów najsłabiej rozwiniętych (LDC</w:t>
      </w:r>
      <w:bookmarkEnd w:id="9"/>
      <w:r>
        <w:rPr>
          <w:noProof/>
        </w:rPr>
        <w:t xml:space="preserve">), w związku z czym kraje te nadal traktowano jako najważniejszych beneficjentów inicjatywy przewodniej </w:t>
      </w:r>
      <w:bookmarkStart w:id="10" w:name="_Hlk515523025"/>
      <w:r>
        <w:rPr>
          <w:noProof/>
        </w:rPr>
        <w:t xml:space="preserve">unijnego światowego sojuszu na rzecz przeciwdziałania zmianie klimatu </w:t>
      </w:r>
      <w:bookmarkEnd w:id="10"/>
      <w:r>
        <w:rPr>
          <w:noProof/>
        </w:rPr>
        <w:t xml:space="preserve">+ (GCCA+). 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UE wraz z państwami grupy G-20 zobowiązała się wspierać wykonanie ustalonych na poziomie krajowym wkładów określonych podczas szczytu COP 21.</w:t>
      </w:r>
    </w:p>
    <w:p>
      <w:pPr>
        <w:spacing w:after="120" w:line="276" w:lineRule="auto"/>
        <w:jc w:val="both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Środowisko i zrównoważone gospodarowanie zasobami naturalnymi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 xml:space="preserve">Kapitał naturalny, w tym grunty uprawne, zasoby wodne, lasy, stada ryb i różnorodność biologiczna stanowią podstawę gospodarek wielu krajów partnerskich i przyczyniają się w dużej mierze do ich utrzymania. Ochrona i zrównoważone zarządzania kapitałem naturalnym mają kluczowe znaczenie dla osiągnięcia celów Agendy na rzecz zrównoważonego rozwoju 2030 (w tym 6., 12., 14., i 15. celu zrównoważonego rozwoju). 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UE brała czynny udział w trzecim posiedzeniu Zgromadzenia ONZ ds. Ochrony Środowiska odbywającym się w grudniu w Nairobi pod hasłem „Aby nasza planeta była wolna od zanieczyszczeń”. UE uczestniczyła również w ochronie oceanów dzięki udziałowi w zorganizowanej przez ONZ Konferencji na temat Oceanu poświęconej wdrażaniu 14. celu zrównoważonego rozwoju, która miała miejsce w Nowym Jorku w czerwcu 2017 r., i organizacji konferencji „Nasze oceany”, która odbyła się w październiku w Valletcie.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 xml:space="preserve">Z uwagi na to, że źródłem utrzymania 1,6 mld ludzi są lasy, UE prowadzi aktywne działania w dziedzinie zrównoważonej gospodarki leśnej. Poczyniono postępy we wdrażaniu unijnego planu działania na rzecz </w:t>
      </w:r>
      <w:bookmarkStart w:id="11" w:name="_Hlk515524663"/>
      <w:r>
        <w:rPr>
          <w:noProof/>
        </w:rPr>
        <w:t>egzekwowania prawa, zarządzania i handlu w dziedzinie leśnictwa (FLEGT</w:t>
      </w:r>
      <w:bookmarkEnd w:id="11"/>
      <w:r>
        <w:rPr>
          <w:noProof/>
        </w:rPr>
        <w:t>)</w:t>
      </w:r>
      <w:r>
        <w:rPr>
          <w:rStyle w:val="FootnoteReference"/>
          <w:rFonts w:cstheme="minorHAnsi"/>
          <w:noProof/>
        </w:rPr>
        <w:footnoteReference w:id="20"/>
      </w:r>
      <w:r>
        <w:rPr>
          <w:noProof/>
        </w:rPr>
        <w:t xml:space="preserve">. </w:t>
      </w:r>
      <w:bookmarkStart w:id="12" w:name="_Hlk515524690"/>
      <w:r>
        <w:rPr>
          <w:noProof/>
        </w:rPr>
        <w:t>Podpisano dobrowolne umowy o partnerstwie</w:t>
      </w:r>
      <w:bookmarkEnd w:id="12"/>
      <w:r>
        <w:rPr>
          <w:noProof/>
        </w:rPr>
        <w:t xml:space="preserve"> z Hondurasem i Gujaną. W 2017 r. UE prowadziła również skuteczne działania mające na celu ułatwienie partnerstwa na rzecz lasów basenu rzeki Kongo.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  <w:noProof/>
          <w:u w:val="single"/>
        </w:rPr>
      </w:pPr>
      <w:r>
        <w:rPr>
          <w:rFonts w:cstheme="minorHAnsi"/>
          <w:noProof/>
          <w:u w:val="single"/>
        </w:rPr>
        <w:t>Środowisko i zasoby naturalne w krajach objętych polityką sąsiedztwa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Środowisko i zrównoważone gospodarowanie zasobami naturalnymi stanowią priorytet, jeżeli chodzi o południowe i wschodnie kraje objęte polityką sąsiedztwa. UE wspiera inicjatywy obejmujące gospodarkę wodną, usuwanie zanieczyszczeń i współpracę transgraniczną, a jednocześnie ukierunkowała swoje działania na tworzenie niskoemisyjnych i zasobooszczędnych gospodarek o obiegu zamkniętym.</w:t>
      </w:r>
    </w:p>
    <w:p>
      <w:pPr>
        <w:spacing w:after="120" w:line="276" w:lineRule="auto"/>
        <w:jc w:val="both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Zrównoważona energia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W dokumencie roboczym służb Komisji pt. „Upodmiotowienie rozwoju”</w:t>
      </w:r>
      <w:r>
        <w:rPr>
          <w:rFonts w:cstheme="minorHAnsi"/>
          <w:noProof/>
          <w:vertAlign w:val="superscript"/>
        </w:rPr>
        <w:footnoteReference w:id="21"/>
      </w:r>
      <w:r>
        <w:rPr>
          <w:noProof/>
        </w:rPr>
        <w:t xml:space="preserve"> opublikowanym w grudniu 2017 r. pokazano, w jaki sposób współpraca w obszarze zrównoważonej energii przyczynia się do realizacji Europejskiego konsensusu w sprawie rozwoju. UE rozpoczęła w 2017 r. działania mające na celu zapewnienie w Afryce usług energetycznych</w:t>
      </w:r>
      <w:r>
        <w:rPr>
          <w:rStyle w:val="FootnoteReference"/>
          <w:rFonts w:cstheme="minorHAnsi"/>
          <w:noProof/>
        </w:rPr>
        <w:footnoteReference w:id="22"/>
      </w:r>
      <w:r>
        <w:rPr>
          <w:noProof/>
        </w:rPr>
        <w:t>.</w:t>
      </w:r>
    </w:p>
    <w:p>
      <w:pPr>
        <w:spacing w:after="120" w:line="276" w:lineRule="auto"/>
        <w:jc w:val="both"/>
        <w:rPr>
          <w:rFonts w:cstheme="minorHAnsi"/>
          <w:iCs/>
          <w:noProof/>
        </w:rPr>
      </w:pPr>
      <w:r>
        <w:rPr>
          <w:noProof/>
        </w:rPr>
        <w:t>We wschodnim sąsiedztwie w ramach projektu EU4Energy wspierane były reformy w sektorze energetycznym. Na szczycie Bałkanów Zachodnich w Trieście w lipcu 2017 r. zatwierdzono pakiet dotyczący łączności, który obejmuje dotacje unijne w wysokości 194 mln EUR wspierające inwestycje w wysokości 500 mln EUR na regionalne projekty służące udoskonalaniu transportu i połączeń energetycznych.</w:t>
      </w:r>
    </w:p>
    <w:p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  <w:noProof/>
          <w:u w:val="single"/>
        </w:rPr>
      </w:pPr>
      <w:r>
        <w:rPr>
          <w:rFonts w:cstheme="minorHAnsi"/>
          <w:noProof/>
          <w:u w:val="single"/>
        </w:rPr>
        <w:t>Energia ze źródeł odnawialnych w Afryce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Pod koniec 2017 r. Zambia, Benin, Wybrzeże Kości Słoniowej i Nigeria przydzieliły łącznie 85 mln EUR w ramach inicjatywy finansowania elektryfikacji (ElectriFI) na projekty mające na celu elektryfikację 452 000 gospodarstw domowych, wygenerowanie dodatkowych 88 MW energii ze źródeł odnawialnych oraz ograniczenie emisji o około 200 000 ton ekwiwalentu dwutlenku węgla rocznie.</w:t>
      </w:r>
    </w:p>
    <w:p>
      <w:pPr>
        <w:spacing w:after="120" w:line="276" w:lineRule="auto"/>
        <w:rPr>
          <w:rFonts w:cstheme="minorHAnsi"/>
          <w:noProof/>
        </w:rPr>
      </w:pPr>
    </w:p>
    <w:p>
      <w:pPr>
        <w:keepNext/>
        <w:keepLines/>
        <w:spacing w:after="120" w:line="276" w:lineRule="auto"/>
        <w:mirrorIndents/>
        <w:rPr>
          <w:rFonts w:cstheme="minorHAnsi"/>
          <w:b/>
          <w:noProof/>
          <w:u w:val="single"/>
        </w:rPr>
      </w:pPr>
      <w:r>
        <w:rPr>
          <w:rFonts w:cstheme="minorHAnsi"/>
          <w:b/>
          <w:noProof/>
          <w:u w:val="single"/>
        </w:rPr>
        <w:t>DOBROBYT</w:t>
      </w:r>
    </w:p>
    <w:p>
      <w:pPr>
        <w:keepNext/>
        <w:keepLines/>
        <w:spacing w:after="120" w:line="276" w:lineRule="auto"/>
        <w:jc w:val="both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Praca w sektorze prywatnym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UE wdrożyła nowe podejście dotyczące zaangażowania sektora prywatnego</w:t>
      </w:r>
      <w:r>
        <w:rPr>
          <w:rStyle w:val="FootnoteReference"/>
          <w:rFonts w:cstheme="minorHAnsi"/>
          <w:noProof/>
        </w:rPr>
        <w:footnoteReference w:id="23"/>
      </w:r>
      <w:r>
        <w:rPr>
          <w:noProof/>
        </w:rPr>
        <w:t xml:space="preserve"> w celu osiągnięcia w 2017 r. zrównoważonego rozwoju sprzyjającego włączeniu społecznemu. Koncepcja platformy</w:t>
      </w:r>
      <w:bookmarkStart w:id="13" w:name="_Hlk515526729"/>
      <w:r>
        <w:rPr>
          <w:noProof/>
        </w:rPr>
        <w:t xml:space="preserve"> zrównoważonej przedsiębiorczości dla Afryki (SB4A</w:t>
      </w:r>
      <w:bookmarkEnd w:id="13"/>
      <w:r>
        <w:rPr>
          <w:noProof/>
        </w:rPr>
        <w:t>), która jest powiązana z Planem inwestycji zagranicznych, może stworzyć forum, w ramach którego sektor prywatny może identyfikować ograniczenia inwestycyjne (co stanowi wkład na rzecz osiągnięcia 8. celu zrównoważonego rozwoju).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UE przyjęła w listopadzie 2017 r. nową strategię pomocy na rzecz wymiany handlowej „Osiąganie dobrobytu przez handel i inwestycje”</w:t>
      </w:r>
      <w:r>
        <w:rPr>
          <w:rStyle w:val="FootnoteReference"/>
          <w:rFonts w:cstheme="minorHAnsi"/>
          <w:noProof/>
        </w:rPr>
        <w:footnoteReference w:id="24"/>
      </w:r>
      <w:r>
        <w:rPr>
          <w:noProof/>
        </w:rPr>
        <w:t xml:space="preserve"> w oparciu o dziesięć lat interwencji UE. W ramach strategii położono nacisk na pomaganie krajom partnerskim i ich przemysłowi w przechodzeniu na produkty i usługi o wyższej wartości dodanej oraz w wykorzystaniu potencjału handlu wewnątrzregionalnego, jak również wymiany handlowej z UE.</w:t>
      </w:r>
    </w:p>
    <w:p>
      <w:pPr>
        <w:spacing w:after="120" w:line="276" w:lineRule="auto"/>
        <w:jc w:val="both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Rozwój rolnictwa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 xml:space="preserve">Rolnictwo jest źródłem utrzymania dwóch trzecich ludzi ubogich na całym świecie, a wiele krajów rozwijających się pozostaje w dużym stopniu zależnych od handlu jedynie ograniczoną liczbą towarów. 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Całkowity budżet, jaki UE przeznaczyła na działania mające na celu wsparcie gospodarowania gruntami w około 40 krajach, wynosi niemal 240 mln EUR. Finansowane przez UE działania chronią w Peru i w Hondurasie prawa ludów tubylczych do ziemi i zapewniają im podstawowe środki do życia (co stanowi wkład w osiągnięcie 2. celu zrównoważonego rozwoju).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  <w:noProof/>
          <w:u w:val="single"/>
        </w:rPr>
      </w:pPr>
      <w:r>
        <w:rPr>
          <w:rFonts w:cstheme="minorHAnsi"/>
          <w:noProof/>
          <w:u w:val="single"/>
        </w:rPr>
        <w:t>AgriFI wspiera sektor produkcji fasoli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 xml:space="preserve">W 2017 r. uruchomiono w ramach </w:t>
      </w:r>
      <w:bookmarkStart w:id="14" w:name="_Hlk515526949"/>
      <w:r>
        <w:rPr>
          <w:noProof/>
        </w:rPr>
        <w:t>Inicjatywy na rzecz finansowania rolnictwa (AgriFI</w:t>
      </w:r>
      <w:bookmarkEnd w:id="14"/>
      <w:r>
        <w:rPr>
          <w:noProof/>
        </w:rPr>
        <w:t>)</w:t>
      </w:r>
      <w:r>
        <w:rPr>
          <w:rStyle w:val="FootnoteReference"/>
          <w:rFonts w:cstheme="minorHAnsi"/>
          <w:noProof/>
        </w:rPr>
        <w:footnoteReference w:id="25"/>
      </w:r>
      <w:r>
        <w:rPr>
          <w:noProof/>
        </w:rPr>
        <w:t xml:space="preserve"> szereg programów, w tym analizę łańcucha wartości kenijskiego sektora zielonej fasoli, która wykazała, że inwestycje pomogły w zapewnieniu środków do życia około 52 000 drobnych producentów rolnych. </w:t>
      </w:r>
    </w:p>
    <w:p>
      <w:pPr>
        <w:spacing w:after="120" w:line="276" w:lineRule="auto"/>
        <w:jc w:val="both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Infrastruktura, miasta i cyfryzacja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Postępy w realizacji agendy na rzecz zrównoważonego rozwoju 2030 wymagają zbudowania trwałej infrastruktury, promowania zrównoważonego uprzemysłowienia sprzyjającego włączeniu społecznemu oraz wspierania innowacji (9. cel zrównoważonego rozwoju).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 xml:space="preserve">UE pomogła w koordynacji agendy na rzecz </w:t>
      </w:r>
      <w:bookmarkStart w:id="15" w:name="_Hlk515527213"/>
      <w:r>
        <w:rPr>
          <w:noProof/>
        </w:rPr>
        <w:t>wspólnej infrastruktury Afryka–UE</w:t>
      </w:r>
      <w:bookmarkEnd w:id="15"/>
      <w:r>
        <w:rPr>
          <w:noProof/>
        </w:rPr>
        <w:t xml:space="preserve"> i zaangażowała się w prace rady Programu afrykańskiej polityki transportowej, wspierając politykę i strategię rządów afrykańskich i regionalnych wspólnot gospodarczych.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Szybka urbanizacja, w szczególności w Azji i w Afryce, stwarza poważne wyzwania rozwojowe. W 2017 r. opracowano Międzynarodowy program współpracy miejskiej (IUC)</w:t>
      </w:r>
      <w:r>
        <w:rPr>
          <w:rStyle w:val="FootnoteReference"/>
          <w:rFonts w:cstheme="minorHAnsi"/>
          <w:noProof/>
        </w:rPr>
        <w:footnoteReference w:id="26"/>
      </w:r>
      <w:r>
        <w:rPr>
          <w:noProof/>
        </w:rPr>
        <w:t>, w ramach którego miasta UE i miasta w strategicznych krajach partnerskich, takich jak Indie i Chiny, wymieniają się najlepszymi praktykami w dziedzinie rozwoju miejskiego, a w Planie inwestycji zagranicznych uwzględniono szczególne okno inwestycyjne na rzecz „zrównoważonego rozwoju miast” (11. cel zrównoważonego rozwoju).</w:t>
      </w:r>
    </w:p>
    <w:p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  <w:noProof/>
          <w:u w:val="single"/>
        </w:rPr>
      </w:pPr>
      <w:r>
        <w:rPr>
          <w:rFonts w:cstheme="minorHAnsi"/>
          <w:noProof/>
          <w:u w:val="single"/>
        </w:rPr>
        <w:t>Unijne Porozumienie Burmistrzów we wschodnim sąsiedztwie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Unijna inicjatywa Porozumienia Burmistrzów wspiera gminy w Armenii, Azerbejdżanie, na Białorusi, w Gruzji, w Mołdawii i na Ukrainie w realizacji zobowiązań dotyczących energii i klimatu. Dzięki udzielaniu ukierunkowanych dotacji na rzecz projektów UE przyczynia się do osiągnięcia ich celu dotyczącego ograniczenia o 30 % emisji CO</w:t>
      </w:r>
      <w:r>
        <w:rPr>
          <w:noProof/>
          <w:vertAlign w:val="subscript"/>
        </w:rPr>
        <w:t>2</w:t>
      </w:r>
      <w:r>
        <w:rPr>
          <w:noProof/>
        </w:rPr>
        <w:t xml:space="preserve"> do 2030 r. Do Porozumienia Burmistrzów dołączyło ponad 300 gmin w regionie Partnerstwa Wschodniego.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W ramach działań w sferze cyfrowej przewidzianych w dokumencie roboczym służb Komisji pt. „Digital4Development”</w:t>
      </w:r>
      <w:r>
        <w:rPr>
          <w:rFonts w:cstheme="minorHAnsi"/>
          <w:noProof/>
          <w:vertAlign w:val="superscript"/>
        </w:rPr>
        <w:footnoteReference w:id="27"/>
      </w:r>
      <w:r>
        <w:rPr>
          <w:noProof/>
        </w:rPr>
        <w:t xml:space="preserve"> na 2017 r. zrealizowano projekty infrastruktury światłowodowej, poprawiono bezpieczeństwo i zwiększono odporność krytycznej infrastruktury teleinformatycznej i krytycznych sieci teleinformatycznych oraz promowano powszechne, szeroko dostępne i przystępne cenowo sieci szerokopasmowe w Afryce. </w:t>
      </w:r>
    </w:p>
    <w:p>
      <w:pPr>
        <w:spacing w:after="120" w:line="276" w:lineRule="auto"/>
        <w:rPr>
          <w:rFonts w:cstheme="minorHAnsi"/>
          <w:b/>
          <w:noProof/>
          <w:u w:val="single"/>
        </w:rPr>
      </w:pPr>
    </w:p>
    <w:p>
      <w:pPr>
        <w:keepNext/>
        <w:keepLines/>
        <w:spacing w:after="120" w:line="276" w:lineRule="auto"/>
        <w:mirrorIndents/>
        <w:rPr>
          <w:rFonts w:cstheme="minorHAnsi"/>
          <w:b/>
          <w:noProof/>
          <w:u w:val="single"/>
        </w:rPr>
      </w:pPr>
      <w:r>
        <w:rPr>
          <w:rFonts w:cstheme="minorHAnsi"/>
          <w:b/>
          <w:noProof/>
          <w:u w:val="single"/>
        </w:rPr>
        <w:t>POKÓJ</w:t>
      </w:r>
    </w:p>
    <w:p>
      <w:pPr>
        <w:keepNext/>
        <w:keepLines/>
        <w:spacing w:after="120" w:line="276" w:lineRule="auto"/>
        <w:jc w:val="both"/>
        <w:rPr>
          <w:rFonts w:cstheme="minorHAnsi"/>
          <w:b/>
          <w:noProof/>
        </w:rPr>
      </w:pPr>
      <w:bookmarkStart w:id="16" w:name="_Hlk516592307"/>
      <w:r>
        <w:rPr>
          <w:rFonts w:cstheme="minorHAnsi"/>
          <w:b/>
          <w:noProof/>
        </w:rPr>
        <w:t>Demokracja, prawa człowieka i dobre rządy</w:t>
      </w:r>
    </w:p>
    <w:bookmarkEnd w:id="16"/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 xml:space="preserve">UE ponownie potwierdziła, że bezwarunkowo wspiera demokrację, prawa człowieka i dobre rządy na świecie (16. cel zrównoważonego rozwoju) i jednocześnie ugruntowała swoją pozycję światowego lidera w tym zakresie za pośrednictwem specjalnego </w:t>
      </w:r>
      <w:bookmarkStart w:id="17" w:name="_Hlk515528393"/>
      <w:r>
        <w:rPr>
          <w:noProof/>
        </w:rPr>
        <w:t>Europejskiego Instrumentu na rzecz Wspierania Demokracji i Praw Człowieka</w:t>
      </w:r>
      <w:bookmarkEnd w:id="17"/>
      <w:r>
        <w:rPr>
          <w:noProof/>
        </w:rPr>
        <w:t>.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W 2017 r. kontynuowano wdrażanie planów działania na rzecz demokracji i praw człowieka, publikując w czerwcu 2017 r. pierwsze sprawozdanie z realizacji</w:t>
      </w:r>
      <w:r>
        <w:rPr>
          <w:rStyle w:val="FootnoteReference"/>
          <w:rFonts w:cstheme="minorHAnsi"/>
          <w:noProof/>
        </w:rPr>
        <w:footnoteReference w:id="28"/>
      </w:r>
      <w:r>
        <w:rPr>
          <w:noProof/>
        </w:rPr>
        <w:t xml:space="preserve">. Wsparcie dla delegatur Unii zapewniano za pośrednictwem dwóch instrumentów: „Supporting Democracy” i Media4Democracy mających na celu budowanie zdolności, odpowiednio, w dziedzinie wspierania demokracji i wolności wypowiedzi. We wrześniu przeprowadzono globalną kampanię EU4Democracy.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  <w:noProof/>
          <w:u w:val="single"/>
        </w:rPr>
      </w:pPr>
      <w:r>
        <w:rPr>
          <w:rFonts w:cstheme="minorHAnsi"/>
          <w:noProof/>
          <w:u w:val="single"/>
        </w:rPr>
        <w:t>„Najpierw kwestie podstawowe” w zakresie rozszerzenia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Podejście „najpierw kwestie podstawowe” pozostaje jedną z głównych zasad polityki rozszerzenia i gwarantuje, że państwa skupiają się na reformach w obszarach takich jak praworządność i prawa podstawowe, instytucje demokratyczne i reforma administracji publicznej na wczesnym etapie procesu przystąpienia.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W marcu przyjęto zmienione wytyczne dotyczące propagowania i ochrony praw dziecka</w:t>
      </w:r>
      <w:r>
        <w:rPr>
          <w:rFonts w:cstheme="minorHAnsi"/>
          <w:noProof/>
          <w:vertAlign w:val="superscript"/>
        </w:rPr>
        <w:footnoteReference w:id="29"/>
      </w:r>
      <w:r>
        <w:rPr>
          <w:noProof/>
        </w:rPr>
        <w:t>, w których przedstawiono nadrzędną strategię UE i unijne cele mające zapewnić, aby polityka i działania UE przyczyniały się do wzmacniania systemów krajów partnerskich, w tym dotyczących ochrony dzieci.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  <w:noProof/>
          <w:u w:val="single"/>
        </w:rPr>
      </w:pPr>
      <w:r>
        <w:rPr>
          <w:rFonts w:cstheme="minorHAnsi"/>
          <w:noProof/>
          <w:u w:val="single"/>
        </w:rPr>
        <w:t>Wspieranie reformy wymiaru sprawiedliwości w Tunezji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 xml:space="preserve">W 2017 r. UE odnowiła swoje wsparcie dla tunezyjskiego wymiaru sprawiedliwości, zatwierdzając trzeci etap </w:t>
      </w:r>
      <w:r>
        <w:rPr>
          <w:i/>
          <w:noProof/>
        </w:rPr>
        <w:t>Programme d’Appui à la Réforme de la Justice III</w:t>
      </w:r>
      <w:r>
        <w:rPr>
          <w:noProof/>
        </w:rPr>
        <w:t xml:space="preserve"> (70 mln EUR) we współpracy z Radą Europy. Program ten wzmocni niezależność i bezstronność sądownictwa, jednocześnie zwiększając możliwości obywateli w dochodzeniu sprawiedliwości.</w:t>
      </w:r>
    </w:p>
    <w:p>
      <w:pPr>
        <w:keepNext/>
        <w:keepLines/>
        <w:spacing w:after="120" w:line="276" w:lineRule="auto"/>
        <w:jc w:val="both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Odporność i niestabilność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Dzięki wspólnemu komunikatowi z 2017 r. w sprawie strategicznego podejścia do kwestii odporności</w:t>
      </w:r>
      <w:r>
        <w:rPr>
          <w:rStyle w:val="FootnoteReference"/>
          <w:rFonts w:cstheme="minorHAnsi"/>
          <w:noProof/>
        </w:rPr>
        <w:footnoteReference w:id="30"/>
      </w:r>
      <w:r>
        <w:rPr>
          <w:noProof/>
        </w:rPr>
        <w:t xml:space="preserve"> UE przyjęła poszerzone wielosektorowe zobowiązanie dotyczące odporności. Podczas pilotażowego procesu przeprowadzonego w sześciu krajach (Czad, Irak, Mjanma/Birma, Nigeria, Sudan, Uganda) sprawdzono szersze powiązania między kwestiami humanitarnymi, rozwojem i pokojem.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 xml:space="preserve">W 2017 r. prace w dziedzinie odporności i przeciwdziałania niestabilności koncentrowały się w czterech następujących obszarach: wzmacnianie ram odporności; rozwijanie zintegrowanego podejścia do konfliktów i kryzysów zewnętrznych opartego na istniejącym podejściu kompleksowym; wzmacnianie znaczenia odporności w kontekście konfliktów i kryzysów oraz wspieranie </w:t>
      </w:r>
      <w:bookmarkStart w:id="18" w:name="_Hlk515529379"/>
      <w:r>
        <w:rPr>
          <w:noProof/>
        </w:rPr>
        <w:t>międzynarodowego dialogu na rzecz budowania pokoju i budowania państwowości</w:t>
      </w:r>
      <w:bookmarkEnd w:id="18"/>
      <w:r>
        <w:rPr>
          <w:noProof/>
        </w:rPr>
        <w:t>, któremu przewodzą właśnie państwa, w których sytuacja jest niestabilna.</w:t>
      </w:r>
    </w:p>
    <w:p>
      <w:pPr>
        <w:spacing w:after="120" w:line="276" w:lineRule="auto"/>
        <w:jc w:val="both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Bezpieczeństwo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Wydarzenia, jakie miały miejsce w 2017 r., ponownie potwierdziły, że UE odgrywa kluczową rolę w dziedzinie bezpieczeństwa. W grudniu 2017 r. weszła w życie zmiana do rozporządzenia dotyczącego Instrumentu na rzecz Przyczyniania się do Stabilności i Pokoju: budowanie zdolności na rzecz bezpieczeństwa i rozwoju</w:t>
      </w:r>
      <w:r>
        <w:rPr>
          <w:rFonts w:cstheme="minorHAnsi"/>
          <w:noProof/>
          <w:vertAlign w:val="superscript"/>
        </w:rPr>
        <w:footnoteReference w:id="31"/>
      </w:r>
      <w:r>
        <w:rPr>
          <w:noProof/>
        </w:rPr>
        <w:t>. To istotne wydarzenie polityczne umożliwia nawiązanie współpracy między UE a podmiotami wojskowymi w dążeniu do osiągnięcia celów rozwojowych w jasno określonych warunkach.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Instrument na rzecz Przyczyniania się do Stabilności i Pokoju przyczynił się do przeprowadzenia odbywających się równolegle pokojowych procesów przekazywania władzy, np. w Kenii lub Gambii, a przy jego pomocy zapewniono także wsparcie na rzecz kolumbijskiego procesu pokojowego, jak również dialogu Kosowo–Serbia, inicjatyw mediacyjnych w regionie delty Nigru w Nigerii, między społecznościami Tubu i Tuaregów w Nigrze oraz między Gwatemalą i Belize. Prace misji w ramach wspólnej polityki bezpieczeństwa i obrony (WPBiO) zostały bezpośrednio wsparte nowymi działaniami w Afganistanie, Bośni i Hercegowinie, Kosowie</w:t>
      </w:r>
      <w:r>
        <w:rPr>
          <w:rFonts w:cstheme="minorHAnsi"/>
          <w:noProof/>
          <w:vertAlign w:val="superscript"/>
        </w:rPr>
        <w:footnoteReference w:id="32"/>
      </w:r>
      <w:r>
        <w:rPr>
          <w:noProof/>
        </w:rPr>
        <w:t>, Libii, Nigrze i Somalii.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W połączeniu z trwającymi programami w Republice Środkowoafrykańskiej, Gruzji, Mali i na Ukrainie za pomocą Instrumentu na rzecz Przyczyniania się do Stabilności i Pokoju zapewniono bezpośrednie wsparcie na rzecz 12 z 16 trwających misji w dziedzinie WPBiO.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  <w:noProof/>
          <w:u w:val="single"/>
        </w:rPr>
      </w:pPr>
      <w:r>
        <w:rPr>
          <w:rFonts w:cstheme="minorHAnsi"/>
          <w:noProof/>
          <w:u w:val="single"/>
        </w:rPr>
        <w:t>Misje w dziedzinie WPBiO na świecie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 xml:space="preserve">16 misji i operacji w dziedzinie WPBiO obejmuje trzy wykonawcze operacje wojskowe (SOPHIA, ATALANTA oraz EUFOR ALTHEA) oraz trzy niewykonawcze wojskowe misje szkoleniowe (unijne misje szkoleniowe w Republice Środkowoafrykańskiej, Mali i Somalii). Trwa również jedna wykonawcza misja cywilna (misja Unii Europejskiej w zakresie praworządności (EULEX) w Kosowie), jedna cywilna misja obserwacyjna (misja obserwacyjna Unii Europejskiej (EUMM) w Gruzji), misja dotycząca </w:t>
      </w:r>
      <w:bookmarkStart w:id="19" w:name="_Hlk515534652"/>
      <w:r>
        <w:rPr>
          <w:noProof/>
        </w:rPr>
        <w:t>środka budowy zaufania (CBM)</w:t>
      </w:r>
      <w:bookmarkEnd w:id="19"/>
      <w:r>
        <w:rPr>
          <w:noProof/>
        </w:rPr>
        <w:t xml:space="preserve"> (misja Unii Europejskiej dotycząca pomocy w zintegrowanym zarządzaniu granicami (EUBAM) w Rafah), cztery misje dotyczące budowania zdolności (Misja Policyjna Unii Europejskiej na terytoriach palestyńskich (EUPOL COPPS), misje Unii Europejskiej dotyczące budowania zdolności w Somalii, Mali i Nigrze) oraz dwie misje doradcze (EUAM Ukraine i EUAM Iraq).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Na podstawie konkluzji Rady w sprawie działań zewnętrznych UE w dziedzinie zwalczania terroryzmu przyjęte w czerwcu 2017 r.</w:t>
      </w:r>
      <w:r>
        <w:rPr>
          <w:rFonts w:cstheme="minorHAnsi"/>
          <w:noProof/>
          <w:vertAlign w:val="superscript"/>
        </w:rPr>
        <w:footnoteReference w:id="33"/>
      </w:r>
      <w:r>
        <w:rPr>
          <w:noProof/>
        </w:rPr>
        <w:t xml:space="preserve"> dodatkowo wzmocniono sieć ekspertów ds. zwalczania terroryzmu w delegaturach Unii i osiągnięto większą spójność między wewnętrznymi i zewnętrznymi działaniami w dziedzinie bezpieczeństwa dzięki wzmocnieniu roli agencji WSiSW w odniesieniu do państw trzecich. 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Jeżeli chodzi o współpracę UE–NATO, rozpoczęto wdrażanie pierwszego wspólnego zestawu propozycji (42 działania) uzgodnionego na podstawie wspólnej deklaracji z lipca 2016 r. W grudniu 2017 r. obie Rady zatwierdziły wspólny zestaw nowych propozycji składający się z 32 dodatkowych działań i rozszerzający współpracę na kluczowe obszary, takie jak zwalczanie terroryzmu, kwestie dotyczące kobiet, pokoju i bezpieczeństwa oraz mobilności wojskowej.</w:t>
      </w:r>
    </w:p>
    <w:p>
      <w:pPr>
        <w:keepNext/>
        <w:keepLines/>
        <w:spacing w:after="120" w:line="276" w:lineRule="auto"/>
        <w:jc w:val="both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Stabilność</w:t>
      </w:r>
    </w:p>
    <w:p>
      <w:pPr>
        <w:spacing w:after="120" w:line="276" w:lineRule="auto"/>
        <w:jc w:val="both"/>
        <w:rPr>
          <w:rFonts w:cstheme="minorHAnsi"/>
          <w:iCs/>
          <w:noProof/>
        </w:rPr>
      </w:pPr>
      <w:r>
        <w:rPr>
          <w:noProof/>
        </w:rPr>
        <w:t>UE wspiera działania stabilizacyjne w Libii, skupiając się na odbudowie kluczowej infrastruktury, humanitarnym rozminowywaniu oraz na wspieraniu mediacji służących budowaniu narodowego konsensusu.</w:t>
      </w:r>
    </w:p>
    <w:p>
      <w:pPr>
        <w:spacing w:after="120" w:line="276" w:lineRule="auto"/>
        <w:jc w:val="both"/>
        <w:rPr>
          <w:rFonts w:cstheme="minorHAnsi"/>
          <w:iCs/>
          <w:noProof/>
        </w:rPr>
      </w:pPr>
      <w:r>
        <w:rPr>
          <w:noProof/>
        </w:rPr>
        <w:t>Komunikat pt. „Elementy strategii UE na rzecz Syrii: wzmocnienie wysiłków UE na rzecz budowy pokoju”</w:t>
      </w:r>
      <w:r>
        <w:rPr>
          <w:rFonts w:cstheme="minorHAnsi"/>
          <w:noProof/>
          <w:vertAlign w:val="superscript"/>
        </w:rPr>
        <w:footnoteReference w:id="34"/>
      </w:r>
      <w:r>
        <w:rPr>
          <w:noProof/>
        </w:rPr>
        <w:t xml:space="preserve"> przyjęto w marcu 2017 r. i określono w nim główne cele działań UE ukierunkowanych na zakończenie wojny i wspieranie rzeczywistej zmiany politycznej.</w:t>
      </w:r>
    </w:p>
    <w:p>
      <w:pPr>
        <w:spacing w:after="120" w:line="276" w:lineRule="auto"/>
        <w:jc w:val="both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Bezpieczeństwo jądrowe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Dzięki wielowymiarowemu podejściu do kwestii bezpieczeństwa jądrowego, zdrowia, środowiska i innych powiązanych zagadnień, program „Instrument Współpracy w dziedzinie Bezpieczeństwa Jądrowego” (INSC) pozwala wnieść wkład w wielu kluczowych obszarach Europejskiego konsensusu w sprawie rozwoju, w tym w zakresie kluczowych działań priorytetowych na Ukrainie, w Azji Środkowej i w Iranie.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  <w:noProof/>
          <w:u w:val="single"/>
        </w:rPr>
      </w:pPr>
      <w:r>
        <w:rPr>
          <w:rFonts w:cstheme="minorHAnsi"/>
          <w:noProof/>
          <w:u w:val="single"/>
        </w:rPr>
        <w:t xml:space="preserve">Pokój i dobrobyt w Iranie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 xml:space="preserve">Instrument Współpracy w dziedzinie Bezpieczeństwa Jądrowego stanowi istotny element wdrażania porozumienia dyplomatycznego z Iranem, Wspólnego kompleksowego planu działania (JCPOA), które jest ważnym krokiem dla nieproliferacji na świecie i w sposób istotny przyczynia się do zapewnienia pokoju w regionie. Realizację pierwszego projektu wspierającego irański organ regulacyjny sektora jądrowego rozpoczęto w lipcu 2017 r. </w:t>
      </w:r>
    </w:p>
    <w:p>
      <w:pPr>
        <w:spacing w:after="120" w:line="276" w:lineRule="auto"/>
        <w:rPr>
          <w:rFonts w:cstheme="minorHAnsi"/>
          <w:b/>
          <w:noProof/>
          <w:u w:val="single"/>
        </w:rPr>
      </w:pPr>
    </w:p>
    <w:p>
      <w:pPr>
        <w:keepNext/>
        <w:keepLines/>
        <w:spacing w:after="120" w:line="276" w:lineRule="auto"/>
        <w:mirrorIndents/>
        <w:rPr>
          <w:rFonts w:cstheme="minorHAnsi"/>
          <w:b/>
          <w:noProof/>
          <w:u w:val="single"/>
        </w:rPr>
      </w:pPr>
      <w:r>
        <w:rPr>
          <w:rFonts w:cstheme="minorHAnsi"/>
          <w:b/>
          <w:noProof/>
          <w:u w:val="single"/>
        </w:rPr>
        <w:t>PARTNERSTWA</w:t>
      </w:r>
    </w:p>
    <w:p>
      <w:pPr>
        <w:keepNext/>
        <w:keepLines/>
        <w:spacing w:after="120" w:line="276" w:lineRule="auto"/>
        <w:jc w:val="both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Współpraca ze społeczeństwem obywatelskim, społecznością darczyńców i organizacjami międzynarodowymi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Głównym elementem pomyślnej realizacji agendy na rzecz zrównoważonego rozwoju 2030 jest wzmocnienie środków wdrażania i ożywienie globalnego partnerstwa na rzecz zrównoważonego rozwoju (17. cel zrównoważonego rozwoju).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 xml:space="preserve">UE i ONZ są nieodzownymi partnerami na drodze do osiągnięcia pokoju i bezpieczeństwa. W 2017 r. UE nadal angażowała się w procesy ONZ związane z rozwojem, w tym w ramach Forum Politycznego Wysokiego Szczebla i Forum Finansowania Rozwoju. 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UE jeszcze bardziej zacieśniła współpracę z organizacjami społeczeństwa obywatelskiego. Zrealizowano dwadzieścia trzy umowy ramowe o partnerstwie z platformami społeczeństwa obywatelskiego. W 2017 r. opublikowano sprawozdanie z współpracy między UE i społeczeństwem obywatelskim</w:t>
      </w:r>
      <w:r>
        <w:rPr>
          <w:rFonts w:cstheme="minorHAnsi"/>
          <w:noProof/>
          <w:vertAlign w:val="superscript"/>
        </w:rPr>
        <w:footnoteReference w:id="35"/>
      </w:r>
      <w:r>
        <w:rPr>
          <w:noProof/>
        </w:rPr>
        <w:t>.</w:t>
      </w:r>
    </w:p>
    <w:p>
      <w:pPr>
        <w:spacing w:after="120" w:line="276" w:lineRule="auto"/>
        <w:jc w:val="both"/>
        <w:rPr>
          <w:noProof/>
        </w:rPr>
      </w:pPr>
      <w:r>
        <w:rPr>
          <w:noProof/>
        </w:rPr>
        <w:t>W 2017 r. przeprowadzono szereg rozmów na temat polityki rozwojowej z darczyńcami spoza UE, w tym z Australią, Kanadą, Japonią, Republiką Korei i USA.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W 2017 r. w dalszym ciągu wykorzystywano Instrument Partnerstwa do kształtowania i wdrażania zewnętrznego wymiaru polityki wewnętrznej, łącząc wzajemnie między sobą różne obszary polityki. Działania obejmują globalne wyzwania, takie jak zmiana klimatu i ochrona środowiska (np. czysta energia); międzynarodowy wymiar strategii „Europa 2020”</w:t>
      </w:r>
      <w:r>
        <w:rPr>
          <w:rStyle w:val="FootnoteReference"/>
          <w:rFonts w:cstheme="minorHAnsi"/>
          <w:noProof/>
        </w:rPr>
        <w:footnoteReference w:id="36"/>
      </w:r>
      <w:r>
        <w:rPr>
          <w:noProof/>
        </w:rPr>
        <w:t>; zwiększanie dostępu do rynków i wspieranie handlu, inwestycji i możliwości rynkowych unijnych przedsiębiorstw (ze szczególnym naciskiem na MŚP) i dyplomacja publiczna.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 xml:space="preserve">Przez cały 2017 r. Komisja prowadziła ścisłą współpracę z partnerami międzynarodowymi, takimi jak G7, G20, Bank Światowy oraz </w:t>
      </w:r>
      <w:bookmarkStart w:id="20" w:name="_Hlk515549527"/>
      <w:r>
        <w:rPr>
          <w:noProof/>
        </w:rPr>
        <w:t>Międzynarodowy Fundusz Walutowy</w:t>
      </w:r>
      <w:bookmarkEnd w:id="20"/>
      <w:r>
        <w:rPr>
          <w:noProof/>
        </w:rPr>
        <w:t>.</w:t>
      </w:r>
    </w:p>
    <w:p>
      <w:pPr>
        <w:spacing w:after="120" w:line="276" w:lineRule="auto"/>
        <w:rPr>
          <w:rFonts w:cstheme="minorHAnsi"/>
          <w:b/>
          <w:noProof/>
          <w:u w:val="single"/>
        </w:rPr>
      </w:pPr>
    </w:p>
    <w:p>
      <w:pPr>
        <w:keepNext/>
        <w:keepLines/>
        <w:spacing w:after="120" w:line="276" w:lineRule="auto"/>
        <w:mirrorIndents/>
        <w:rPr>
          <w:rFonts w:cstheme="minorHAnsi"/>
          <w:b/>
          <w:noProof/>
          <w:u w:val="single"/>
        </w:rPr>
      </w:pPr>
      <w:r>
        <w:rPr>
          <w:rFonts w:cstheme="minorHAnsi"/>
          <w:b/>
          <w:noProof/>
          <w:u w:val="single"/>
        </w:rPr>
        <w:t>ROZLICZALNOŚĆ i WYNIKI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Komisja Europejska monitoruje wyniki finansowanych z budżetu UE działań prowadzonych wraz z partnerami z całego świata i przedstawia odpowiednie sprawozdania za pośrednictwem unijnych ram wyników w zakresie rozwoju i współpracy międzynarodowej.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Projekty i programy finansowane ze środków UE, które dobiegły końca między połową 2016 r. a połową 2017 r., przyczyniły się do osiągnięcia m.in. następujących rezultatów:</w:t>
      </w:r>
    </w:p>
    <w:p>
      <w:pPr>
        <w:spacing w:after="120" w:line="276" w:lineRule="auto"/>
        <w:jc w:val="both"/>
        <w:rPr>
          <w:rFonts w:cstheme="minorHAnsi"/>
          <w:b/>
          <w:bCs/>
          <w:noProof/>
        </w:rPr>
      </w:pPr>
      <w:r>
        <w:rPr>
          <w:rFonts w:cstheme="minorHAnsi"/>
          <w:b/>
          <w:noProof/>
        </w:rPr>
        <w:t>LUDZIE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1 492 000 kobiet w wieku rozrodczym i dzieci poniżej piątego roku życia skorzystało z </w:t>
      </w:r>
      <w:r>
        <w:rPr>
          <w:b/>
          <w:noProof/>
        </w:rPr>
        <w:t>programów związanych z żywieniem</w:t>
      </w:r>
      <w:r>
        <w:rPr>
          <w:noProof/>
        </w:rPr>
        <w:t>.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 xml:space="preserve">12 437 000 dzieci rozpoczęło </w:t>
      </w:r>
      <w:r>
        <w:rPr>
          <w:b/>
          <w:noProof/>
        </w:rPr>
        <w:t>edukację na poziomie podstawowym</w:t>
      </w:r>
      <w:r>
        <w:rPr>
          <w:noProof/>
        </w:rPr>
        <w:t xml:space="preserve">, 3 377 000 dzieci rozpoczęło </w:t>
      </w:r>
      <w:r>
        <w:rPr>
          <w:b/>
          <w:noProof/>
        </w:rPr>
        <w:t>edukację na poziomie średnim.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 xml:space="preserve">przy 3 096 000 porodów asystował wykwalifikowany personel medyczny, co pozwoliło </w:t>
      </w:r>
      <w:r>
        <w:rPr>
          <w:b/>
          <w:noProof/>
        </w:rPr>
        <w:t>zmniejszyć umieralność matek.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 xml:space="preserve">Rozdysponowano 136 000 000 moskitier nasączonych środkiem owadobójczym, co </w:t>
      </w:r>
      <w:r>
        <w:rPr>
          <w:b/>
          <w:noProof/>
        </w:rPr>
        <w:t>zapobiegło szerzeniu się malarii</w:t>
      </w:r>
      <w:r>
        <w:rPr>
          <w:rStyle w:val="FootnoteReference"/>
          <w:rFonts w:cstheme="minorHAnsi"/>
          <w:noProof/>
        </w:rPr>
        <w:footnoteReference w:id="37"/>
      </w:r>
      <w:r>
        <w:rPr>
          <w:noProof/>
        </w:rPr>
        <w:t>.</w:t>
      </w:r>
    </w:p>
    <w:p>
      <w:pPr>
        <w:spacing w:after="120" w:line="276" w:lineRule="auto"/>
        <w:jc w:val="both"/>
        <w:rPr>
          <w:rFonts w:cstheme="minorHAnsi"/>
          <w:b/>
          <w:bCs/>
          <w:noProof/>
        </w:rPr>
      </w:pPr>
      <w:r>
        <w:rPr>
          <w:rFonts w:cstheme="minorHAnsi"/>
          <w:b/>
          <w:noProof/>
        </w:rPr>
        <w:t>PLANETA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Zarządzano 16 140 000 ha obszarów chronionych, co pomogło w </w:t>
      </w:r>
      <w:r>
        <w:rPr>
          <w:b/>
          <w:noProof/>
        </w:rPr>
        <w:t>zapewnieniu różnorodności biologicznej</w:t>
      </w:r>
      <w:r>
        <w:rPr>
          <w:noProof/>
        </w:rPr>
        <w:t xml:space="preserve"> i zachowaniu dziedzictwa naturalnego.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 xml:space="preserve">3 438 000 osób uzyskało dostęp do </w:t>
      </w:r>
      <w:r>
        <w:rPr>
          <w:b/>
          <w:noProof/>
        </w:rPr>
        <w:t>zrównoważonych usług energetycznych</w:t>
      </w:r>
      <w:r>
        <w:rPr>
          <w:noProof/>
        </w:rPr>
        <w:t>.</w:t>
      </w:r>
    </w:p>
    <w:p>
      <w:pPr>
        <w:spacing w:after="120" w:line="276" w:lineRule="auto"/>
        <w:jc w:val="both"/>
        <w:rPr>
          <w:rFonts w:cstheme="minorHAnsi"/>
          <w:b/>
          <w:bCs/>
          <w:noProof/>
        </w:rPr>
      </w:pPr>
      <w:r>
        <w:rPr>
          <w:rFonts w:cstheme="minorHAnsi"/>
          <w:b/>
          <w:noProof/>
        </w:rPr>
        <w:t>DOBROBYT</w:t>
      </w:r>
    </w:p>
    <w:p>
      <w:pPr>
        <w:spacing w:after="120" w:line="276" w:lineRule="auto"/>
        <w:jc w:val="both"/>
        <w:rPr>
          <w:rFonts w:cstheme="minorHAnsi"/>
          <w:b/>
          <w:noProof/>
        </w:rPr>
      </w:pPr>
      <w:r>
        <w:rPr>
          <w:noProof/>
        </w:rPr>
        <w:t xml:space="preserve">757 000 osób zdobyło prawa własności do ziemi, zwiększając swój stan posiadania do poziomu, który zapewnia </w:t>
      </w:r>
      <w:r>
        <w:rPr>
          <w:b/>
          <w:noProof/>
        </w:rPr>
        <w:t>stabilne utrzymanie z rolnictwa.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 xml:space="preserve">1 844 000 osób uzyskało dostęp do </w:t>
      </w:r>
      <w:r>
        <w:rPr>
          <w:b/>
          <w:noProof/>
        </w:rPr>
        <w:t>dróg przejezdnych przez cały rok.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 xml:space="preserve">166 000 osób skorzystało z programów szkoleń zawodowych i edukacyjnych lub rozwoju umiejętności, podnosząc swoją </w:t>
      </w:r>
      <w:r>
        <w:rPr>
          <w:b/>
          <w:noProof/>
        </w:rPr>
        <w:t>zdolność do zatrudnienia.</w:t>
      </w:r>
    </w:p>
    <w:p>
      <w:pPr>
        <w:spacing w:after="120" w:line="276" w:lineRule="auto"/>
        <w:jc w:val="both"/>
        <w:rPr>
          <w:rFonts w:cstheme="minorHAnsi"/>
          <w:b/>
          <w:bCs/>
          <w:noProof/>
        </w:rPr>
      </w:pPr>
      <w:r>
        <w:rPr>
          <w:rFonts w:cstheme="minorHAnsi"/>
          <w:b/>
          <w:noProof/>
        </w:rPr>
        <w:t>POKÓJ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>309 000 osób bezpośrednio skorzystało z </w:t>
      </w:r>
      <w:r>
        <w:rPr>
          <w:b/>
          <w:noProof/>
        </w:rPr>
        <w:t>pomocy prawnej</w:t>
      </w:r>
      <w:r>
        <w:rPr>
          <w:noProof/>
        </w:rPr>
        <w:t>, co zapewniło równość wobec prawa.</w:t>
      </w:r>
    </w:p>
    <w:p>
      <w:pPr>
        <w:spacing w:after="120" w:line="276" w:lineRule="auto"/>
        <w:jc w:val="both"/>
        <w:rPr>
          <w:rFonts w:cstheme="minorHAnsi"/>
          <w:noProof/>
        </w:rPr>
      </w:pPr>
      <w:r>
        <w:rPr>
          <w:noProof/>
        </w:rPr>
        <w:t xml:space="preserve">1 420 000 osób bezpośrednio skorzystało z programów wspierania </w:t>
      </w:r>
      <w:r>
        <w:rPr>
          <w:b/>
          <w:noProof/>
        </w:rPr>
        <w:t>cywilnego pokonfliktowego budowania pokoju i zapobiegania konfliktom.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384461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>Global Peace Index 2017, Instytut Ekonomii i Pokoju.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>
        <w:r>
          <w:rPr>
            <w:rStyle w:val="Hyperlink"/>
          </w:rPr>
          <w:t>https://europa.eu/globalstrategy/en/global-strategy-foreign-and-security-policy-european-union</w:t>
        </w:r>
      </w:hyperlink>
      <w:r>
        <w:t xml:space="preserve"> 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>
        <w:r>
          <w:rPr>
            <w:rStyle w:val="Hyperlink"/>
          </w:rPr>
          <w:t>https://eeas.europa.eu/headquarters/headquarters-Homepage/36453/coordinated-annual-review-defence-card_en</w:t>
        </w:r>
      </w:hyperlink>
      <w:r>
        <w:t xml:space="preserve"> 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>
        <w:r>
          <w:rPr>
            <w:rStyle w:val="Hyperlink"/>
          </w:rPr>
          <w:t>https://eeas.europa.eu/headquarters/headquarters-homepage/27763/military-planning-and-conduct-capability-mpcc_en</w:t>
        </w:r>
      </w:hyperlink>
      <w:r>
        <w:t xml:space="preserve"> 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>
        <w:r>
          <w:rPr>
            <w:rStyle w:val="Hyperlink"/>
          </w:rPr>
          <w:t>https://eeas.europa.eu/headquarters/headquarters-Homepage/34226/permanent-structured-cooperation-pesco-factsheet_en</w:t>
        </w:r>
      </w:hyperlink>
      <w:r>
        <w:t xml:space="preserve"> 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>
        <w:r>
          <w:rPr>
            <w:rStyle w:val="Hyperlink"/>
          </w:rPr>
          <w:t>https://ec.europa.eu/europeaid/policies/european-development-policy/european-consensus-development_en</w:t>
        </w:r>
      </w:hyperlink>
      <w:r>
        <w:t xml:space="preserve"> 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>
        <w:r>
          <w:rPr>
            <w:rStyle w:val="Hyperlink"/>
          </w:rPr>
          <w:t>https://ec.europa.eu/europeaid/eu-external-investment-plan-factsheet_en</w:t>
        </w:r>
      </w:hyperlink>
      <w:r>
        <w:t xml:space="preserve"> </w:t>
      </w:r>
    </w:p>
  </w:footnote>
  <w:footnote w:id="8">
    <w:p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hyperlink r:id="rId7">
        <w:r>
          <w:rPr>
            <w:rStyle w:val="Hyperlink"/>
          </w:rPr>
          <w:t>https://ec.europa.eu/europeaid/evaluation-eu-joint-programming-process-development-cooperation-2011-2015_en</w:t>
        </w:r>
      </w:hyperlink>
      <w:r>
        <w:t xml:space="preserve"> </w:t>
      </w:r>
    </w:p>
  </w:footnote>
  <w:footnote w:id="9">
    <w:p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rPr>
          <w:lang w:val="en-GB"/>
        </w:rPr>
        <w:t xml:space="preserve"> JOIN(2017) 17 final, 4.5.2017.</w:t>
      </w:r>
    </w:p>
  </w:footnote>
  <w:footnote w:id="10">
    <w:p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rPr>
          <w:lang w:val="en-GB"/>
        </w:rPr>
        <w:t xml:space="preserve"> </w:t>
      </w:r>
      <w:hyperlink r:id="rId8">
        <w:r>
          <w:rPr>
            <w:rStyle w:val="Hyperlink"/>
            <w:lang w:val="en-GB"/>
          </w:rPr>
          <w:t>http://europa.eu/rapid/press-release_SPEECH-17-3165_pl.htm</w:t>
        </w:r>
      </w:hyperlink>
      <w:r>
        <w:rPr>
          <w:lang w:val="en-GB"/>
        </w:rPr>
        <w:t xml:space="preserve"> </w:t>
      </w:r>
    </w:p>
  </w:footnote>
  <w:footnote w:id="11">
    <w:p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rPr>
          <w:lang w:val="en-GB"/>
        </w:rPr>
        <w:t xml:space="preserve"> </w:t>
      </w:r>
      <w:hyperlink r:id="rId9">
        <w:r>
          <w:rPr>
            <w:rStyle w:val="Hyperlink"/>
            <w:lang w:val="en-GB"/>
          </w:rPr>
          <w:t>https://eeas.europa.eu/sites/eeas/files/20_deliverables_for_2020.pdf</w:t>
        </w:r>
      </w:hyperlink>
      <w:r>
        <w:rPr>
          <w:lang w:val="en-GB"/>
        </w:rPr>
        <w:t xml:space="preserve"> </w:t>
      </w:r>
    </w:p>
  </w:footnote>
  <w:footnote w:id="12">
    <w:p>
      <w:pPr>
        <w:spacing w:after="0" w:line="240" w:lineRule="auto"/>
        <w:rPr>
          <w:color w:val="1F497D"/>
          <w:sz w:val="20"/>
          <w:szCs w:val="20"/>
        </w:rPr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JOIN(2017) 18 final, 18.5.2017.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 xml:space="preserve"> Wspólny komunikat „W stronę strategii UE w dziedzinie międzynarodowych stosunków kulturalnych”, JOIN(2016) 29 final, 8.6.2016; Konkluzje Rady, 9635/17.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 xml:space="preserve"> Joint SWD(2015) 182 final, 21.09.2015, „Równość płci i wzmocnienie pozycji kobiet: odmiana losu dziewcząt i kobiet w kontekście stosunków zewnętrznych UE w latach 2016–2020” i konkluzje Rady 13201/15, 26.10.2015.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0">
        <w:r>
          <w:rPr>
            <w:rStyle w:val="Hyperlink"/>
          </w:rPr>
          <w:t>https://ec.europa.eu/transparency/regdoc/rep/10102/2017/EN/SWD-2017-288-F1-EN-MAIN-PART-1.PDF</w:t>
        </w:r>
      </w:hyperlink>
      <w:r>
        <w:t xml:space="preserve"> 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1">
        <w:r>
          <w:rPr>
            <w:rStyle w:val="Hyperlink"/>
          </w:rPr>
          <w:t>http://europa.eu/rapid/press-release_IP-18-3342_pl.htm</w:t>
        </w:r>
      </w:hyperlink>
      <w:r>
        <w:t xml:space="preserve"> 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2">
        <w:r>
          <w:rPr>
            <w:rStyle w:val="Hyperlink"/>
          </w:rPr>
          <w:t>https://ec.europa.eu/europeaid/sectors/human-rights-and-democratic-governance/gender-equality/spotlight-initiative_en</w:t>
        </w:r>
      </w:hyperlink>
      <w:r>
        <w:t xml:space="preserve"> </w:t>
      </w:r>
    </w:p>
  </w:footnote>
  <w:footnote w:id="18">
    <w:p>
      <w:pPr>
        <w:spacing w:after="0" w:line="240" w:lineRule="auto"/>
        <w:rPr>
          <w:sz w:val="20"/>
          <w:szCs w:val="20"/>
          <w:lang w:val="en-GB"/>
        </w:rPr>
      </w:pPr>
      <w:r>
        <w:rPr>
          <w:rStyle w:val="FootnoteReference"/>
          <w:sz w:val="20"/>
        </w:rPr>
        <w:footnoteRef/>
      </w:r>
      <w:r>
        <w:rPr>
          <w:sz w:val="20"/>
          <w:lang w:val="en-GB"/>
        </w:rPr>
        <w:t xml:space="preserve"> JOIN(2017) 4 final, 25.1.2017.</w:t>
      </w:r>
    </w:p>
  </w:footnote>
  <w:footnote w:id="19">
    <w:p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rPr>
          <w:lang w:val="en-GB"/>
        </w:rPr>
        <w:t xml:space="preserve"> </w:t>
      </w:r>
      <w:r>
        <w:rPr>
          <w:rStyle w:val="Hyperlink"/>
          <w:lang w:val="en-GB"/>
        </w:rPr>
        <w:t>https://ec.europa.eu/europeaid/global-report-food-crises-2017_en</w:t>
      </w:r>
      <w:r>
        <w:rPr>
          <w:lang w:val="en-GB"/>
        </w:rPr>
        <w:t xml:space="preserve"> </w:t>
      </w:r>
    </w:p>
  </w:footnote>
  <w:footnote w:id="20">
    <w:p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rPr>
          <w:lang w:val="en-GB"/>
        </w:rPr>
        <w:t xml:space="preserve"> </w:t>
      </w:r>
      <w:hyperlink r:id="rId13">
        <w:r>
          <w:rPr>
            <w:rStyle w:val="Hyperlink"/>
            <w:lang w:val="en-GB"/>
          </w:rPr>
          <w:t>http://www.euflegt.efi.int/flegt-action-plan</w:t>
        </w:r>
      </w:hyperlink>
      <w:r>
        <w:rPr>
          <w:lang w:val="en-GB"/>
        </w:rPr>
        <w:t xml:space="preserve"> </w:t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 xml:space="preserve"> SWD(2017) 482 final z 15.12.2017.</w:t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4">
        <w:r>
          <w:rPr>
            <w:rStyle w:val="Hyperlink"/>
          </w:rPr>
          <w:t>https://ec.europa.eu/europeaid/sites/devco/files/factsheet-5-energise-africa_en.pdf</w:t>
        </w:r>
      </w:hyperlink>
      <w:r>
        <w:t xml:space="preserve"> </w:t>
      </w:r>
    </w:p>
  </w:footnote>
  <w:footnote w:id="2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5">
        <w:r>
          <w:rPr>
            <w:rStyle w:val="Hyperlink"/>
          </w:rPr>
          <w:t>https://ec.europa.eu/europeaid/sectors/economic-growth/private-sector-development/funding_en</w:t>
        </w:r>
      </w:hyperlink>
      <w:r>
        <w:t xml:space="preserve"> </w:t>
      </w:r>
    </w:p>
  </w:footnote>
  <w:footnote w:id="24">
    <w:p>
      <w:pPr>
        <w:pStyle w:val="FootnoteText"/>
      </w:pPr>
      <w:r>
        <w:rPr>
          <w:rStyle w:val="FootnoteReference"/>
        </w:rPr>
        <w:footnoteRef/>
      </w:r>
      <w:r>
        <w:t xml:space="preserve"> SWD(2017) 667 final z 13.11.2017.</w:t>
      </w:r>
    </w:p>
  </w:footnote>
  <w:footnote w:id="25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6">
        <w:r>
          <w:rPr>
            <w:rStyle w:val="Hyperlink"/>
          </w:rPr>
          <w:t>https://www.edfi.eu/facility/agrifi/</w:t>
        </w:r>
      </w:hyperlink>
      <w:r>
        <w:t xml:space="preserve"> </w:t>
      </w:r>
    </w:p>
  </w:footnote>
  <w:footnote w:id="26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7" w:history="1">
        <w:r>
          <w:rPr>
            <w:rStyle w:val="Hyperlink"/>
          </w:rPr>
          <w:t>http://ec.europa.eu/regional_policy/sources/cooperate/international/pdf/iuc_leaflet_en.pdf</w:t>
        </w:r>
      </w:hyperlink>
      <w:r>
        <w:t xml:space="preserve"> </w:t>
      </w:r>
    </w:p>
  </w:footnote>
  <w:footnote w:id="27">
    <w:p>
      <w:pPr>
        <w:pStyle w:val="FootnoteText"/>
      </w:pPr>
      <w:r>
        <w:rPr>
          <w:rStyle w:val="FootnoteReference"/>
        </w:rPr>
        <w:footnoteRef/>
      </w:r>
      <w:r>
        <w:t xml:space="preserve"> SWD(2017) 157 final z 02.05.2017.</w:t>
      </w:r>
    </w:p>
  </w:footnote>
  <w:footnote w:id="28">
    <w:p>
      <w:pPr>
        <w:pStyle w:val="FootnoteText"/>
      </w:pPr>
      <w:r>
        <w:rPr>
          <w:rStyle w:val="FootnoteReference"/>
        </w:rPr>
        <w:footnoteRef/>
      </w:r>
      <w:r>
        <w:t xml:space="preserve"> SWD(2017) 254 final z 27.6.2017.</w:t>
      </w:r>
    </w:p>
  </w:footnote>
  <w:footnote w:id="2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8">
        <w:r>
          <w:rPr>
            <w:rStyle w:val="Hyperlink"/>
          </w:rPr>
          <w:t>https://eeas.europa.eu/sites/eeas/files/eu_guidelines_rights_of_child_2017.pdf</w:t>
        </w:r>
      </w:hyperlink>
      <w:r>
        <w:t xml:space="preserve"> </w:t>
      </w:r>
    </w:p>
  </w:footnote>
  <w:footnote w:id="30">
    <w:p>
      <w:pPr>
        <w:pStyle w:val="FootnoteText"/>
      </w:pPr>
      <w:r>
        <w:rPr>
          <w:rStyle w:val="FootnoteReference"/>
        </w:rPr>
        <w:footnoteRef/>
      </w:r>
      <w:r>
        <w:t xml:space="preserve"> JOIN(2017) 21 final z 7.6.2017.</w:t>
      </w:r>
    </w:p>
  </w:footnote>
  <w:footnote w:id="31">
    <w:p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rPr>
          <w:rStyle w:val="FootnoteReference"/>
          <w:vertAlign w:val="baseline"/>
        </w:rPr>
        <w:t>Rozporządzenie Parlamentu Europejskiego i Rady (UE) 2017/2306 z dnia 12 grudnia 2017 r.</w:t>
      </w:r>
    </w:p>
  </w:footnote>
  <w:footnote w:id="32">
    <w:p>
      <w:pPr>
        <w:pStyle w:val="FootnoteText"/>
      </w:pPr>
      <w:r>
        <w:rPr>
          <w:rStyle w:val="FootnoteReference"/>
        </w:rPr>
        <w:footnoteRef/>
      </w:r>
      <w:r>
        <w:t xml:space="preserve"> Użycie tej nazwy nie wpływa na status Kosowa i jest zgodne z rezolucją Rady Bezpieczeństwa ONZ 1244/1999 oraz z opinią Międzynarodowego Trybunału Sprawiedliwości w sprawie deklaracji niepodległości Kosowa. </w:t>
      </w:r>
    </w:p>
  </w:footnote>
  <w:footnote w:id="33">
    <w:p>
      <w:pPr>
        <w:pStyle w:val="FootnoteText"/>
      </w:pPr>
      <w:r>
        <w:rPr>
          <w:rStyle w:val="FootnoteReference"/>
        </w:rPr>
        <w:footnoteRef/>
      </w:r>
      <w:hyperlink r:id="rId19">
        <w:r>
          <w:rPr>
            <w:rStyle w:val="Hyperlink"/>
          </w:rPr>
          <w:t>http://www.consilium.europa.eu/pl/press/press-releases/2017/06/19/conclusions-counterterrorism/</w:t>
        </w:r>
      </w:hyperlink>
      <w:r>
        <w:t xml:space="preserve">  </w:t>
      </w:r>
    </w:p>
  </w:footnote>
  <w:footnote w:id="34">
    <w:p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rPr>
          <w:lang w:val="en-GB"/>
        </w:rPr>
        <w:t xml:space="preserve"> </w:t>
      </w:r>
      <w:r>
        <w:rPr>
          <w:color w:val="000000"/>
          <w:lang w:val="en-GB"/>
        </w:rPr>
        <w:t>JOIN(2017) 11 final z 14.3.2017.</w:t>
      </w:r>
    </w:p>
  </w:footnote>
  <w:footnote w:id="35">
    <w:p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rPr>
          <w:lang w:val="en-GB"/>
        </w:rPr>
        <w:t xml:space="preserve"> </w:t>
      </w:r>
      <w:hyperlink r:id="rId20">
        <w:r>
          <w:rPr>
            <w:rStyle w:val="Hyperlink"/>
            <w:lang w:val="en-GB"/>
          </w:rPr>
          <w:t>https://europa.eu/capacity4dev/policy-forum-development/documents/eu-cso-report-1</w:t>
        </w:r>
      </w:hyperlink>
      <w:r>
        <w:rPr>
          <w:lang w:val="en-GB"/>
        </w:rPr>
        <w:t xml:space="preserve"> </w:t>
      </w:r>
    </w:p>
  </w:footnote>
  <w:footnote w:id="36">
    <w:p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rPr>
          <w:lang w:val="en-GB"/>
        </w:rPr>
        <w:t xml:space="preserve"> </w:t>
      </w:r>
      <w:hyperlink r:id="rId21">
        <w:r>
          <w:rPr>
            <w:rStyle w:val="Hyperlink"/>
            <w:lang w:val="en-GB"/>
          </w:rPr>
          <w:t>https://ec.europa.eu/info/business-economy-euro/economic-and-fiscal-policy-coordination/eu-economic-governance-monitoring-prevention-correction/european-semester/framework/europe-2020-strategy_pl</w:t>
        </w:r>
      </w:hyperlink>
      <w:r>
        <w:rPr>
          <w:lang w:val="en-GB"/>
        </w:rPr>
        <w:t xml:space="preserve"> </w:t>
      </w:r>
    </w:p>
  </w:footnote>
  <w:footnote w:id="37">
    <w:p>
      <w:pPr>
        <w:pStyle w:val="FootnoteText"/>
      </w:pPr>
      <w:r>
        <w:rPr>
          <w:rStyle w:val="FootnoteReference"/>
        </w:rPr>
        <w:footnoteRef/>
      </w:r>
      <w:r>
        <w:t xml:space="preserve"> Do osiągnięcia tych wyników przyczyniło się stałe wsparcie UE dla Globalnego Funduszu na rzecz Walki z AIDS, Gruźlicą i Malarią.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0D7"/>
    <w:multiLevelType w:val="hybridMultilevel"/>
    <w:tmpl w:val="1FFA1780"/>
    <w:lvl w:ilvl="0" w:tplc="5F141B84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A16D9"/>
    <w:multiLevelType w:val="hybridMultilevel"/>
    <w:tmpl w:val="8932CA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752A1"/>
    <w:multiLevelType w:val="hybridMultilevel"/>
    <w:tmpl w:val="80082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418B6"/>
    <w:multiLevelType w:val="hybridMultilevel"/>
    <w:tmpl w:val="E9A28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F17D7"/>
    <w:multiLevelType w:val="hybridMultilevel"/>
    <w:tmpl w:val="9EA6DB2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13019F"/>
    <w:multiLevelType w:val="hybridMultilevel"/>
    <w:tmpl w:val="9AEAB430"/>
    <w:lvl w:ilvl="0" w:tplc="4C7A6E6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E77F8"/>
    <w:multiLevelType w:val="hybridMultilevel"/>
    <w:tmpl w:val="0FEE5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C39E9"/>
    <w:multiLevelType w:val="hybridMultilevel"/>
    <w:tmpl w:val="E7E25112"/>
    <w:lvl w:ilvl="0" w:tplc="4C7A6E6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6063B"/>
    <w:multiLevelType w:val="multilevel"/>
    <w:tmpl w:val="90A0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7054B7"/>
    <w:multiLevelType w:val="hybridMultilevel"/>
    <w:tmpl w:val="5BBA7A30"/>
    <w:lvl w:ilvl="0" w:tplc="4C7A6E6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83BE0"/>
    <w:multiLevelType w:val="hybridMultilevel"/>
    <w:tmpl w:val="9CAE4942"/>
    <w:lvl w:ilvl="0" w:tplc="4C7A6E6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1167B"/>
    <w:multiLevelType w:val="hybridMultilevel"/>
    <w:tmpl w:val="350EA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E24A6"/>
    <w:multiLevelType w:val="hybridMultilevel"/>
    <w:tmpl w:val="3C284E76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13FB6"/>
    <w:multiLevelType w:val="hybridMultilevel"/>
    <w:tmpl w:val="78862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9792F"/>
    <w:multiLevelType w:val="hybridMultilevel"/>
    <w:tmpl w:val="8F4E2F46"/>
    <w:lvl w:ilvl="0" w:tplc="4C7A6E6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308D9"/>
    <w:multiLevelType w:val="hybridMultilevel"/>
    <w:tmpl w:val="30BE549A"/>
    <w:lvl w:ilvl="0" w:tplc="9A02EB9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033BD"/>
    <w:multiLevelType w:val="hybridMultilevel"/>
    <w:tmpl w:val="53FC6F5A"/>
    <w:lvl w:ilvl="0" w:tplc="4C7A6E6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04343"/>
    <w:multiLevelType w:val="hybridMultilevel"/>
    <w:tmpl w:val="65EA4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E0C3F"/>
    <w:multiLevelType w:val="multilevel"/>
    <w:tmpl w:val="0AC2F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EB35BB"/>
    <w:multiLevelType w:val="hybridMultilevel"/>
    <w:tmpl w:val="13CA863A"/>
    <w:lvl w:ilvl="0" w:tplc="4C7A6E6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A070F"/>
    <w:multiLevelType w:val="multilevel"/>
    <w:tmpl w:val="D144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140421"/>
    <w:multiLevelType w:val="hybridMultilevel"/>
    <w:tmpl w:val="36DCF7BA"/>
    <w:lvl w:ilvl="0" w:tplc="0809000B">
      <w:start w:val="1"/>
      <w:numFmt w:val="bullet"/>
      <w:lvlText w:val=""/>
      <w:lvlJc w:val="left"/>
      <w:pPr>
        <w:ind w:left="7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2">
    <w:nsid w:val="7491400D"/>
    <w:multiLevelType w:val="hybridMultilevel"/>
    <w:tmpl w:val="4B9E6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572DAA"/>
    <w:multiLevelType w:val="hybridMultilevel"/>
    <w:tmpl w:val="2312A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691BE8"/>
    <w:multiLevelType w:val="hybridMultilevel"/>
    <w:tmpl w:val="0A4662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CEE7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2AAC974">
      <w:start w:val="3"/>
      <w:numFmt w:val="bullet"/>
      <w:lvlText w:val="-"/>
      <w:lvlJc w:val="left"/>
      <w:pPr>
        <w:ind w:left="2220" w:hanging="240"/>
      </w:pPr>
      <w:rPr>
        <w:rFonts w:asciiTheme="minorHAnsi" w:eastAsia="Times New Roman" w:hAnsiTheme="minorHAnsi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6722E"/>
    <w:multiLevelType w:val="hybridMultilevel"/>
    <w:tmpl w:val="A0C8BBF4"/>
    <w:lvl w:ilvl="0" w:tplc="01CA1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483181"/>
    <w:multiLevelType w:val="multilevel"/>
    <w:tmpl w:val="DA00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8"/>
  </w:num>
  <w:num w:numId="3">
    <w:abstractNumId w:val="1"/>
  </w:num>
  <w:num w:numId="4">
    <w:abstractNumId w:val="23"/>
  </w:num>
  <w:num w:numId="5">
    <w:abstractNumId w:val="0"/>
  </w:num>
  <w:num w:numId="6">
    <w:abstractNumId w:val="13"/>
  </w:num>
  <w:num w:numId="7">
    <w:abstractNumId w:val="25"/>
  </w:num>
  <w:num w:numId="8">
    <w:abstractNumId w:val="26"/>
  </w:num>
  <w:num w:numId="9">
    <w:abstractNumId w:val="20"/>
  </w:num>
  <w:num w:numId="10">
    <w:abstractNumId w:val="8"/>
  </w:num>
  <w:num w:numId="11">
    <w:abstractNumId w:val="3"/>
  </w:num>
  <w:num w:numId="12">
    <w:abstractNumId w:val="23"/>
  </w:num>
  <w:num w:numId="13">
    <w:abstractNumId w:val="1"/>
  </w:num>
  <w:num w:numId="14">
    <w:abstractNumId w:val="11"/>
  </w:num>
  <w:num w:numId="15">
    <w:abstractNumId w:val="6"/>
  </w:num>
  <w:num w:numId="16">
    <w:abstractNumId w:val="17"/>
  </w:num>
  <w:num w:numId="17">
    <w:abstractNumId w:val="7"/>
  </w:num>
  <w:num w:numId="18">
    <w:abstractNumId w:val="2"/>
  </w:num>
  <w:num w:numId="19">
    <w:abstractNumId w:val="10"/>
  </w:num>
  <w:num w:numId="20">
    <w:abstractNumId w:val="16"/>
  </w:num>
  <w:num w:numId="21">
    <w:abstractNumId w:val="5"/>
  </w:num>
  <w:num w:numId="22">
    <w:abstractNumId w:val="14"/>
  </w:num>
  <w:num w:numId="23">
    <w:abstractNumId w:val="19"/>
  </w:num>
  <w:num w:numId="24">
    <w:abstractNumId w:val="9"/>
  </w:num>
  <w:num w:numId="25">
    <w:abstractNumId w:val="12"/>
  </w:num>
  <w:num w:numId="26">
    <w:abstractNumId w:val="15"/>
  </w:num>
  <w:num w:numId="27">
    <w:abstractNumId w:val="21"/>
  </w:num>
  <w:num w:numId="28">
    <w:abstractNumId w:val="24"/>
  </w:num>
  <w:num w:numId="2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ISCHER Peter (DEVCO)">
    <w15:presenceInfo w15:providerId="None" w15:userId="FISCHER Peter (DEVC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603C6EAD-50C1-4334-84FA-0AE591A9D335"/>
    <w:docVar w:name="LW_COVERPAGE_TYPE" w:val="1"/>
    <w:docVar w:name="LW_CROSSREFERENCE" w:val="{SWD(2019) 12 final}"/>
    <w:docVar w:name="LW_DocType" w:val="NORMAL"/>
    <w:docVar w:name="LW_EMISSION" w:val="31.1.2019"/>
    <w:docVar w:name="LW_EMISSION_ISODATE" w:val="2019-01-31"/>
    <w:docVar w:name="LW_EMISSION_LOCATION" w:val="BRX"/>
    <w:docVar w:name="LW_EMISSION_PREFIX" w:val="Bruksela, dnia "/>
    <w:docVar w:name="LW_EMISSION_SUFFIX" w:val=" r."/>
    <w:docVar w:name="LW_ID_DOCTYPE_NONLW" w:val="CP-006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Sprawozdanie roczne z wdra\u380?ania instrumentów Unii Europejskiej na rzecz finansowania dzia\u322?a\u324? zewn\u281?trznych w 2017 r."/>
    <w:docVar w:name="LW_TYPE.DOC.CP" w:val="SPRAWOZDANIE KOMISJI DLA PARLAMENTU EUROPEJSKIEGO 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5">
    <w:name w:val="index 5"/>
    <w:basedOn w:val="Normal"/>
    <w:next w:val="Normal"/>
    <w:autoRedefine/>
    <w:semiHidden/>
    <w:pPr>
      <w:spacing w:after="240" w:line="240" w:lineRule="auto"/>
      <w:ind w:left="120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aliases w:val="BVI fnr,EN Footnote Reference,-E Fußnotenzeichen,Footnote,Footnote symbol,Footnote number,Footnote Reference Number,Footnote reference number,Times 10 Point,Exposant 3 Point,Footnote Reference Superscript, BVI fnr, Exposant 3 Poi,ftre"/>
    <w:basedOn w:val="DefaultParagraphFont"/>
    <w:uiPriority w:val="99"/>
    <w:unhideWhenUsed/>
    <w:qFormat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eastAsia="Times New Roman" w:hAnsi="Courier New" w:cs="Courier New"/>
      <w:sz w:val="20"/>
      <w:szCs w:val="20"/>
      <w:lang w:eastAsia="pl-PL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RBodyTextSpacebefore">
    <w:name w:val="AR Body Text Space before"/>
    <w:pPr>
      <w:spacing w:before="240" w:after="0" w:line="300" w:lineRule="auto"/>
      <w:jc w:val="both"/>
    </w:pPr>
    <w:rPr>
      <w:rFonts w:ascii="Calibri" w:eastAsia="Times New Roman" w:hAnsi="Calibri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Objetacteprincipal">
    <w:name w:val="Objet acte principal"/>
    <w:basedOn w:val="Normal"/>
    <w:next w:val="Normal"/>
    <w:link w:val="ObjetacteprincipalChar"/>
    <w:pPr>
      <w:spacing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ObjetacteprincipalChar">
    <w:name w:val="Objet acte principal Char"/>
    <w:basedOn w:val="DefaultParagraphFont"/>
    <w:link w:val="Objetacteprincipal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ooterCoverPageChar">
    <w:name w:val="Footer Cover Page Char"/>
    <w:basedOn w:val="ObjetacteprincipalChar"/>
    <w:link w:val="FooterCoverPage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ObjetacteprincipalChar"/>
    <w:link w:val="FooterSensitivity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ObjetacteprincipalChar"/>
    <w:link w:val="HeaderCoverPage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ObjetacteprincipalChar"/>
    <w:link w:val="HeaderSensitivity"/>
    <w:rPr>
      <w:rFonts w:ascii="Times New Roman" w:eastAsia="Times New Roman" w:hAnsi="Times New Roman" w:cs="Times New Roman"/>
      <w:b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5">
    <w:name w:val="index 5"/>
    <w:basedOn w:val="Normal"/>
    <w:next w:val="Normal"/>
    <w:autoRedefine/>
    <w:semiHidden/>
    <w:pPr>
      <w:spacing w:after="240" w:line="240" w:lineRule="auto"/>
      <w:ind w:left="1200" w:hanging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aliases w:val="BVI fnr,EN Footnote Reference,-E Fußnotenzeichen,Footnote,Footnote symbol,Footnote number,Footnote Reference Number,Footnote reference number,Times 10 Point,Exposant 3 Point,Footnote Reference Superscript, BVI fnr, Exposant 3 Poi,ftre"/>
    <w:basedOn w:val="DefaultParagraphFont"/>
    <w:uiPriority w:val="99"/>
    <w:unhideWhenUsed/>
    <w:qFormat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eastAsia="Times New Roman" w:hAnsi="Courier New" w:cs="Courier New"/>
      <w:sz w:val="20"/>
      <w:szCs w:val="20"/>
      <w:lang w:eastAsia="pl-PL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RBodyTextSpacebefore">
    <w:name w:val="AR Body Text Space before"/>
    <w:pPr>
      <w:spacing w:before="240" w:after="0" w:line="300" w:lineRule="auto"/>
      <w:jc w:val="both"/>
    </w:pPr>
    <w:rPr>
      <w:rFonts w:ascii="Calibri" w:eastAsia="Times New Roman" w:hAnsi="Calibri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Objetacteprincipal">
    <w:name w:val="Objet acte principal"/>
    <w:basedOn w:val="Normal"/>
    <w:next w:val="Normal"/>
    <w:link w:val="ObjetacteprincipalChar"/>
    <w:pPr>
      <w:spacing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ObjetacteprincipalChar">
    <w:name w:val="Objet acte principal Char"/>
    <w:basedOn w:val="DefaultParagraphFont"/>
    <w:link w:val="Objetacteprincipal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ooterCoverPageChar">
    <w:name w:val="Footer Cover Page Char"/>
    <w:basedOn w:val="ObjetacteprincipalChar"/>
    <w:link w:val="FooterCoverPage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ObjetacteprincipalChar"/>
    <w:link w:val="FooterSensitivity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ObjetacteprincipalChar"/>
    <w:link w:val="HeaderCoverPage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ObjetacteprincipalChar"/>
    <w:link w:val="HeaderSensitivity"/>
    <w:rPr>
      <w:rFonts w:ascii="Times New Roman" w:eastAsia="Times New Roman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069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742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257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2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0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57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66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43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32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981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6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299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056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82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.eu/rapid/press-release_SPEECH-17-3165_pl.htm" TargetMode="External"/><Relationship Id="rId13" Type="http://schemas.openxmlformats.org/officeDocument/2006/relationships/hyperlink" Target="http://www.euflegt.efi.int/flegt-action-plan" TargetMode="External"/><Relationship Id="rId18" Type="http://schemas.openxmlformats.org/officeDocument/2006/relationships/hyperlink" Target="https://eeas.europa.eu/sites/eeas/files/eu_guidelines_rights_of_child_2017.pdf" TargetMode="External"/><Relationship Id="rId3" Type="http://schemas.openxmlformats.org/officeDocument/2006/relationships/hyperlink" Target="https://eeas.europa.eu/headquarters/headquarters-homepage/27763/military-planning-and-conduct-capability-mpcc_en" TargetMode="External"/><Relationship Id="rId21" Type="http://schemas.openxmlformats.org/officeDocument/2006/relationships/hyperlink" Target="https://ec.europa.eu/info/business-economy-euro/economic-and-fiscal-policy-coordination/eu-economic-governance-monitoring-prevention-correction/european-semester/framework/europe-2020-strategy_pl" TargetMode="External"/><Relationship Id="rId7" Type="http://schemas.openxmlformats.org/officeDocument/2006/relationships/hyperlink" Target="https://ec.europa.eu/europeaid/evaluation-eu-joint-programming-process-development-cooperation-2011-2015_en" TargetMode="External"/><Relationship Id="rId12" Type="http://schemas.openxmlformats.org/officeDocument/2006/relationships/hyperlink" Target="https://ec.europa.eu/europeaid/sectors/human-rights-and-democratic-governance/gender-equality/spotlight-initiative_en" TargetMode="External"/><Relationship Id="rId17" Type="http://schemas.openxmlformats.org/officeDocument/2006/relationships/hyperlink" Target="http://ec.europa.eu/regional_policy/sources/cooperate/international/pdf/iuc_leaflet_en.pdf" TargetMode="External"/><Relationship Id="rId2" Type="http://schemas.openxmlformats.org/officeDocument/2006/relationships/hyperlink" Target="https://eeas.europa.eu/headquarters/headquarters-Homepage/36453/coordinated-annual-review-defence-card_en" TargetMode="External"/><Relationship Id="rId16" Type="http://schemas.openxmlformats.org/officeDocument/2006/relationships/hyperlink" Target="https://www.edfi.eu/facility/agrifi/" TargetMode="External"/><Relationship Id="rId20" Type="http://schemas.openxmlformats.org/officeDocument/2006/relationships/hyperlink" Target="https://europa.eu/capacity4dev/policy-forum-development/documents/eu-cso-report-1" TargetMode="External"/><Relationship Id="rId1" Type="http://schemas.openxmlformats.org/officeDocument/2006/relationships/hyperlink" Target="https://europa.eu/globalstrategy/en/global-strategy-foreign-and-security-policy-european-union" TargetMode="External"/><Relationship Id="rId6" Type="http://schemas.openxmlformats.org/officeDocument/2006/relationships/hyperlink" Target="https://ec.europa.eu/europeaid/eu-external-investment-plan-factsheet_en" TargetMode="External"/><Relationship Id="rId11" Type="http://schemas.openxmlformats.org/officeDocument/2006/relationships/hyperlink" Target="http://europa.eu/rapid/press-release_IP-18-3342_pl.htm" TargetMode="External"/><Relationship Id="rId5" Type="http://schemas.openxmlformats.org/officeDocument/2006/relationships/hyperlink" Target="https://ec.europa.eu/europeaid/policies/european-development-policy/european-consensus-development_en" TargetMode="External"/><Relationship Id="rId15" Type="http://schemas.openxmlformats.org/officeDocument/2006/relationships/hyperlink" Target="https://ec.europa.eu/europeaid/sectors/economic-growth/private-sector-development/funding_en" TargetMode="External"/><Relationship Id="rId10" Type="http://schemas.openxmlformats.org/officeDocument/2006/relationships/hyperlink" Target="https://ec.europa.eu/transparency/regdoc/rep/10102/2017/EN/SWD-2017-288-F1-EN-MAIN-PART-1.PDF" TargetMode="External"/><Relationship Id="rId19" Type="http://schemas.openxmlformats.org/officeDocument/2006/relationships/hyperlink" Target="http://www.consilium.europa.eu/pl/press/press-releases/2017/06/19/conclusions-counterterrorism/" TargetMode="External"/><Relationship Id="rId4" Type="http://schemas.openxmlformats.org/officeDocument/2006/relationships/hyperlink" Target="https://eeas.europa.eu/headquarters/headquarters-Homepage/34226/permanent-structured-cooperation-pesco-factsheet_en" TargetMode="External"/><Relationship Id="rId9" Type="http://schemas.openxmlformats.org/officeDocument/2006/relationships/hyperlink" Target="https://eeas.europa.eu/sites/eeas/files/20_deliverables_for_2020.pdf" TargetMode="External"/><Relationship Id="rId14" Type="http://schemas.openxmlformats.org/officeDocument/2006/relationships/hyperlink" Target="https://ec.europa.eu/europeaid/sites/devco/files/factsheet-5-energise-africa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24739-FBD6-48A9-8E2F-A0978366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</Pages>
  <Words>4336</Words>
  <Characters>28450</Characters>
  <Application>Microsoft Office Word</Application>
  <DocSecurity>0</DocSecurity>
  <Lines>451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WES PDFC Administrator</cp:lastModifiedBy>
  <cp:revision>26</cp:revision>
  <cp:lastPrinted>2018-10-30T11:23:00Z</cp:lastPrinted>
  <dcterms:created xsi:type="dcterms:W3CDTF">2019-01-21T10:17:00Z</dcterms:created>
  <dcterms:modified xsi:type="dcterms:W3CDTF">2019-01-30T15:16:00Z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Last edited using">
    <vt:lpwstr>LW 6.0.1, Build 20180503</vt:lpwstr>
  </property>
  <property fmtid="{D5CDD505-2E9C-101B-9397-08002B2CF9AE}" pid="7" name="Created using">
    <vt:lpwstr>LW 6.0.1, Build 20180503</vt:lpwstr>
  </property>
</Properties>
</file>