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BEBDBBF-E84F-49E3-A3D2-DA1836437430" style="width:451.25pt;height:474.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Gründe und Ziele des Vorschlags</w:t>
      </w:r>
    </w:p>
    <w:p>
      <w:pPr>
        <w:rPr>
          <w:noProof/>
        </w:rPr>
      </w:pPr>
      <w:r>
        <w:rPr>
          <w:noProof/>
        </w:rPr>
        <w:t>Der Beschluss 2008/615/JI des Rates vom 23. Juni 2008 zur Vertiefung der grenzüberschreitenden Zusammenarbeit, insbesondere zur Bekämpfung des Terrorismus und der grenzüberschreitenden Kriminalität</w:t>
      </w:r>
      <w:r>
        <w:rPr>
          <w:rStyle w:val="FootnoteReference"/>
          <w:bCs/>
          <w:noProof/>
        </w:rPr>
        <w:footnoteReference w:id="1"/>
      </w:r>
      <w:r>
        <w:rPr>
          <w:noProof/>
        </w:rPr>
        <w:t xml:space="preserve"> („Prüm-Beschluss“), wurde erlassen, um den Inhalt des früheren Prümer Vertrags über die Vertiefung der grenzüberschreitenden Zusammenarbeit, insbesondere zur Bekämpfung des Terrorismus, der grenzüberschreitenden Kriminalität und der illegalen Migration, der am 27. Mai 2005 von sieben europäischen Ländern geschlossen worden war, in den Rechtsrahmen der Europäischen Union zu überführen. Am selben Tag erließ der Rat auch den Beschluss 2008/616/JI vom 23. Juni 2008 zur Durchführung des Beschlusses 2008/615/JI zur Vertiefung der grenzüberschreitenden Zusammenarbeit, insbesondere zur Bekämpfung des Terrorismus und der grenzüberschreitenden Kriminalität</w:t>
      </w:r>
      <w:r>
        <w:rPr>
          <w:rStyle w:val="FootnoteReference"/>
          <w:bCs/>
          <w:noProof/>
        </w:rPr>
        <w:footnoteReference w:id="2"/>
      </w:r>
      <w:r>
        <w:rPr>
          <w:noProof/>
        </w:rPr>
        <w:t xml:space="preserve"> („Durchführungsbeschluss zum Prüm-Beschluss“), in dem die erforderlichen technischen Bestimmungen für die Umsetzung des Beschlusses 2008/615/JI festgelegt sind.</w:t>
      </w:r>
    </w:p>
    <w:p>
      <w:pPr>
        <w:rPr>
          <w:noProof/>
        </w:rPr>
      </w:pPr>
      <w:r>
        <w:rPr>
          <w:noProof/>
        </w:rPr>
        <w:t>Mit dem Prüm-Beschluss und dem Durchführungsbeschluss zum Prüm-Beschluss soll der Informationsaustausch zwischen den für die Verhinderung und Verfolgung von Straftaten zuständigen Behörden verbessert und die grenzüberschreitende polizeiliche und justizielle Zusammenarbeit zwischen den Mitgliedstaaten der Union intensiviert werden. Der Prüm-Beschluss enthält unter anderem Bestimmungen, nach denen die Mitgliedstaaten einander auf der Grundlage der Gegenseitigkeit Zugriffsrechte für ihre automatisierten DNA-Analyse-Dateien, ihre automatisierten daktyloskopischen Identifizierungssysteme und ihre Fahrzeugregisterdaten gewähren. Denn die durch Datenabgleich gewonnenen Informationen erschließen neue Ermittlungsansätze und tragen so maßgeblich zur Unterstützung der Strafverfolgungs- und Justizbehörden der Mitgliedstaaten bei.</w:t>
      </w:r>
    </w:p>
    <w:p>
      <w:pPr>
        <w:rPr>
          <w:noProof/>
        </w:rPr>
      </w:pPr>
      <w:r>
        <w:rPr>
          <w:noProof/>
        </w:rPr>
        <w:t>Am 30. November 2009 erließ der Rat den Rahmenbeschluss 2009/905/JI des Rates über die Akkreditierung von Anbietern kriminaltechnischer Dienste, die Labortätigkeiten durchführen</w:t>
      </w:r>
      <w:r>
        <w:rPr>
          <w:rStyle w:val="FootnoteReference"/>
          <w:noProof/>
        </w:rPr>
        <w:footnoteReference w:id="3"/>
      </w:r>
      <w:r>
        <w:rPr>
          <w:noProof/>
        </w:rPr>
        <w:t xml:space="preserve"> („Kriminaltechnik-Beschluss“). In diesem Rahmenbeschluss des Rates sind die Anforderungen an den Austausch von DNA- und Fingerabdruckdaten festgelegt, um sicherzustellen, dass die Ergebnisse von Labortätigkeiten, die von akkreditierten Anbietern kriminaltechnischer Dienste in einem Mitgliedstaat durchgeführt werden, von den für die Prävention, Aufdeckung und Aufklärung von Straftaten zuständigen Behörden jedes anderen Mitgliedstaats als ebenso zuverlässig anerkannt werden wie die Ergebnisse von Labortätigkeiten, die von nach EN ISO/IEC 17025 akkreditierten Anbietern kriminaltechnischer Dienste durchgeführt wurden.</w:t>
      </w:r>
    </w:p>
    <w:p>
      <w:pPr>
        <w:rPr>
          <w:noProof/>
        </w:rPr>
      </w:pPr>
      <w:r>
        <w:rPr>
          <w:noProof/>
        </w:rPr>
        <w:t>Im Oktober 2015 unterbreitete die Kommission dem Rat die Empfehlung für einen Beschluss des Rates zur Genehmigung von Verhandlungen im Hinblick auf den Abschluss von Abkommen mit der Schweizerischen Eidgenossenschaft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den der Empfehlung beigefügten Anhang („Verhandlungsrichtlinien“).</w:t>
      </w:r>
    </w:p>
    <w:p>
      <w:pPr>
        <w:rPr>
          <w:noProof/>
        </w:rPr>
      </w:pPr>
      <w:r>
        <w:rPr>
          <w:noProof/>
        </w:rPr>
        <w:t>Am 10. Juni 2016 ermächtigte der Rat die Kommission zur Aufnahme von Verhandlungen mit der Schweizerischen Eidgenossenschaft und dem Fürstentum Liechtenstein über die Anwendung einiger Bestimmungen des Beschlusses 2008/615/JI des Rates, des Beschlusses 2008/616/JI des Rates und seines Anhangs sowie des Rahmenbeschlusses 2009/905/JI des Rates über die Akkreditierung von Anbietern kriminaltechnischer Dienste, die Labortätigkeiten durchführen. Die Verhandlungen mit beiden Ländern wurden mit der Paraphierung der Abkommen am 24. Mai 2018 erfolgreich abgeschlossen.</w:t>
      </w:r>
    </w:p>
    <w:p>
      <w:pPr>
        <w:rPr>
          <w:noProof/>
        </w:rPr>
      </w:pPr>
      <w:r>
        <w:rPr>
          <w:noProof/>
        </w:rPr>
        <w:t>Die Kommission ist der Auffassung, dass die vom Rat in seinen Verhandlungsrichtlinien vorgegebenen Ziele erreicht worden sind und dass der Entwurf des Abkommens für die Union annehmbar ist.</w:t>
      </w:r>
    </w:p>
    <w:p>
      <w:pPr>
        <w:rPr>
          <w:noProof/>
        </w:rPr>
      </w:pPr>
      <w:r>
        <w:rPr>
          <w:noProof/>
        </w:rPr>
        <w:t>Ziel dieses völkerrechtlichen Abkommens zwischen der EU und dem Fürstentum Liechtenstein ist es, zur Förderung der internationalen polizeilichen Zusammenarbeit den automatisierten Austausch von Informationen und Erkenntnissen zwischen den Strafverfolgungsbehörden der Mitgliedstaaten und dieses assoziierten Landes zu verbessern und zu vereinfachen. Die Möglichkeit für alle Mitgliedstaaten, auf die DNA-, daktyloskopischen und Fahrzeugregisterdaten in den nationalen Datenbanken der Schweizerischen Eidgenossenschaft und des Fürstentums Liechtenstein</w:t>
      </w:r>
      <w:r>
        <w:rPr>
          <w:rStyle w:val="FootnoteReference"/>
          <w:noProof/>
        </w:rPr>
        <w:footnoteReference w:id="4"/>
      </w:r>
      <w:r>
        <w:rPr>
          <w:noProof/>
        </w:rPr>
        <w:t xml:space="preserve"> zuzugreifen und umgekehrt, ist für die Förderung und Unterstützung der grenzüberschreitenden polizeilichen Zusammenarbeit zweifellos von zentraler Bedeutung. Die Verbesserung des Informationsaustauschs im Bereich der Strafverfolgung zur Aufrechterhaltung der Sicherheit in der Europäischen Union kann von den Mitgliedstaaten allein nicht ausreichend verwirklicht werden, da die internationale Kriminalität naturgemäß nicht an den Grenzen der EU haltmacht.</w:t>
      </w:r>
    </w:p>
    <w:p>
      <w:pPr>
        <w:rPr>
          <w:noProof/>
        </w:rPr>
      </w:pP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Kohärenz mit den bestehenden Vorschriften in diesem Bereich</w:t>
      </w:r>
    </w:p>
    <w:p>
      <w:pPr>
        <w:rPr>
          <w:noProof/>
        </w:rPr>
      </w:pPr>
      <w:r>
        <w:rPr>
          <w:noProof/>
        </w:rPr>
        <w:t>Das Fürstentum Liechtenstein ist durch das Protokoll zwischen der Europäischen Union, der Europäischen Gemeinschaft, der Schweizerischen Eidgenossenschaft und dem Fürstentum Liechtenstein über den Beitritt des Fürstentums Liechtenstein zu dem Abkommen zwischen der Europäischen Union, der Europäischen Gemeinschaft und der Schweizerischen Eidgenossenschaft über die Assoziierung der Schweizerischen Eidgenossenschaft bei der Umsetzung, Anwendung und Entwicklung des Schengen-Besitzstands</w:t>
      </w:r>
      <w:r>
        <w:rPr>
          <w:rStyle w:val="FootnoteReference"/>
          <w:noProof/>
        </w:rPr>
        <w:footnoteReference w:id="5"/>
      </w:r>
      <w:r>
        <w:rPr>
          <w:noProof/>
        </w:rPr>
        <w:t xml:space="preserve"> dem Assoziierungsabkommen vom 26. Oktober 2004 beigetreten. Das Fürstentum Liechtenstein hat sich damit dem Rahmenbeschluss 2006/960/JI des Rates vom 18. Dezember 2006 über die Vereinfachung des Austauschs von Informationen und Erkenntnissen zwischen den Strafverfolgungsbehörden der Mitgliedstaaten der Europäischen Union</w:t>
      </w:r>
      <w:r>
        <w:rPr>
          <w:rStyle w:val="FootnoteReference"/>
          <w:noProof/>
        </w:rPr>
        <w:footnoteReference w:id="6"/>
      </w:r>
      <w:r>
        <w:rPr>
          <w:noProof/>
        </w:rPr>
        <w:t xml:space="preserve"> (sogenannte „Schwedische Initiative“) angeschlossen, der eine Entwicklung von Bestimmungen des Schengen-Besitzstands darstellt.</w:t>
      </w:r>
    </w:p>
    <w:p>
      <w:pPr>
        <w:rPr>
          <w:noProof/>
        </w:rPr>
      </w:pPr>
      <w:r>
        <w:rPr>
          <w:noProof/>
        </w:rPr>
        <w:t>Die „Schwedische Initiative“ hängt in gewissem Maße mit dem Prüm-Beschluss zusammen, da darin Vorschriften festgelegt sind, nach denen die Strafverfolgungsbehörden der Mitgliedstaaten und der assoziierten Länder vorhandene Informationen und Erkenntnisse zum Zwecke der Durchführung strafrechtlicher Ermittlungen oder polizeilicher Erkenntnisgewinnungsverfahren wirksam austauschen können. Nach Artikel 5 Absatz 1 der „Schwedischen Initiative“ kann um Informationen und Erkenntnisse zum Zwecke der Aufdeckung, Verhütung oder Aufklärung einer Straftat ersucht werden, sofern konkrete Gründe für die Annahme bestehen, dass sachdienliche Informationen und Erkenntnisse in einem anderen Mitgliedstaat vorliegen. Solche konkreten Gründe könnten sich aus dem automatisierten Informationsaustausch nach dem Prüm-Beschluss ergeben.</w:t>
      </w:r>
    </w:p>
    <w:p>
      <w:pPr>
        <w:rPr>
          <w:noProof/>
        </w:rPr>
      </w:pPr>
      <w:r>
        <w:rPr>
          <w:noProof/>
        </w:rPr>
        <w:t>Zudem müssen die Mitgliedstaaten, bevor sie den Zugang der Gefahrenabwehr- und Strafverfolgungsbehörden zu Eurodac beantragen, nach Artikel 20 Absatz 1 der Verordnung (EU) Nr. 603/2013</w:t>
      </w:r>
      <w:r>
        <w:rPr>
          <w:rStyle w:val="FootnoteReference"/>
          <w:noProof/>
        </w:rPr>
        <w:footnoteReference w:id="7"/>
      </w:r>
      <w:r>
        <w:rPr>
          <w:noProof/>
        </w:rPr>
        <w:t xml:space="preserve"> zunächst die nach nationalem Recht verfügbaren Fingerabdruck-Datenbanken abfragen und den Fingerabdruck-Datensatz mit den automatisierten Fingerabdruck-Datenbanken der anderen Mitgliedstaaten nach dem Prüm-Beschluss abgleichen. Mitgliedstaaten, die keine Überprüfung nach den Prüm-Kriterien vornehmen und diese unerlässliche Vorbedingung nicht erfüllen, können keinen Antrag auf Zugang der Gefahrenabwehr- und Strafverfolgungsbehörden zu Eurodac stellen.</w:t>
      </w:r>
    </w:p>
    <w:p>
      <w:pPr>
        <w:rPr>
          <w:noProof/>
        </w:rPr>
      </w:pPr>
      <w:r>
        <w:rPr>
          <w:noProof/>
        </w:rPr>
        <w:t>Am 14. Dezember 2015 ermächtigte der Rat die Kommission zur Aufnahme von Verhandlungen über Abkommen zwischen der Union einerseits und Dänemark, Island, Norwegen, der Schweiz und Liechtenstein andererseits über die Modalitäten der Beteiligung dieser Staaten am Verfahren für den Abgleich und die Übertragung von Daten für Gefahrenabwehr- und Strafverfolgungszwecke nach Kapitel VI der Verordnung (EU) Nr. 603/2013.</w:t>
      </w:r>
    </w:p>
    <w:p>
      <w:pPr>
        <w:rPr>
          <w:noProof/>
        </w:rPr>
      </w:pPr>
      <w:r>
        <w:rPr>
          <w:noProof/>
        </w:rPr>
        <w:t>Das völkerrechtliche Abkommen zwischen der Union sowie Island und Norwegen über die Anwendung einiger Bestimmungen des Beschlusses 2008/615/JI des Rates zur Vertiefung der grenzüberschreitenden Zusammenarbeit, insbesondere zur Bekämpfung des Terrorismus und der grenzüberschreitenden Kriminalität, und des Beschlusses 2008/616/JI des Rates zur Durchführung des Beschlusses 2008/615/JI zur Vertiefung der grenzüberschreitenden Zusammenarbeit, insbesondere zur Bekämpfung des Terrorismus und der grenzüberschreitenden Kriminalität, wurde am 26. Juli 2010 geschlossen.</w:t>
      </w:r>
    </w:p>
    <w:p>
      <w:pPr>
        <w:rPr>
          <w:noProof/>
        </w:rPr>
      </w:pPr>
      <w:r>
        <w:rPr>
          <w:noProof/>
        </w:rPr>
        <w:t>Nach Artikel 3 des dem Vertrag über die Europäische Union und dem Vertrag über die Arbeitsweise der Europäischen Union beigefügten Protokolls Nr. 21 über die Position des Vereinigten Königreichs und Irlands hinsichtlich des Raums der Freiheit, der Sicherheit und des Rechts</w:t>
      </w:r>
      <w:r>
        <w:rPr>
          <w:rStyle w:val="FootnoteReference"/>
          <w:noProof/>
        </w:rPr>
        <w:footnoteReference w:id="8"/>
      </w:r>
      <w:r>
        <w:rPr>
          <w:noProof/>
        </w:rPr>
        <w:t xml:space="preserve"> müssen diese Mitgliedstaaten innerhalb von drei Monaten nach der Vorlage eines Vorschlags für einen Beschluss des Rates durch die Kommission mitteilen, dass sie sich an der Annahme und Anwendung dieses Beschlusses beteiligen möchten.</w:t>
      </w:r>
    </w:p>
    <w:p>
      <w:pPr>
        <w:rPr>
          <w:noProof/>
        </w:rPr>
      </w:pPr>
      <w:r>
        <w:rPr>
          <w:noProof/>
        </w:rPr>
        <w:t>Nach den Artikeln 1 und 2 des dem Vertrag über die Europäische Union und dem Vertrag über die Arbeitsweise der Europäischen Union beigefügten Protokolls Nr. 22 über die Position Dänemarks</w:t>
      </w:r>
      <w:r>
        <w:rPr>
          <w:rStyle w:val="FootnoteReference"/>
          <w:noProof/>
        </w:rPr>
        <w:footnoteReference w:id="9"/>
      </w:r>
      <w:r>
        <w:rPr>
          <w:noProof/>
        </w:rPr>
        <w:t xml:space="preserve"> beteiligt sich Dänemark nicht an der Annahme dieses Beschlusses, der daher für Dänemark weder bindend noch Dänemark gegenüber anwendbar ist.</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rFonts w:eastAsia="Arial Unicode MS"/>
          <w:noProof/>
        </w:rPr>
      </w:pPr>
      <w:r>
        <w:rPr>
          <w:noProof/>
        </w:rPr>
        <w:t>Rechtsgrundlage dieses Vorschlags für einen Beschluss des Rates sind Artikel 82 Absatz 1 Buchstabe d und Artikel 87 Absatz 2 Buchstabe a in Verbindung mit Artikel 218 Absatz 5 des Vertrags über die Arbeitsweise der Europäischen Union (AEUV).</w:t>
      </w:r>
    </w:p>
    <w:p>
      <w:pPr>
        <w:pStyle w:val="ManualHeading2"/>
        <w:rPr>
          <w:rFonts w:eastAsia="Arial Unicode MS"/>
          <w:noProof/>
          <w:u w:color="000000"/>
          <w:bdr w:val="nil"/>
        </w:rPr>
      </w:pPr>
      <w:r>
        <w:rPr>
          <w:noProof/>
          <w:u w:color="000000"/>
          <w:bdr w:val="nil"/>
        </w:rPr>
        <w:t>•</w:t>
      </w:r>
      <w:r>
        <w:rPr>
          <w:noProof/>
          <w:u w:color="000000"/>
          <w:bdr w:val="nil"/>
        </w:rPr>
        <w:tab/>
        <w:t>Subsidiarität (bei nicht ausschließlicher Zuständigkeit)</w:t>
      </w:r>
    </w:p>
    <w:p>
      <w:pPr>
        <w:rPr>
          <w:rFonts w:eastAsia="Times New Roman"/>
          <w:noProof/>
          <w:szCs w:val="24"/>
        </w:rPr>
      </w:pPr>
      <w:r>
        <w:rPr>
          <w:noProof/>
        </w:rPr>
        <w:t>Im Einklang mit dem in Artikel 5 des Vertrags über die Europäische Union niedergelegten Subsidiaritätsprinzip können die Ziele dieses Abkommens nur auf Unionsebene erreicht werden.</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Bdr>
          <w:top w:val="nil"/>
          <w:left w:val="nil"/>
          <w:bottom w:val="nil"/>
          <w:right w:val="nil"/>
          <w:between w:val="nil"/>
          <w:bar w:val="nil"/>
        </w:pBdr>
        <w:spacing w:before="0" w:after="240"/>
        <w:rPr>
          <w:noProof/>
        </w:rPr>
      </w:pPr>
      <w:r>
        <w:rPr>
          <w:noProof/>
        </w:rPr>
        <w:t>Für die Förderung der internationalen Zusammenarbeit in diesem Bereich ist von grundlegender Bedeutung, dass alle Beteiligten, die auf der Grundlage des Prüm-Rahmens Daten austauschen, dieselben technischen, Verfahrens- und Datenschutzstandards und -anforderungen umsetzen, um einen schnellen, effizienten und präzisen Informationsaustausch zu ermöglichen. Der Vorschlag entspricht dem Grundsatz der Verhältnismäßigkeit, da er nicht über das für die Erreichung der Ziele einer wirksamen Beteiligung des Fürstentums Liechtenstein an den Prüm-Beschlüssen und dem Kriminaltechnik-Beschluss erforderliche Maß hinausgeht.</w:t>
      </w:r>
    </w:p>
    <w:p>
      <w:pPr>
        <w:pStyle w:val="ManualHeading2"/>
        <w:rPr>
          <w:rFonts w:eastAsia="Arial Unicode MS"/>
          <w:noProof/>
          <w:u w:color="000000"/>
          <w:bdr w:val="nil"/>
        </w:rPr>
      </w:pPr>
      <w:r>
        <w:rPr>
          <w:noProof/>
          <w:u w:color="000000"/>
          <w:bdr w:val="nil"/>
        </w:rPr>
        <w:t>•</w:t>
      </w:r>
      <w:r>
        <w:rPr>
          <w:noProof/>
          <w:u w:color="000000"/>
          <w:bdr w:val="nil"/>
        </w:rPr>
        <w:tab/>
      </w:r>
      <w:r>
        <w:rPr>
          <w:noProof/>
        </w:rPr>
        <w:t>Wahl des Instruments</w:t>
      </w:r>
    </w:p>
    <w:p>
      <w:pPr>
        <w:rPr>
          <w:noProof/>
        </w:rPr>
      </w:pPr>
      <w:r>
        <w:rPr>
          <w:noProof/>
        </w:rPr>
        <w:t>Nach Artikel 218 Absatz 5 AEUV ist ein Beschluss des Rates über die Genehmigung der Unterzeichnung des Abkommens erforderlich.</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noProof/>
        </w:rPr>
      </w:pPr>
      <w:r>
        <w:rPr>
          <w:noProof/>
        </w:rPr>
        <w:t>Der Rat wurde in der zuständigen Arbeitsgruppe „Informationsaustausch und Datenschutz“ (DAPIX) des Rates informiert und konsultiert. Das Europäische Parlament (LIBE-Ausschuss) wurde in Kenntnis gesetzt.</w:t>
      </w:r>
    </w:p>
    <w:p>
      <w:pPr>
        <w:pStyle w:val="ManualHeading2"/>
        <w:rPr>
          <w:rFonts w:eastAsia="Arial Unicode MS"/>
          <w:noProof/>
          <w:u w:color="000000"/>
          <w:bdr w:val="nil"/>
        </w:rPr>
      </w:pPr>
      <w:r>
        <w:rPr>
          <w:noProof/>
          <w:u w:color="000000"/>
          <w:bdr w:val="nil"/>
        </w:rPr>
        <w:t>•</w:t>
      </w:r>
      <w:r>
        <w:rPr>
          <w:noProof/>
          <w:u w:color="000000"/>
          <w:bdr w:val="nil"/>
        </w:rPr>
        <w:tab/>
        <w:t>Grundrechte</w:t>
      </w:r>
    </w:p>
    <w:p>
      <w:pPr>
        <w:pBdr>
          <w:top w:val="nil"/>
          <w:left w:val="nil"/>
          <w:bottom w:val="nil"/>
          <w:right w:val="nil"/>
          <w:between w:val="nil"/>
          <w:bar w:val="nil"/>
        </w:pBdr>
        <w:spacing w:before="0" w:after="240"/>
        <w:rPr>
          <w:rFonts w:eastAsia="Arial Unicode MS"/>
          <w:noProof/>
        </w:rPr>
      </w:pPr>
      <w:r>
        <w:rPr>
          <w:noProof/>
        </w:rPr>
        <w:t>Das Abkommen steht voll und ganz mit den Grundrechten und den Datenschutzgrundsätzen des Prüm-Beschlusses (Kapitel 6) im Einklang.</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In Erwägungsgrund 8 des Abkommens wird festgestellt, dass das Fürstentum Liechtenstein die Kosten tragen sollte, die seinen Behörden aus der Anwendung des Abkommens entstehen. In Artikel 1 Absatz 1 des Abkommens sind die anwendbaren Artikel des Prüm-Beschlusses aufgeführt, darunter Artikel 34, nach dem jeder Mitgliedstaat die seinen Stellen aus der Anwendung des Prüm-Beschlusses entstehenden operativen Kosten trägt. Artikel 1 Absatz 4 sieht eine entsprechende Pflicht der Mitgliedstaaten hinsichtlich des Kriminaltechnik-Beschlusses vor. Die Verordnung hat daher keine Auswirkungen auf den EU-Haushalt.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Die Durchführung, einschließlich der vorherigen Bewertung durch den Rat und die Mitgliedstaaten, die Notifikationen und die Erklärungen sind in Artikel 8 des Abkommens beschrieben.</w:t>
      </w:r>
    </w:p>
    <w:p>
      <w:pPr>
        <w:pStyle w:val="ManualHeading2"/>
        <w:rPr>
          <w:rFonts w:eastAsia="Arial Unicode MS"/>
          <w:noProof/>
          <w:u w:color="000000"/>
          <w:bdr w:val="nil"/>
        </w:rPr>
      </w:pPr>
      <w:r>
        <w:rPr>
          <w:noProof/>
          <w:u w:color="000000"/>
          <w:bdr w:val="nil"/>
        </w:rPr>
        <w:t>•</w:t>
      </w:r>
      <w:r>
        <w:rPr>
          <w:noProof/>
          <w:u w:color="000000"/>
          <w:bdr w:val="nil"/>
        </w:rPr>
        <w:tab/>
        <w:t>Ausführliche Erläuterung einzelner Bestimmungen des Vorschlags</w:t>
      </w:r>
    </w:p>
    <w:p>
      <w:pPr>
        <w:rPr>
          <w:noProof/>
        </w:rPr>
      </w:pPr>
      <w:r>
        <w:rPr>
          <w:noProof/>
        </w:rPr>
        <w:t>In dem Abkommen sind die Bestimmungen des Prüm-Beschlusses, des Durchführungsbeschlusses zum Prüm-Beschluss und des Kriminaltechnik-Beschlusses aufgeführt, die nach Inkrafttreten des Abkommens für das Fürstentum Liechtenstein anwendbar werden.</w:t>
      </w:r>
    </w:p>
    <w:p>
      <w:pPr>
        <w:rPr>
          <w:noProof/>
        </w:rPr>
      </w:pPr>
      <w:r>
        <w:rPr>
          <w:noProof/>
        </w:rPr>
        <w:t>Das Abkommen enthält auch Bestimmungen über die einheitliche Anwendung (Artikel 3), die Streitbeilegung (Artikel 4), Änderungen (Artikel 5) sowie Notifikationen und Erklärungen (Artikel 8). Die Vertragsparteien kommen überein, spätestens fünf Jahre nach seinem Inkrafttreten eine gemeinsame Überprüfung des Abkommens vorzunehmen (Artikel 6). Das Abkommen wird auf unbestimmte Zeit geschlossen, kann aber jederzeit von einer der Vertragsparteien gekündigt werden (Artikel 10).</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2019/0016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die Unterzeichnung – im Namen der Europäischen Union – und über die vorläufige Anwendung einiger Bestimmungen des Abkommens zwischen der Europäischen Union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82 Absatz 1 Buchstabe d und Artikel 87 Absatz 2 Buchstabe a in Verbindung mit Artikel 218 Absatz 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Am 10. Juni 2016 ermächtigte der Rat die Kommission zur Aufnahme von Verhandlungen über den Abschluss eines Abkommens zwischen der Europäischen Union und dem Fürstentum Liechtenstein über die Anwendung einiger Bestimmungen des Beschlusses 2008/615/JI des Rates zur Vertiefung der grenzüberschreitenden Zusammenarbeit, insbesondere zur Bekämpfung des Terrorismus und der grenzüberschreitenden Kriminalität</w:t>
      </w:r>
      <w:r>
        <w:rPr>
          <w:rStyle w:val="FootnoteReference"/>
          <w:noProof/>
        </w:rPr>
        <w:footnoteReference w:id="10"/>
      </w:r>
      <w:r>
        <w:rPr>
          <w:noProof/>
        </w:rPr>
        <w:t>, des Beschlusses 2008/616/JI des Rates zur Durchführung des Beschlusses 2008/615/JI zur Vertiefung der grenzüberschreitenden Zusammenarbeit, insbesondere zur Bekämpfung des Terrorismus und der grenzüberschreitenden Kriminalität</w:t>
      </w:r>
      <w:r>
        <w:rPr>
          <w:rStyle w:val="FootnoteReference"/>
          <w:noProof/>
        </w:rPr>
        <w:footnoteReference w:id="11"/>
      </w:r>
      <w:r>
        <w:rPr>
          <w:noProof/>
        </w:rPr>
        <w:t>, und seines Anhangs sowie des Rahmenbeschlusses 2009/905/JI des Rates über die Akkreditierung von Anbietern kriminaltechnischer Dienste, die Labortätigkeiten durchführen</w:t>
      </w:r>
      <w:r>
        <w:rPr>
          <w:rStyle w:val="FootnoteReference"/>
          <w:noProof/>
        </w:rPr>
        <w:footnoteReference w:id="12"/>
      </w:r>
      <w:r>
        <w:rPr>
          <w:noProof/>
        </w:rPr>
        <w:t xml:space="preserve"> (im Folgenden „Abkommen“).</w:t>
      </w:r>
    </w:p>
    <w:p>
      <w:pPr>
        <w:pStyle w:val="ManualConsidrant"/>
        <w:rPr>
          <w:noProof/>
        </w:rPr>
      </w:pPr>
      <w:r>
        <w:t>(2)</w:t>
      </w:r>
      <w:r>
        <w:tab/>
      </w:r>
      <w:r>
        <w:rPr>
          <w:noProof/>
        </w:rPr>
        <w:t>Die Verhandlungen wurden mit der Paraphierung des Abkommens am 24. Mai 2018 erfolgreich abgeschlossen.</w:t>
      </w:r>
    </w:p>
    <w:p>
      <w:pPr>
        <w:pStyle w:val="ManualConsidrant"/>
        <w:rPr>
          <w:noProof/>
        </w:rPr>
      </w:pPr>
      <w:r>
        <w:t>(3)</w:t>
      </w:r>
      <w:r>
        <w:tab/>
      </w:r>
      <w:r>
        <w:rPr>
          <w:noProof/>
        </w:rPr>
        <w:t>Die Verbesserung des Informationsaustauschs im Bereich der Strafverfolgung zur Aufrechterhaltung der Sicherheit in der Union kann von den Mitgliedstaaten allein nicht ausreichend verwirklicht werden, da die internationale Kriminalität naturgemäß nicht an den Grenzen der Union haltmacht.</w:t>
      </w:r>
      <w:r>
        <w:rPr>
          <w:i/>
          <w:noProof/>
        </w:rPr>
        <w:t xml:space="preserve"> </w:t>
      </w:r>
      <w:r>
        <w:rPr>
          <w:noProof/>
        </w:rPr>
        <w:t>Die Möglichkeit für alle Mitgliedstaaten und das Fürstentum Liechtenstein, gegenseitig auf die DNA-, daktyloskopischen und Fahrzeugregisterdaten in den nationalen Datenbanken zuzugreifen, ist für die Förderung der grenzüberschreitenden Zusammenarbeit bei der Strafverfolgung von zentraler Bedeutung.</w:t>
      </w:r>
    </w:p>
    <w:p>
      <w:pPr>
        <w:pStyle w:val="ManualConsidrant"/>
        <w:rPr>
          <w:noProof/>
        </w:rPr>
      </w:pPr>
      <w:r>
        <w:t>(4)</w:t>
      </w:r>
      <w:r>
        <w:tab/>
      </w:r>
      <w:r>
        <w:rPr>
          <w:noProof/>
        </w:rPr>
        <w:t>[Nach Artikel 3 des dem Vertrag über die Europäische Union und dem Vertrag über die Arbeitsweise der Europäischen Union beigefügten Protokolls Nr. 21 über die Position des Vereinigten Königreichs und Irlands hinsichtlich des Raums der Freiheit, der Sicherheit und des Rechts haben diese Mitgliedstaaten mitgeteilt, dass sie sich an der Annahme und Anwendung dieses Beschlusses beteiligen möchten.]</w:t>
      </w:r>
    </w:p>
    <w:p>
      <w:pPr>
        <w:pStyle w:val="ManualConsidrant"/>
        <w:rPr>
          <w:noProof/>
        </w:rPr>
      </w:pPr>
      <w:r>
        <w:t>(5)</w:t>
      </w:r>
      <w:r>
        <w:tab/>
      </w:r>
      <w:r>
        <w:rPr>
          <w:noProof/>
        </w:rPr>
        <w:t>Nach den Artikeln 1 und 2 des dem Vertrag über die Europäische Union und dem Vertrag über die Arbeitsweise der Europäischen Union beigefügten Protokolls Nr. 22 über die Position Dänemarks beteiligt sich Dänemark nicht an der Annahme dieses Beschlusses, der daher für Dänemark weder bindend noch Dänemark gegenüber anwendbar ist.</w:t>
      </w:r>
    </w:p>
    <w:p>
      <w:pPr>
        <w:pStyle w:val="ManualConsidrant"/>
        <w:rPr>
          <w:noProof/>
        </w:rPr>
      </w:pPr>
      <w:r>
        <w:t>(6)</w:t>
      </w:r>
      <w:r>
        <w:tab/>
      </w:r>
      <w:r>
        <w:rPr>
          <w:noProof/>
        </w:rPr>
        <w:t>Das Abkommen sollte – vorbehaltlich seines Abschlusses zu einem späteren Zeitpunkt –</w:t>
      </w:r>
      <w:r>
        <w:t xml:space="preserve"> </w:t>
      </w:r>
      <w:r>
        <w:rPr>
          <w:noProof/>
        </w:rPr>
        <w:t>im Namen der Union unterzeichnet und die beigefügte Erklärung genehmigt werden.</w:t>
      </w:r>
    </w:p>
    <w:p>
      <w:pPr>
        <w:pStyle w:val="ManualConsidrant"/>
        <w:rPr>
          <w:noProof/>
        </w:rPr>
      </w:pPr>
      <w:r>
        <w:t>(7)</w:t>
      </w:r>
      <w:r>
        <w:tab/>
      </w:r>
      <w:r>
        <w:rPr>
          <w:noProof/>
        </w:rPr>
        <w:t>Das Abkommen sieht die vorläufige Anwendung einiger seiner Bestimmungen vor. Diese Bestimmungen sollten bis zum Abschluss der Verfahren für den förmlichen Abschluss und das Inkrafttreten des Abkommens vorläufig angewendet werden —</w:t>
      </w:r>
    </w:p>
    <w:p>
      <w:pPr>
        <w:rPr>
          <w:noProof/>
        </w:rPr>
      </w:pP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Die Unterzeichnung des Abkommens zwischen der Europäischen Union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 (im Folgenden „Abkommen“), im Namen der Union wird – vorbehaltlich seines Abschlusses – genehmigt.</w:t>
      </w:r>
    </w:p>
    <w:p>
      <w:pPr>
        <w:rPr>
          <w:noProof/>
        </w:rPr>
      </w:pPr>
      <w:r>
        <w:rPr>
          <w:noProof/>
        </w:rPr>
        <w:t>Der Wortlaut des zu unterzeichnenden Abkommens ist diesem Beschluss beigefügt.</w:t>
      </w:r>
    </w:p>
    <w:p>
      <w:pPr>
        <w:pStyle w:val="Titrearticle"/>
        <w:rPr>
          <w:noProof/>
        </w:rPr>
      </w:pPr>
      <w:r>
        <w:rPr>
          <w:noProof/>
        </w:rPr>
        <w:t>Artikel 2</w:t>
      </w:r>
    </w:p>
    <w:p>
      <w:pPr>
        <w:rPr>
          <w:noProof/>
        </w:rPr>
      </w:pPr>
      <w:r>
        <w:rPr>
          <w:noProof/>
        </w:rPr>
        <w:t>Vorbehaltlich des Abschlusses des Abkommens stellt das Generalsekretariat des Rates die für seine Unterzeichnung erforderliche Bevollmächtigungsurkunde für die vom Verhandlungsführer des Abkommens benannte(n) Person(en) aus.</w:t>
      </w:r>
    </w:p>
    <w:p>
      <w:pPr>
        <w:pStyle w:val="Titrearticle"/>
        <w:rPr>
          <w:noProof/>
        </w:rPr>
      </w:pPr>
      <w:r>
        <w:rPr>
          <w:noProof/>
        </w:rPr>
        <w:t>Artikel 3</w:t>
      </w:r>
    </w:p>
    <w:p>
      <w:pPr>
        <w:rPr>
          <w:noProof/>
        </w:rPr>
      </w:pPr>
      <w:r>
        <w:rPr>
          <w:noProof/>
        </w:rPr>
        <w:t>Die diesem Beschluss beigefügte Erklärung wird im Namen der Union genehmigt.</w:t>
      </w:r>
    </w:p>
    <w:p>
      <w:pPr>
        <w:pStyle w:val="Titrearticle"/>
        <w:rPr>
          <w:noProof/>
        </w:rPr>
      </w:pPr>
      <w:r>
        <w:rPr>
          <w:noProof/>
        </w:rPr>
        <w:t>Artikel 4</w:t>
      </w:r>
    </w:p>
    <w:p>
      <w:pPr>
        <w:rPr>
          <w:noProof/>
        </w:rPr>
      </w:pPr>
      <w:r>
        <w:rPr>
          <w:noProof/>
        </w:rPr>
        <w:t>Artikel 5 Absätze 1 und 2 des Abkommens wird nach Artikel 8 Absatz 3 des Abkommens ab dem Tag seiner Unterzeichnung bis zu seinem Inkrafttreten vorläufig angewendet.</w:t>
      </w:r>
    </w:p>
    <w:p>
      <w:pPr>
        <w:pStyle w:val="Titrearticle"/>
        <w:rPr>
          <w:noProof/>
        </w:rPr>
      </w:pPr>
      <w:r>
        <w:rPr>
          <w:noProof/>
        </w:rPr>
        <w:t>Artikel 5</w:t>
      </w:r>
    </w:p>
    <w:p>
      <w:pPr>
        <w:keepNext/>
        <w:keepLines/>
        <w:rPr>
          <w:noProof/>
        </w:rPr>
      </w:pPr>
      <w:r>
        <w:rPr>
          <w:noProof/>
        </w:rPr>
        <w:t>Dieser Beschluss tritt am Tag nach seiner Veröffentlichung im Amtsblatt der Europäischen Union in Kraft.</w:t>
      </w:r>
    </w:p>
    <w:p>
      <w:pPr>
        <w:keepNext/>
        <w:keepLines/>
        <w:rPr>
          <w:noProof/>
        </w:rPr>
      </w:pP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ABl. L 210 vom 6.8.2008, S. 1.</w:t>
      </w:r>
    </w:p>
  </w:footnote>
  <w:footnote w:id="2">
    <w:p>
      <w:pPr>
        <w:pStyle w:val="FootnoteText"/>
      </w:pPr>
      <w:r>
        <w:rPr>
          <w:rStyle w:val="FootnoteReference"/>
        </w:rPr>
        <w:footnoteRef/>
      </w:r>
      <w:r>
        <w:tab/>
      </w:r>
      <w:r>
        <w:rPr>
          <w:rStyle w:val="Emphasis"/>
          <w:i w:val="0"/>
        </w:rPr>
        <w:t>ABl. L 210 vom 6.8.2008, S. 12.</w:t>
      </w:r>
    </w:p>
  </w:footnote>
  <w:footnote w:id="3">
    <w:p>
      <w:pPr>
        <w:pStyle w:val="FootnoteText"/>
      </w:pPr>
      <w:r>
        <w:rPr>
          <w:rStyle w:val="FootnoteReference"/>
        </w:rPr>
        <w:footnoteRef/>
      </w:r>
      <w:r>
        <w:tab/>
      </w:r>
      <w:r>
        <w:rPr>
          <w:rStyle w:val="Emphasis"/>
          <w:i w:val="0"/>
        </w:rPr>
        <w:t>ABl. L 322 vom 9.12.2009, S. 14.</w:t>
      </w:r>
    </w:p>
  </w:footnote>
  <w:footnote w:id="4">
    <w:p>
      <w:pPr>
        <w:pStyle w:val="FootnoteText"/>
      </w:pPr>
      <w:r>
        <w:rPr>
          <w:rStyle w:val="FootnoteReference"/>
        </w:rPr>
        <w:footnoteRef/>
      </w:r>
      <w:r>
        <w:tab/>
        <w:t>In der Praxis hat Liechtenstein keine eigenen Datenbanken, sondern nutzt die Datenbanken der Schweiz.</w:t>
      </w:r>
    </w:p>
  </w:footnote>
  <w:footnote w:id="5">
    <w:p>
      <w:pPr>
        <w:pStyle w:val="FootnoteText"/>
      </w:pPr>
      <w:r>
        <w:rPr>
          <w:rStyle w:val="FootnoteReference"/>
        </w:rPr>
        <w:footnoteRef/>
      </w:r>
      <w:r>
        <w:tab/>
      </w:r>
      <w:r>
        <w:rPr>
          <w:iCs/>
          <w:color w:val="000000"/>
        </w:rPr>
        <w:t>ABl. L 160 vom 18.6.2011, S. 21.</w:t>
      </w:r>
    </w:p>
  </w:footnote>
  <w:footnote w:id="6">
    <w:p>
      <w:pPr>
        <w:pStyle w:val="FootnoteText"/>
      </w:pPr>
      <w:r>
        <w:rPr>
          <w:rStyle w:val="FootnoteReference"/>
        </w:rPr>
        <w:footnoteRef/>
      </w:r>
      <w:r>
        <w:tab/>
        <w:t>ABl. L 386 vom 29.12.2006, S. 89.</w:t>
      </w:r>
    </w:p>
  </w:footnote>
  <w:footnote w:id="7">
    <w:p>
      <w:pPr>
        <w:pStyle w:val="FootnoteText"/>
      </w:pPr>
      <w:r>
        <w:rPr>
          <w:rStyle w:val="FootnoteReference"/>
        </w:rPr>
        <w:footnoteRef/>
      </w:r>
      <w:r>
        <w:tab/>
        <w:t>Verordnung (EU) Nr. 603/2013 des Europäischen Parlaments und des Rates vom 26. Juni 2013 über die Einrichtung von Eurodac für den Abgleich von Fingerabdruckdaten zum Zwecke der effektiven Anwendung der Verordnung (EU) Nr. 604/2013 zur Festlegung der Kriterien und Verfahren zur Bestimmung des Mitgliedstaats, der für die Prüfung eines von einem Drittstaatsangehörigen oder Staatenlosen in einem Mitgliedstaat gestellten Antrags auf internationalen Schutz zuständig ist und über der Gefahrenabwehr und Strafverfolgung dienende Anträge der Gefahrenabwehr- und Strafverfolgungsbehörden der Mitgliedstaaten und Europols auf den Abgleich mit Eurodac-Daten sowie zur Änderung der Verordnung (EU) Nr. 1077/2011 zur Errichtung einer Europäischen Agentur für das Betriebsmanagement von IT-Großsystemen im Raum der Freiheit, der Sicherheit und des Rechts (Neufassung) (ABl. L 180 vom 29.6.2013, S. 1).</w:t>
      </w:r>
    </w:p>
  </w:footnote>
  <w:footnote w:id="8">
    <w:p>
      <w:pPr>
        <w:pStyle w:val="FootnoteText"/>
      </w:pPr>
      <w:r>
        <w:rPr>
          <w:rStyle w:val="FootnoteReference"/>
        </w:rPr>
        <w:footnoteRef/>
      </w:r>
      <w:r>
        <w:tab/>
      </w:r>
      <w:r>
        <w:rPr>
          <w:rStyle w:val="Emphasis"/>
          <w:i w:val="0"/>
        </w:rPr>
        <w:t>ABl. C 202 vom 7.6.2016, S. 295.</w:t>
      </w:r>
    </w:p>
  </w:footnote>
  <w:footnote w:id="9">
    <w:p>
      <w:pPr>
        <w:pStyle w:val="FootnoteText"/>
        <w:rPr>
          <w:i/>
        </w:rPr>
      </w:pPr>
      <w:r>
        <w:rPr>
          <w:rStyle w:val="FootnoteReference"/>
        </w:rPr>
        <w:footnoteRef/>
      </w:r>
      <w:r>
        <w:tab/>
      </w:r>
      <w:r>
        <w:rPr>
          <w:rStyle w:val="Emphasis"/>
          <w:i w:val="0"/>
        </w:rPr>
        <w:t>ABl. C 326 vom 26.10.2012, S. 299.</w:t>
      </w:r>
    </w:p>
  </w:footnote>
  <w:footnote w:id="10">
    <w:p>
      <w:pPr>
        <w:pStyle w:val="FootnoteText"/>
      </w:pPr>
      <w:r>
        <w:rPr>
          <w:rStyle w:val="FootnoteReference"/>
        </w:rPr>
        <w:footnoteRef/>
      </w:r>
      <w:r>
        <w:tab/>
        <w:t>Beschluss 2008/615/JI des Rates vom 23. Juni 2008 zur Vertiefung der grenzüberschreitenden Zusammenarbeit, insbesondere zur Bekämpfung des Terrorismus und der grenzüberschreitenden Kriminalität (ABl. L 210 vom 6.8.2008, S. 1).</w:t>
      </w:r>
    </w:p>
  </w:footnote>
  <w:footnote w:id="11">
    <w:p>
      <w:pPr>
        <w:pStyle w:val="FootnoteText"/>
      </w:pPr>
      <w:r>
        <w:rPr>
          <w:rStyle w:val="FootnoteReference"/>
        </w:rPr>
        <w:footnoteRef/>
      </w:r>
      <w:r>
        <w:tab/>
        <w:t>Beschluss 2008/616/JI des Rates vom 23. Juni 2008 zur Durchführung des Beschlusses 2008/615/JI zur Vertiefung der grenzüberschreitenden Zusammenarbeit, insbesondere zur Bekämpfung des Terrorismus und der grenzüberschreitenden Kriminalität (ABl. L 210 vom 6.8.2008, S. 12).</w:t>
      </w:r>
    </w:p>
  </w:footnote>
  <w:footnote w:id="12">
    <w:p>
      <w:pPr>
        <w:pStyle w:val="FootnoteText"/>
      </w:pPr>
      <w:r>
        <w:rPr>
          <w:rStyle w:val="FootnoteReference"/>
        </w:rPr>
        <w:footnoteRef/>
      </w:r>
      <w:r>
        <w:tab/>
        <w:t>Rahmenbeschluss 2009/905/JI des Rates vom 30. November 2009 über die Akkreditierung von Anbietern kriminaltechnischer Dienste, die Labortätigkeiten durchführen (ABl. L 322 vom 9.12.2009, S. 14).</w:t>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800D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C0B6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D8DD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EA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9-01-24 14:44: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BEBDBBF-E84F-49E3-A3D2-DA1836437430"/>
    <w:docVar w:name="LW_COVERPAGE_TYPE" w:val="1"/>
    <w:docVar w:name="LW_CROSSREFERENCE" w:val="&lt;UNUSED&gt;"/>
    <w:docVar w:name="LW_DocType" w:val="COM"/>
    <w:docVar w:name="LW_EMISSION" w:val="31.1.2019"/>
    <w:docVar w:name="LW_EMISSION_ISODATE" w:val="2019-01-31"/>
    <w:docVar w:name="LW_EMISSION_LOCATION" w:val="BRX"/>
    <w:docVar w:name="LW_EMISSION_PREFIX" w:val="Brü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16"/>
    <w:docVar w:name="LW_REF.II.NEW.CP_YEAR" w:val="2019"/>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ie Unterzeichnung \u8211? im Namen der Europäischen Union \u8211? und über die vorläufige Anwendung einiger Bestimmungen des Abkommens zwischen der Europäischen Union und dem Fürstentum Liechtenstein über die Anwendung einiger Bestimmungen des Beschlusses 2008/615/JI des Rates zur Vertiefung der grenzüberschreitenden Zusammenarbeit, insbesondere zur Bekämpfung des Terrorismus und der grenzüberschreitenden Kriminalität, des Beschlusses 2008/616/JI des Rates zur Durchführung des Beschlusses 2008/615/JI zur Vertiefung der grenzüberschreitenden Zusammenarbeit, insbesondere zur Bekämpfung des Terrorismus und der grenzüberschreitenden Kriminalität, und seines Anhangs sowie des Rahmenbeschlusses 2009/905/JI des Rates über die Akkreditierung von Anbietern kriminaltechnischer Dienste, die Labortätigkeiten durchführen"/>
    <w:docVar w:name="LW_TYPE.DOC.CP" w:val="BESCHLUSS DES RATES"/>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de-DE"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FAA561-F027-4E0D-9753-3BAA871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2288</Words>
  <Characters>16292</Characters>
  <Application>Microsoft Office Word</Application>
  <DocSecurity>0</DocSecurity>
  <Lines>267</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2019-01-11T09:40:00Z</dcterms:created>
  <dcterms:modified xsi:type="dcterms:W3CDTF">2019-01-24T13:44:00Z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