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12EC6523-F19C-4C12-A41B-F1EAC34165B0" style="width:450.75pt;height:351.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w:t>
      </w:r>
      <w:r>
        <w:rPr>
          <w:noProof/>
        </w:rPr>
        <w:tab/>
        <w:t>Dôvody a ciele návrhu</w:t>
      </w:r>
    </w:p>
    <w:p>
      <w:pPr>
        <w:pStyle w:val="Default"/>
        <w:jc w:val="both"/>
        <w:rPr>
          <w:noProof/>
          <w:lang w:val="sk-SK"/>
        </w:rPr>
      </w:pPr>
      <w:r>
        <w:rPr>
          <w:noProof/>
          <w:lang w:val="sk-SK"/>
        </w:rPr>
        <w:t>Odkedy Spojené kráľovstvo oznámilo svoj úmysel vystúpiť z Únie, Európska únia dôsledne trvala na tom, že Únia a Spojené kráľovstvo by mali splniť svoje príslušné záväzky, ktoré im vznikli počas celého obdobia členstva Spojeného kráľovstva v Únii. Táto zásada bola pripomenutá v záveroch Európskej rady z 29. apríla 2017 a zohľadnená v úvode k návrhu dohody o vystúpení, na ktorom sa dohodlo 27 členských štátov Európskej únie a vláda Spojeného kráľovstva 14. novembra 2018. Neexistenciou dohody o vystúpení k dátumu vystúpenia by nebola táto hlavná zásada nijak dotknutá.</w:t>
      </w:r>
    </w:p>
    <w:p>
      <w:pPr>
        <w:pStyle w:val="Default"/>
        <w:jc w:val="both"/>
        <w:rPr>
          <w:noProof/>
          <w:lang w:val="sk-SK"/>
        </w:rPr>
      </w:pPr>
    </w:p>
    <w:p>
      <w:pPr>
        <w:pStyle w:val="Default"/>
        <w:jc w:val="both"/>
        <w:rPr>
          <w:noProof/>
          <w:lang w:val="sk-SK"/>
        </w:rPr>
      </w:pPr>
      <w:r>
        <w:rPr>
          <w:noProof/>
          <w:lang w:val="sk-SK"/>
        </w:rPr>
        <w:t>V oznámení Komisie „Príprava na vystúpenie Spojeného kráľovstva z Európskej únie 30. marca 2019: krízový akčný plán“ z 13. novembra 2018</w:t>
      </w:r>
      <w:r>
        <w:rPr>
          <w:rStyle w:val="FootnoteReference"/>
          <w:noProof/>
          <w:lang w:val="sk-SK"/>
        </w:rPr>
        <w:footnoteReference w:id="1"/>
      </w:r>
      <w:r>
        <w:rPr>
          <w:noProof/>
          <w:lang w:val="sk-SK"/>
        </w:rPr>
        <w:t xml:space="preserve"> sa stanovili krízové opatrenia, ktoré Komisia plánuje prijať, ak k dátumu vystúpenia nenadobudne platnosť žiadna dohoda o vystúpení. Komisia v uvedenom oznámení stanovila zoznam opatrení, ktoré považuje za nevyhnutné, pričom zároveň pripomenula, že neskôr môžu byť potrebné ďalšie opatrenia. V oznámení sa tiež uvádza šesť všeobecných zásad, ktorými by sa mali riadiť krízové opatrenia na všetkých úrovniach. Medzi ne patria zásady, že opatrenia by nemali reprodukovať výhody členstva v Únii, ani podmienky akéhokoľvek prechodného obdobia stanoveného v dohode o vystúpení; musia mať v zásade dočasný charakter a nemali by vo všeobecnosti platiť dlhšie ako do konca roku 2019; a musia byť jednostrannými opatreniami, ktoré prijala Európska únia na ochranu svojich záujmov, a preto ich v zásade môže aj kedykoľvek zrušiť.</w:t>
      </w:r>
    </w:p>
    <w:p>
      <w:pPr>
        <w:pStyle w:val="Default"/>
        <w:jc w:val="both"/>
        <w:rPr>
          <w:noProof/>
          <w:lang w:val="sk-SK"/>
        </w:rPr>
      </w:pPr>
    </w:p>
    <w:p>
      <w:pPr>
        <w:pStyle w:val="Default"/>
        <w:jc w:val="both"/>
        <w:rPr>
          <w:noProof/>
          <w:lang w:val="sk-SK"/>
        </w:rPr>
      </w:pPr>
      <w:r>
        <w:rPr>
          <w:noProof/>
          <w:lang w:val="sk-SK"/>
        </w:rPr>
        <w:t>V prípade realizácie scenára bez dohody zostanú rozpočtové vzťahy medzi Úniou a Spojeným kráľovstvom bez právnej úpravy až dovtedy, kým sa nedosiahne dohoda. Takéto právne vákuum by spôsobilo značnú neistotu a ťažkosti pri plnení rozpočtu Únie všetkým prijímateľom zo Spojeného kráľovstva a v niektorých prípadoch aj prijímateľom z iných členských štátov. Tento návrh predstavuje v súlade s celkovým prístupom Komisie krízové opatrenie v reakcii na túto situáciu.</w:t>
      </w:r>
    </w:p>
    <w:p>
      <w:pPr>
        <w:pStyle w:val="Default"/>
        <w:jc w:val="both"/>
        <w:rPr>
          <w:noProof/>
          <w:lang w:val="sk-SK"/>
        </w:rPr>
      </w:pPr>
    </w:p>
    <w:p>
      <w:pPr>
        <w:pStyle w:val="Default"/>
        <w:jc w:val="both"/>
        <w:rPr>
          <w:noProof/>
          <w:lang w:val="sk-SK"/>
        </w:rPr>
      </w:pPr>
      <w:r>
        <w:rPr>
          <w:noProof/>
          <w:lang w:val="sk-SK"/>
        </w:rPr>
        <w:t>Spojené kráľovstvo po vystúpení nebude viac členom Európskej únie a nebudú sa naň vzťahovať zmluvy ani sekundárne právne predpisy. Spojené kráľovstvo ani subjekty zriadené v Spojenom kráľovstve už nebudú oprávnené na financovanie v rámci programov Únie, pokiaľ právne akty, ktorými sa zriaďujú dotknuté výdavkové programy EÚ, neobsahujú ustanovenia o účasti tretích krajín.</w:t>
      </w:r>
    </w:p>
    <w:p>
      <w:pPr>
        <w:pStyle w:val="Default"/>
        <w:jc w:val="both"/>
        <w:rPr>
          <w:noProof/>
          <w:lang w:val="sk-SK"/>
        </w:rPr>
      </w:pPr>
    </w:p>
    <w:p>
      <w:pPr>
        <w:pStyle w:val="Default"/>
        <w:jc w:val="both"/>
        <w:rPr>
          <w:noProof/>
          <w:lang w:val="sk-SK"/>
        </w:rPr>
      </w:pPr>
      <w:r>
        <w:rPr>
          <w:noProof/>
          <w:lang w:val="sk-SK"/>
        </w:rPr>
        <w:t>Účelom tohto návrhu je predísť zbytočným ťažkostiam, ktorým by mohli čeliť prijímatelia prostriedkov z výdavkových programov a iných akcií EÚ v čase vystúpenia, prípadne tieto ťažkosti aspoň obmedziť na minimum, a to aj vzhľadom na predpoklad, že to uľahčí finančné vyrovnanie medzi Úniou s Spojeným kráľovstvom.</w:t>
      </w:r>
    </w:p>
    <w:p>
      <w:pPr>
        <w:pStyle w:val="Default"/>
        <w:jc w:val="both"/>
        <w:rPr>
          <w:noProof/>
          <w:lang w:val="sk-SK"/>
        </w:rPr>
      </w:pPr>
    </w:p>
    <w:p>
      <w:pPr>
        <w:pStyle w:val="Default"/>
        <w:jc w:val="both"/>
        <w:rPr>
          <w:noProof/>
          <w:lang w:val="sk-SK"/>
        </w:rPr>
      </w:pPr>
      <w:r>
        <w:rPr>
          <w:noProof/>
          <w:lang w:val="sk-SK"/>
        </w:rPr>
        <w:t>Navrhovaný krízový rámec umožňuje zachovať oprávnenosť Spojeného kráľovstva a subjektov zo Spojeného kráľovstva na financovanie z Únie na základe právnych záväzkov prijatých pred dátumom vystúpenia aj v po ňom nasledujúcom období, a to na obmedzený čas (do 31. decembra 2019). Podmienkou je, aby Spojené kráľovstvo prijalo písomný záväzok a naďalej prispievalo na financovanie rozpočtu na rok 2019 za podmienok stanovených v tomto návrhu. Spojené kráľovstvo by malo okrem toho poskytnúť písomný záväzok, že súhlasí s kontrolami a auditmi vzťahujúcimi sa na celé obdobie implementácie programov alebo akcií. Za takýchto okolností budú finančné záujmy Únie chránené.</w:t>
      </w:r>
    </w:p>
    <w:p>
      <w:pPr>
        <w:pStyle w:val="Default"/>
        <w:jc w:val="both"/>
        <w:rPr>
          <w:noProof/>
          <w:lang w:val="sk-SK"/>
        </w:rPr>
      </w:pPr>
    </w:p>
    <w:p>
      <w:pPr>
        <w:pStyle w:val="Default"/>
        <w:jc w:val="both"/>
        <w:rPr>
          <w:noProof/>
          <w:lang w:val="sk-SK"/>
        </w:rPr>
      </w:pPr>
      <w:r>
        <w:rPr>
          <w:noProof/>
          <w:lang w:val="sk-SK"/>
        </w:rPr>
        <w:t>Spojené kráľovstvo a subjekty zo Spojeného kráľovstva, ako aj subjekty z iných členských štátov, ktorých oprávnenosť bude dotknutá vystúpením Spojeného kráľovstva, by mali naďalej prístup k financovaniu Únie za podmienok stanovených v tomto nariadení. Zmiernil by sa tak nepriaznivý účinok vystúpenia na existujúce dohody a rozhodnutia. Umožnilo by to riadené rozpočtové plnenie právnych záväzkov vo vzťahu k Spojenému kráľovstvu a subjektom zo Spojeného kráľovstva, ktoré boli podpísané alebo prijaté pred dátumom vystúpenia.</w:t>
      </w:r>
    </w:p>
    <w:p>
      <w:pPr>
        <w:pStyle w:val="Default"/>
        <w:jc w:val="both"/>
        <w:rPr>
          <w:noProof/>
          <w:lang w:val="sk-SK"/>
        </w:rPr>
      </w:pPr>
    </w:p>
    <w:p>
      <w:pPr>
        <w:pStyle w:val="Default"/>
        <w:jc w:val="both"/>
        <w:rPr>
          <w:noProof/>
          <w:lang w:val="sk-SK"/>
        </w:rPr>
      </w:pPr>
      <w:r>
        <w:rPr>
          <w:noProof/>
          <w:lang w:val="sk-SK"/>
        </w:rPr>
        <w:t>Okrem toho, keďže Spojené kráľovstvo by financovalo celý rozpočet na rok 2019, a v súlade s cieľom úplnej implementácie viacročného finančného rámca na roky 2014 – 2020, o ktorom sa rozhodlo v čase, keď bolo Spojené kráľovstvo členom Únie, by sa Spojené kráľovstvo a subjekty zo Spojeného kráľovstva v roku 2019 považovali za oprávnené na účely podmienok všetkých výziev, verejných súťaží, verejných súťaží návrhov a všetkých ostatných postupov, ktoré môžu viesť k financovaniu z rozpočtu Únie. Netýkalo by sa to prípadov, v ktorých existujú obmedzenia súvisiace s bezpečnosťou, a akcií s účasťou Európskej investičnej banky alebo Európskeho investičného fondu.</w:t>
      </w:r>
    </w:p>
    <w:p>
      <w:pPr>
        <w:pStyle w:val="Default"/>
        <w:jc w:val="both"/>
        <w:rPr>
          <w:noProof/>
          <w:lang w:val="sk-SK"/>
        </w:rPr>
      </w:pPr>
    </w:p>
    <w:p>
      <w:pPr>
        <w:pStyle w:val="Default"/>
        <w:jc w:val="both"/>
        <w:rPr>
          <w:noProof/>
          <w:lang w:val="sk-SK"/>
        </w:rPr>
      </w:pPr>
      <w:r>
        <w:rPr>
          <w:noProof/>
          <w:lang w:val="sk-SK"/>
        </w:rPr>
        <w:t>Navrhovaný krízový rámec by takisto umožnil financovanie akcií, v rámci ktorých sú prijímateľmi členské štáty alebo subjekty členských štátov, v prípadoch, keď je oprávnenosť podmienená postavením Spojeného kráľovstva ako členského štátu, za predpokladu, že sa tieto osobitné akcie implementujú na základe právnych záväzkov podpísaných alebo prijatých pred dátumom vystúpenia.</w:t>
      </w:r>
    </w:p>
    <w:p>
      <w:pPr>
        <w:pStyle w:val="Default"/>
        <w:jc w:val="both"/>
        <w:rPr>
          <w:noProof/>
          <w:lang w:val="sk-SK"/>
        </w:rPr>
      </w:pPr>
    </w:p>
    <w:p>
      <w:pPr>
        <w:pStyle w:val="Default"/>
        <w:jc w:val="both"/>
        <w:rPr>
          <w:noProof/>
          <w:lang w:val="sk-SK"/>
        </w:rPr>
      </w:pPr>
      <w:r>
        <w:rPr>
          <w:noProof/>
          <w:lang w:val="sk-SK"/>
        </w:rPr>
        <w:t>Oprávnenosť Spojeného kráľovstva a subjektov Spojeného kráľovstva by sa začala uplatňovať až po splnení podmienok stanovených v tomto návrhu vrátane podmienky požadujúcej, aby Spojené kráľovstvo uskutočnilo svoju prvú platbu do rozpočtu EÚ na dané obdobie po svojom vystúpení z Únie. Tento krízový rámec stanovujúci oprávnenosť Spojeného kráľovstva a subjektov Spojeného kráľovstva by sa prestal uplatňovať, ak Spojené kráľovstvo prestane uhrádzať platby alebo ak sa zistia závažné nedostatky pri vykonávaní kontrol a auditov.</w:t>
      </w:r>
    </w:p>
    <w:p>
      <w:pPr>
        <w:pStyle w:val="Default"/>
        <w:jc w:val="both"/>
        <w:rPr>
          <w:noProof/>
          <w:lang w:val="sk-SK"/>
        </w:rPr>
      </w:pPr>
    </w:p>
    <w:p>
      <w:pPr>
        <w:pStyle w:val="Default"/>
        <w:jc w:val="both"/>
        <w:rPr>
          <w:noProof/>
          <w:lang w:val="sk-SK"/>
        </w:rPr>
      </w:pPr>
      <w:r>
        <w:rPr>
          <w:noProof/>
          <w:lang w:val="sk-SK"/>
        </w:rPr>
        <w:t>Týmto návrhom nie je dotknuté rokovanie o dohode so Spojeným kráľovstvom o finančnom vyrovnaní týkajúcom sa všetkých vzájomných záväzkov. Ak sa v roku 2019 nedosiahne žiadna dohoda, situácia na začiatku roku 2020 bude rovnaká ako situácia k dátumu vystúpenia v súvislosti so vzájomnými záväzkami prijatými Úniou a Spojeným kráľovstvom. V každom prípade by Únia aj Spojené kráľovstvo museli dodržať svoje príslušné záväzky vyplývajúce z celého obdobia členstva Spojeného kráľovstva v Únii.</w:t>
      </w:r>
    </w:p>
    <w:p>
      <w:pPr>
        <w:pStyle w:val="ManualHeading2"/>
        <w:rPr>
          <w:rFonts w:eastAsia="Arial Unicode MS"/>
          <w:noProof/>
          <w:color w:val="000000"/>
          <w:u w:color="000000"/>
          <w:bdr w:val="nil"/>
        </w:rPr>
      </w:pPr>
      <w:r>
        <w:rPr>
          <w:noProof/>
          <w:color w:val="000000"/>
          <w:u w:color="000000"/>
          <w:bdr w:val="nil"/>
        </w:rPr>
        <w:t>•</w:t>
      </w:r>
      <w:r>
        <w:rPr>
          <w:noProof/>
        </w:rPr>
        <w:tab/>
        <w:t>Súlad s existujúcimi ustanoveniami v tejto oblasti politiky</w:t>
      </w:r>
    </w:p>
    <w:p>
      <w:pPr>
        <w:pBdr>
          <w:top w:val="nil"/>
          <w:left w:val="nil"/>
          <w:bottom w:val="nil"/>
          <w:right w:val="nil"/>
          <w:between w:val="nil"/>
          <w:bar w:val="nil"/>
        </w:pBdr>
        <w:spacing w:before="0" w:after="240"/>
        <w:rPr>
          <w:noProof/>
        </w:rPr>
      </w:pPr>
      <w:r>
        <w:rPr>
          <w:noProof/>
        </w:rPr>
        <w:t>Cieľom tohto návrhu je minimalizovať negatívny účinok vystúpenia Spojeného kráľovstva na rozpočet Únie a na vykonávanie politík Únie.</w:t>
      </w:r>
    </w:p>
    <w:p>
      <w:pPr>
        <w:pStyle w:val="ManualHeading2"/>
        <w:rPr>
          <w:rFonts w:eastAsia="Arial Unicode MS"/>
          <w:noProof/>
        </w:rPr>
      </w:pPr>
      <w:r>
        <w:rPr>
          <w:noProof/>
          <w:color w:val="000000"/>
          <w:u w:color="000000"/>
          <w:bdr w:val="nil"/>
        </w:rPr>
        <w:t>•</w:t>
      </w:r>
      <w:r>
        <w:rPr>
          <w:noProof/>
        </w:rPr>
        <w:tab/>
        <w:t>Súlad s ostatnými politikami Únie</w:t>
      </w:r>
    </w:p>
    <w:p>
      <w:pPr>
        <w:pBdr>
          <w:top w:val="nil"/>
          <w:left w:val="nil"/>
          <w:bottom w:val="nil"/>
          <w:right w:val="nil"/>
          <w:between w:val="nil"/>
          <w:bar w:val="nil"/>
        </w:pBdr>
        <w:spacing w:before="0" w:after="240"/>
        <w:rPr>
          <w:rFonts w:eastAsia="Arial Unicode MS"/>
          <w:noProof/>
        </w:rPr>
      </w:pPr>
      <w:r>
        <w:rPr>
          <w:noProof/>
        </w:rPr>
        <w:t>Tento návrh je v plnom súlade s mandátom Rady pre rokovania so Spojeným kráľovstvom o jeho vystúpení z Únie.</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rPr>
        <w:t>•</w:t>
      </w:r>
      <w:r>
        <w:rPr>
          <w:noProof/>
        </w:rPr>
        <w:tab/>
        <w:t>Právny základ</w:t>
      </w:r>
    </w:p>
    <w:p>
      <w:pPr>
        <w:pBdr>
          <w:top w:val="nil"/>
          <w:left w:val="nil"/>
          <w:bottom w:val="nil"/>
          <w:right w:val="nil"/>
          <w:between w:val="nil"/>
          <w:bar w:val="nil"/>
        </w:pBdr>
        <w:spacing w:before="0" w:after="240"/>
        <w:rPr>
          <w:noProof/>
        </w:rPr>
      </w:pPr>
      <w:r>
        <w:rPr>
          <w:noProof/>
        </w:rPr>
        <w:t>Článok 352 ZFEÚ a článok 203 Zmluvy o Euratome umožňujú Únii prijať vhodné ustanovenia, ak sa preukáže, že v rámci politík vymedzených v zmluvách je na dosiahnutie niektorého z cieľov uvedených v zmluvách nevyhnutná činnosť Únie a zmluvy na to neposkytujú potrebné právomoci. Toto navrhované nariadenie je opatrením, ktoré upravuje prechodnú fázu po vystúpení členského štátu, pokiaľ ide o financovanie akcií z rozpočtu Únie a ich implementáciu, v situácii, keď sa s dotknutým štátom neuzavrela žiadna dohoda. Takéto opatrenie je potrebné, aby bolo možné plniť rozpočet Únie na bežný rozpočtový rok (2019), aby bolo možné prijímať platby od vystupujúceho členského štátu a tiež aby sa stanovilo riešenie pre prebiehajúce akcie financované z rozpočtu Únie v prospech Spojeného kráľovstva a prijímateľov zo Spojeného kráľovstva a pre nové akcie, ktorých implementácia je odôvodnená vzhľadom na príspevok Spojeného kráľovstva do rozpočtu na rok 2019. V zmluvách sa nestanovujú potrebné právomoci, ktoré by Únii umožňovali prijať takéto prechodné opatrenia, a preto je vhodným právnym základom článok 352 ZFEÚ a článok 203 Zmluvy o Euratome.</w:t>
      </w:r>
    </w:p>
    <w:p>
      <w:pPr>
        <w:pStyle w:val="ManualHeading2"/>
        <w:rPr>
          <w:noProof/>
        </w:rPr>
      </w:pPr>
      <w:r>
        <w:rPr>
          <w:noProof/>
        </w:rPr>
        <w:t>•</w:t>
      </w:r>
      <w:r>
        <w:rPr>
          <w:noProof/>
        </w:rPr>
        <w:tab/>
        <w:t>Subsidiarita (v prípade inej ako výlučnej právomoci)</w:t>
      </w:r>
    </w:p>
    <w:p>
      <w:pPr>
        <w:pBdr>
          <w:top w:val="nil"/>
          <w:left w:val="nil"/>
          <w:bottom w:val="nil"/>
          <w:right w:val="nil"/>
          <w:between w:val="nil"/>
          <w:bar w:val="nil"/>
        </w:pBdr>
        <w:spacing w:before="0" w:after="240"/>
        <w:rPr>
          <w:noProof/>
        </w:rPr>
      </w:pPr>
      <w:r>
        <w:rPr>
          <w:noProof/>
        </w:rPr>
        <w:t>Rozpočtový orgán Únie prijal rozpočet Únie na rok 2019 na financovanie akcií a výdavkových programov v rámci VFR na roky 2014 – 2020, ako ich schválil zákonodarca Únie. Ciele navrhovanej činnosti preto možno dosiahnuť len opatrením na úrovni Únie.</w:t>
      </w:r>
    </w:p>
    <w:p>
      <w:pPr>
        <w:pStyle w:val="ManualHeading2"/>
        <w:rPr>
          <w:rFonts w:eastAsia="Arial Unicode MS"/>
          <w:noProof/>
          <w:u w:color="000000"/>
          <w:bdr w:val="nil"/>
        </w:rPr>
      </w:pPr>
      <w:r>
        <w:rPr>
          <w:noProof/>
        </w:rPr>
        <w:t>•</w:t>
      </w:r>
      <w:r>
        <w:rPr>
          <w:noProof/>
        </w:rPr>
        <w:tab/>
        <w:t>Proporcionalita</w:t>
      </w:r>
    </w:p>
    <w:p>
      <w:pPr>
        <w:pBdr>
          <w:top w:val="nil"/>
          <w:left w:val="nil"/>
          <w:bottom w:val="nil"/>
          <w:right w:val="nil"/>
          <w:between w:val="nil"/>
          <w:bar w:val="nil"/>
        </w:pBdr>
        <w:spacing w:before="0" w:after="240"/>
        <w:rPr>
          <w:rFonts w:eastAsia="Arial Unicode MS"/>
          <w:noProof/>
        </w:rPr>
      </w:pPr>
      <w:r>
        <w:rPr>
          <w:noProof/>
        </w:rPr>
        <w:t>Návrh nepresahuje rámec toho, čo je potrebné na dosiahnutie cieľov opatrenia, pretože sa obmedzuje na určenie podmienok pre stanovenie oprávnenosti Spojeného kráľovstva a subjektov Spojeného kráľovstva a je časovo obmedzený.</w:t>
      </w:r>
    </w:p>
    <w:p>
      <w:pPr>
        <w:pStyle w:val="ManualHeading2"/>
        <w:rPr>
          <w:rFonts w:eastAsia="Arial Unicode MS"/>
          <w:noProof/>
          <w:u w:color="000000"/>
          <w:bdr w:val="nil"/>
        </w:rPr>
      </w:pPr>
      <w:r>
        <w:rPr>
          <w:noProof/>
        </w:rPr>
        <w:t>•</w:t>
      </w:r>
      <w:r>
        <w:rPr>
          <w:noProof/>
        </w:rPr>
        <w:tab/>
        <w:t>Výber nástroja</w:t>
      </w:r>
    </w:p>
    <w:p>
      <w:pPr>
        <w:pBdr>
          <w:top w:val="nil"/>
          <w:left w:val="nil"/>
          <w:bottom w:val="nil"/>
          <w:right w:val="nil"/>
          <w:between w:val="nil"/>
          <w:bar w:val="nil"/>
        </w:pBdr>
        <w:spacing w:before="0" w:after="240"/>
        <w:rPr>
          <w:noProof/>
        </w:rPr>
      </w:pPr>
      <w:r>
        <w:rPr>
          <w:noProof/>
        </w:rPr>
        <w:t>Vzhľadom na potrebu záväzného aktu, ktorý by bol priamo uplatniteľný, je nariadenie jedinou vhodnou formou aktu.</w:t>
      </w:r>
    </w:p>
    <w:p>
      <w:pPr>
        <w:pStyle w:val="ManualHeading1"/>
        <w:jc w:val="left"/>
        <w:rPr>
          <w:noProof/>
        </w:rPr>
      </w:pPr>
      <w:r>
        <w:rPr>
          <w:noProof/>
        </w:rPr>
        <w:t>3.</w:t>
      </w:r>
      <w:r>
        <w:rPr>
          <w:noProof/>
        </w:rPr>
        <w:tab/>
        <w:t>VÝSLEDKY HODNOTENÍ EX POST, KONZULTÁCIÍ SO ZAINTERESOVANÝMI STRANAMI A POSÚDENÍ VPLYVU</w:t>
      </w:r>
    </w:p>
    <w:p>
      <w:pPr>
        <w:pStyle w:val="ManualHeading2"/>
        <w:rPr>
          <w:rFonts w:eastAsia="Arial Unicode MS"/>
          <w:noProof/>
          <w:u w:color="000000"/>
          <w:bdr w:val="nil"/>
        </w:rPr>
      </w:pPr>
      <w:r>
        <w:rPr>
          <w:noProof/>
        </w:rPr>
        <w:t>•</w:t>
      </w:r>
      <w:r>
        <w:rPr>
          <w:noProof/>
        </w:rPr>
        <w:tab/>
        <w:t>Hodnotenia ex post/kontroly vhodnosti existujúcich právnych predpisov</w:t>
      </w:r>
    </w:p>
    <w:p>
      <w:pPr>
        <w:pStyle w:val="ManualHeading2"/>
        <w:rPr>
          <w:b w:val="0"/>
          <w:noProof/>
        </w:rPr>
      </w:pPr>
      <w:r>
        <w:rPr>
          <w:b w:val="0"/>
          <w:noProof/>
        </w:rPr>
        <w:t>Neuvádza sa.</w:t>
      </w:r>
    </w:p>
    <w:p>
      <w:pPr>
        <w:pStyle w:val="ManualHeading2"/>
        <w:rPr>
          <w:rFonts w:eastAsia="Arial Unicode MS"/>
          <w:noProof/>
          <w:u w:color="000000"/>
          <w:bdr w:val="nil"/>
        </w:rPr>
      </w:pPr>
      <w:r>
        <w:rPr>
          <w:noProof/>
        </w:rPr>
        <w:t>•</w:t>
      </w:r>
      <w:r>
        <w:rPr>
          <w:noProof/>
        </w:rPr>
        <w:tab/>
        <w:t>Konzultácie so zainteresovanými stranami</w:t>
      </w:r>
    </w:p>
    <w:p>
      <w:pPr>
        <w:pBdr>
          <w:top w:val="nil"/>
          <w:left w:val="nil"/>
          <w:bottom w:val="nil"/>
          <w:right w:val="nil"/>
          <w:between w:val="nil"/>
          <w:bar w:val="nil"/>
        </w:pBdr>
        <w:spacing w:before="0" w:after="240"/>
        <w:rPr>
          <w:noProof/>
          <w:color w:val="000000" w:themeColor="text1"/>
        </w:rPr>
      </w:pPr>
      <w:r>
        <w:rPr>
          <w:noProof/>
          <w:color w:val="000000" w:themeColor="text1"/>
        </w:rPr>
        <w:t>Konzultácie so zainteresovanými stranami nebolo možné vykonať vzhľadom na naliehavosť vypracovania návrhu, aby ho mohla Rada po získaní súhlasu Európskeho parlamentu prijať včas pred konaním volieb do Európskeho parlamentu.</w:t>
      </w:r>
    </w:p>
    <w:p>
      <w:pPr>
        <w:pStyle w:val="ManualHeading2"/>
        <w:rPr>
          <w:rFonts w:eastAsia="Arial Unicode MS"/>
          <w:noProof/>
          <w:u w:color="000000"/>
          <w:bdr w:val="nil"/>
        </w:rPr>
      </w:pPr>
      <w:r>
        <w:rPr>
          <w:noProof/>
        </w:rPr>
        <w:t>•</w:t>
      </w:r>
      <w:r>
        <w:rPr>
          <w:noProof/>
        </w:rPr>
        <w:tab/>
        <w:t>Posúdenie vplyvu</w:t>
      </w:r>
    </w:p>
    <w:p>
      <w:pPr>
        <w:pBdr>
          <w:top w:val="nil"/>
          <w:left w:val="nil"/>
          <w:bottom w:val="nil"/>
          <w:right w:val="nil"/>
          <w:between w:val="nil"/>
          <w:bar w:val="nil"/>
        </w:pBdr>
        <w:spacing w:before="0" w:after="240"/>
        <w:rPr>
          <w:rFonts w:eastAsia="Arial Unicode MS"/>
          <w:noProof/>
        </w:rPr>
      </w:pPr>
      <w:r>
        <w:rPr>
          <w:noProof/>
          <w:color w:val="000000" w:themeColor="text1"/>
        </w:rPr>
        <w:t>Vzhľadom na charakter navrhovaného opatrenia sa v súlade s usmerneniami o lepšej tvorbe práva nevykonalo žiadne posúdenie vplyvu. Neexistujú žiadne iné podstatne odlišné možnosti politiky. Navrhovaná krízový rámec by prispel k hladkému plneniu rozpočtu na rok 2019 a k prípadnej budúcej dohode so Spojeným kráľovstvom o príslušných záväzkoch vyplývajúcich z celého obdobia členstva Spojeného kráľovstva v Únii.</w:t>
      </w:r>
    </w:p>
    <w:p>
      <w:pPr>
        <w:pStyle w:val="ManualHeading1"/>
        <w:rPr>
          <w:noProof/>
        </w:rPr>
      </w:pPr>
      <w:r>
        <w:rPr>
          <w:noProof/>
        </w:rPr>
        <w:t>4.</w:t>
      </w:r>
      <w:r>
        <w:rPr>
          <w:noProof/>
        </w:rPr>
        <w:tab/>
        <w:t>VPLYV NA ROZPOČET</w:t>
      </w:r>
    </w:p>
    <w:p>
      <w:pPr>
        <w:pBdr>
          <w:top w:val="nil"/>
          <w:left w:val="nil"/>
          <w:bottom w:val="nil"/>
          <w:right w:val="nil"/>
          <w:between w:val="nil"/>
          <w:bar w:val="nil"/>
        </w:pBdr>
        <w:spacing w:before="0" w:after="240"/>
        <w:rPr>
          <w:noProof/>
          <w:color w:val="000000" w:themeColor="text1"/>
        </w:rPr>
      </w:pPr>
      <w:r>
        <w:rPr>
          <w:noProof/>
          <w:color w:val="000000" w:themeColor="text1"/>
        </w:rPr>
        <w:t>V prípade scenára bez dohody by sa týmto návrhom obnovila oprávnenosť Spojeného kráľovstva a prijímateľov zo Spojeného kráľovstva, pokiaľ by Spojené kráľovstvo pokračovalo v uhrádzaní platieb stanovených v rozpočte na rok 2019. Návrh preto nemá žiaden vplyv na rozpočet v porovnaní s rozpočtom na rok 2019, ako ho schválil Európsky parlament v decembri 2018.</w:t>
      </w:r>
    </w:p>
    <w:p>
      <w:pPr>
        <w:pBdr>
          <w:top w:val="nil"/>
          <w:left w:val="nil"/>
          <w:bottom w:val="nil"/>
          <w:right w:val="nil"/>
          <w:between w:val="nil"/>
          <w:bar w:val="nil"/>
        </w:pBdr>
        <w:spacing w:before="0" w:after="240"/>
        <w:rPr>
          <w:noProof/>
          <w:color w:val="000000" w:themeColor="text1"/>
        </w:rPr>
      </w:pPr>
      <w:r>
        <w:rPr>
          <w:noProof/>
          <w:color w:val="000000" w:themeColor="text1"/>
        </w:rPr>
        <w:t>Podmienkou uplatňovania krízového rámca by bol písomný záväzok Spojeného kráľovstva, že súhlasí s potrebnými kontrolami a auditmi.</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2019/0031 (APP)</w:t>
      </w:r>
    </w:p>
    <w:p>
      <w:pPr>
        <w:pStyle w:val="Statut"/>
        <w:rPr>
          <w:noProof/>
        </w:rPr>
      </w:pPr>
      <w:r>
        <w:rPr>
          <w:noProof/>
        </w:rPr>
        <w:t>Návrh</w:t>
      </w:r>
    </w:p>
    <w:p>
      <w:pPr>
        <w:pStyle w:val="Typedudocument"/>
        <w:rPr>
          <w:noProof/>
        </w:rPr>
      </w:pPr>
      <w:r>
        <w:rPr>
          <w:noProof/>
        </w:rPr>
        <w:t>NARIADENIE RADY</w:t>
      </w:r>
    </w:p>
    <w:p>
      <w:pPr>
        <w:pStyle w:val="Titreobjet"/>
        <w:rPr>
          <w:noProof/>
        </w:rPr>
      </w:pPr>
      <w:r>
        <w:rPr>
          <w:noProof/>
        </w:rPr>
        <w:t>o opatreniach týkajúcich sa plnenia a financovania všeobecného rozpočtu Únie v roku 2019 v súvislosti s vystúpením Spojeného kráľovstva z Únie</w:t>
      </w:r>
    </w:p>
    <w:p>
      <w:pPr>
        <w:pStyle w:val="Institutionquiagit"/>
        <w:spacing w:before="120"/>
        <w:rPr>
          <w:noProof/>
        </w:rPr>
      </w:pPr>
      <w:r>
        <w:rPr>
          <w:noProof/>
        </w:rPr>
        <w:t>RADA EURÓPSKEJ ÚNIE,</w:t>
      </w:r>
    </w:p>
    <w:p>
      <w:pPr>
        <w:rPr>
          <w:noProof/>
        </w:rPr>
      </w:pPr>
      <w:r>
        <w:rPr>
          <w:noProof/>
        </w:rPr>
        <w:t>so zreteľom na Zmluvu o fungovaní Európskej únie, a najmä na jej článok 352,</w:t>
      </w:r>
    </w:p>
    <w:p>
      <w:pPr>
        <w:rPr>
          <w:noProof/>
        </w:rPr>
      </w:pPr>
      <w:r>
        <w:rPr>
          <w:noProof/>
        </w:rPr>
        <w:t>so zreteľom na Zmluvu o založení Európskeho spoločenstva pre atómovú energiu, a najmä na jej článok 203,</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so zreteľom na súhlas Európskeho parlamentu</w:t>
      </w:r>
      <w:r>
        <w:rPr>
          <w:rStyle w:val="FootnoteReference"/>
          <w:noProof/>
        </w:rPr>
        <w:footnoteReference w:id="2"/>
      </w:r>
      <w:r>
        <w:rPr>
          <w:noProof/>
        </w:rPr>
        <w:t>,</w:t>
      </w:r>
    </w:p>
    <w:p>
      <w:pPr>
        <w:rPr>
          <w:noProof/>
        </w:rPr>
      </w:pPr>
      <w:r>
        <w:rPr>
          <w:noProof/>
        </w:rPr>
        <w:t>konajúc v súlade s mimoriadnym legislatívnym postupom,</w:t>
      </w:r>
    </w:p>
    <w:p>
      <w:pPr>
        <w:rPr>
          <w:noProof/>
        </w:rPr>
      </w:pPr>
      <w:r>
        <w:rPr>
          <w:noProof/>
        </w:rPr>
        <w:t>keďže:</w:t>
      </w:r>
    </w:p>
    <w:p>
      <w:pPr>
        <w:pStyle w:val="ManualConsidrant"/>
        <w:rPr>
          <w:noProof/>
        </w:rPr>
      </w:pPr>
      <w:r>
        <w:rPr>
          <w:noProof/>
        </w:rPr>
        <w:t>(1)</w:t>
      </w:r>
      <w:r>
        <w:rPr>
          <w:noProof/>
        </w:rPr>
        <w:tab/>
        <w:t>Spojené kráľovstvo 29. marca 2017 predložilo oznámenie o svojom úmysle vystúpiť z Únie podľa článku 50 Zmluvy o Európskej únii. Vzhľadom na absenciu dohody o vystúpení so Spojeným kráľovstvom a na nepredĺženie dvojročného obdobia uvedeného v článku 50 ods. 3 Zmluvy o Európskej únii sa 30. marca 2019 na Spojené kráľovstvo a v Spojenom kráľovstve prestali uplatňovať zmluvy. Finančné vyrovnanie s ohľadom na finančné záväzky vyplývajúce z členstva Spojeného kráľovstva v Únii sa preto musí dohodnúť v budúcej medzinárodnej dohode medzi Spojeným kráľovstvom a Úniou.</w:t>
      </w:r>
    </w:p>
    <w:p>
      <w:pPr>
        <w:pStyle w:val="ManualConsidrant"/>
        <w:rPr>
          <w:noProof/>
        </w:rPr>
      </w:pPr>
      <w:r>
        <w:rPr>
          <w:noProof/>
        </w:rPr>
        <w:t>(2)</w:t>
      </w:r>
      <w:r>
        <w:rPr>
          <w:noProof/>
        </w:rPr>
        <w:tab/>
        <w:t>Je preto potrebné stanoviť pravidlá vzťahov medzi Úniou na jednej strane a Spojeným kráľovstvom a jeho prijímateľmi na strane druhej, pokiaľ ide o financovanie a plnenie všeobecného rozpočtu Únie (ďalej len „rozpočet“) v roku 2019.</w:t>
      </w:r>
    </w:p>
    <w:p>
      <w:pPr>
        <w:pStyle w:val="ManualConsidrant"/>
        <w:rPr>
          <w:noProof/>
        </w:rPr>
      </w:pPr>
      <w:r>
        <w:rPr>
          <w:noProof/>
        </w:rPr>
        <w:t>(3)</w:t>
      </w:r>
      <w:r>
        <w:rPr>
          <w:noProof/>
        </w:rPr>
        <w:tab/>
        <w:t>Pokiaľ ide o prijatie opatrení týkajúcich sa plnenia a financovania rozpočtu v roku 2019 v súvislosti s vystúpením Spojeného kráľovstva z Únie, v zmluvách sa neuvádzajú iné právomoci, než sú právomoci podľa článku 352 Zmluvy o fungovaní Európskej únie a článku 203 Zmluvy o založení Európskeho spoločenstva pre atómovú energiu.</w:t>
      </w:r>
    </w:p>
    <w:p>
      <w:pPr>
        <w:pStyle w:val="ManualConsidrant"/>
        <w:rPr>
          <w:noProof/>
        </w:rPr>
      </w:pPr>
      <w:r>
        <w:rPr>
          <w:noProof/>
        </w:rPr>
        <w:t>(4)</w:t>
      </w:r>
      <w:r>
        <w:rPr>
          <w:noProof/>
        </w:rPr>
        <w:tab/>
        <w:t>Spojené kráľovstvo a osoby usadené a subjekty zriadené v Spojenom kráľovstve sa na základe členstva Spojeného kráľovstva v Únii zúčastňujú na viacerých programoch alebo akciách Únie. Táto účasť sa uskutočňuje na základe dohôd so Spojeným kráľovstvom alebo osobami usadenými alebo subjektmi zriadenými v Spojenom kráľovstve alebo na základe rozhodnutí v prospech Spojeného kráľovstva alebo osôb usadených alebo subjektov zriadených v Spojenom kráľovstve, ktoré predstavujú právne záväzky.</w:t>
      </w:r>
    </w:p>
    <w:p>
      <w:pPr>
        <w:pStyle w:val="ManualConsidrant"/>
        <w:rPr>
          <w:noProof/>
        </w:rPr>
      </w:pPr>
      <w:r>
        <w:rPr>
          <w:noProof/>
        </w:rPr>
        <w:t>(5)</w:t>
      </w:r>
      <w:r>
        <w:rPr>
          <w:noProof/>
        </w:rPr>
        <w:tab/>
      </w:r>
      <w:r>
        <w:rPr>
          <w:noProof/>
          <w:spacing w:val="-2"/>
        </w:rPr>
        <w:t>V prípade mnohých týchto dohôd a rozhodnutí pravidlá upravujúce oprávnenosť vyžadujú, aby prijímateľ bol členským štátom alebo osobou usadenou alebo subjektom zriadeným v členskom štáte. Oprávnenosť Spojeného kráľovstva alebo osôb usadených alebo subjektov zriadených v Spojenom kráľovstve je v takýchto prípadoch spojená so skutočnosťou, že Spojené kráľovstvo je členským štátom. Vystúpenie Spojeného kráľovstva z Únie má teda za následok stratu oprávnenosti takýchto príjemcov finančných prostriedkov Únie podľa týchto dohôd a rozhodnutí. To sa však netýka prípadov, keď by sa osoby usadené alebo subjekty zriadené v Spojenom kráľovstve zúčastňovali na akcii ako osoby usadené a subjekty zriadené v tretej krajine a za podmienok uplatniteľných podľa príslušných pravidiel Únie na takéto osoby a subjekty.</w:t>
      </w:r>
    </w:p>
    <w:p>
      <w:pPr>
        <w:pStyle w:val="ManualConsidrant"/>
        <w:rPr>
          <w:noProof/>
        </w:rPr>
      </w:pPr>
      <w:r>
        <w:rPr>
          <w:noProof/>
        </w:rPr>
        <w:t>(6)</w:t>
      </w:r>
      <w:r>
        <w:rPr>
          <w:noProof/>
        </w:rPr>
        <w:tab/>
        <w:t>Plnenie rozpočtu na rok 2019 v podobe, v akej bol na uvedený rok prijatý, by bolo prospešné tak pre Úniu a jej členské štáty, ako aj pre Spojené kráľovstvo a osoby usadené a subjekty zriadené v Spojenom kráľovstve. Bolo by takisto prospešné, ak by sa právne záväzky podpísané a prijaté pred dátumom vystúpenia mohli aj naďalej vykonávať.</w:t>
      </w:r>
    </w:p>
    <w:p>
      <w:pPr>
        <w:pStyle w:val="ManualConsidrant"/>
        <w:rPr>
          <w:noProof/>
        </w:rPr>
      </w:pPr>
      <w:r>
        <w:rPr>
          <w:noProof/>
        </w:rPr>
        <w:t>(7)</w:t>
      </w:r>
      <w:r>
        <w:rPr>
          <w:noProof/>
        </w:rPr>
        <w:tab/>
      </w:r>
      <w:r>
        <w:rPr>
          <w:noProof/>
          <w:spacing w:val="-2"/>
        </w:rPr>
        <w:t>Je preto vhodné stanoviť podmienky, za ktorých by Spojené kráľovstvo a osoby usadené a subjekty zriadené v Spojenom kráľovstve mohli byť naďalej v roku 2019 oprávnené, pokiaľ ide o dohody s nimi podpísané a rozhodnutia v súvislosti s nimi prijaté pred dátumom, ktorým sa zmluvy prestanú uplatňovať na Spojené kráľovstvo a v Spojenom kráľovstve (ďalej len „dátum vystúpenia“). Tieto podmienky by spočívali v tom, že Spojené kráľovstvo Komisii písomne potvrdí záväzok naďalej platiť v roku 2019 príspevok do rozpočtu vypočítaný na základe odhadovaných vlastných zdrojov Spojeného kráľovstva v rozpočte schválenom na rok 2019, že Spojené kráľovstvo uhradí prvú splátku a že Spojené kráľovstvo Komisii písomne potvrdí svoj záväzok umožniť v plnej miere vykonávanie auditov a kontrol zo strany Únie v súlade s platnými pravidlami. Vzhľadom na potrebu istoty je vhodné obmedziť čas na splnenie týchto podmienok. Komisia by mala prijať rozhodnutie o splnení podmienok.</w:t>
      </w:r>
    </w:p>
    <w:p>
      <w:pPr>
        <w:pStyle w:val="ManualConsidrant"/>
        <w:rPr>
          <w:noProof/>
        </w:rPr>
      </w:pPr>
      <w:r>
        <w:rPr>
          <w:noProof/>
        </w:rPr>
        <w:t>(8)</w:t>
      </w:r>
      <w:r>
        <w:rPr>
          <w:noProof/>
        </w:rPr>
        <w:tab/>
        <w:t>Pokiaľ sú podmienky oprávnenosti Spojeného kráľovstva a osôb usadených a subjektov zriadených v Spojenom kráľovstve stanovené v tomto nariadení naďalej splnené, je takisto vhodné stanoviť, že Spojené kráľovstvo a osoby usadené a subjekty zriadené v Spojenom kráľovstve sú oprávnené na účely podmienok stanovených vo výzvach na predkladanie ponúk, výzvach na predkladanie návrhov, súťažiach alebo akýchkoľvek iných postupoch, ktoré môžu viesť k financovaniu z rozpočtu Únie, s výnimkou osobitných prípadov týkajúcich sa bezpečnosti a straty členstva Spojeného kráľovstva v Európskej investičnej banke, a poskytovať im finančné prostriedky Únie.</w:t>
      </w:r>
    </w:p>
    <w:p>
      <w:pPr>
        <w:pStyle w:val="ManualConsidrant"/>
        <w:rPr>
          <w:noProof/>
        </w:rPr>
      </w:pPr>
      <w:r>
        <w:rPr>
          <w:noProof/>
        </w:rPr>
        <w:t>(9)</w:t>
      </w:r>
      <w:r>
        <w:rPr>
          <w:noProof/>
        </w:rPr>
        <w:tab/>
        <w:t>Takisto je vhodné stanoviť, že oprávnenosť Spojeného kráľovstva a osôb usadených a subjektov zriadených v Spojenom kráľovstve bude pokračovať pod podmienkou, že Spojené kráľovstvo bude naďalej prispievať do rozpočtu Únie na rok 2019 a že sa budú môcť účinne vykonávať kontroly a audity. V prípade, že tieto podmienky už nebudú splnené, Komisia by mala prijať rozhodnutie, ktorom sa konštatuje ich nedodržiavanie. V takom prípade by Spojené kráľovstvo a osoby usadené a subjekty zriadené v Spojenom kráľovstve prestali byť oprávnené na financovanie Úniou.</w:t>
      </w:r>
    </w:p>
    <w:p>
      <w:pPr>
        <w:pStyle w:val="ManualConsidrant"/>
        <w:rPr>
          <w:noProof/>
        </w:rPr>
      </w:pPr>
      <w:r>
        <w:rPr>
          <w:noProof/>
        </w:rPr>
        <w:t>(10)</w:t>
      </w:r>
      <w:r>
        <w:rPr>
          <w:noProof/>
        </w:rPr>
        <w:tab/>
        <w:t>Je takisto vhodné zabezpečiť pokračovanie oprávnenosti akcií, v rámci ktorých členské štáty alebo osoby usadené alebo subjekty zriadené v členských štátoch získavajú finančné prostriedky Únie a ktoré sa v roku 2019 týkajú Spojeného kráľovstva. Prípadné neakceptovanie kontrol a auditov Spojeným kráľovstvom by však malo predstavovať prvok, ktorý by sa mal zohľadniť na účely správneho finančného riadenia pri posudzovaní vykonávania takýchto akcií.</w:t>
      </w:r>
    </w:p>
    <w:p>
      <w:pPr>
        <w:pStyle w:val="ManualConsidrant"/>
        <w:rPr>
          <w:noProof/>
        </w:rPr>
      </w:pPr>
      <w:r>
        <w:rPr>
          <w:noProof/>
        </w:rPr>
        <w:t>(11)</w:t>
      </w:r>
      <w:r>
        <w:rPr>
          <w:noProof/>
        </w:rPr>
        <w:tab/>
        <w:t>Keďže ciele tohto nariadenia nie je možné uspokojivo dosiahnuť na úrovni členských štátov, ale možno ich lepšie dosiahnuť na úrovni Únie vzhľadom na to, že sa týkajú rozpočtu Únie a programov a akcií vykonávaných Úniou, Únia môže prijať opatrenia v súlade so zásadou subsidiarity podľa článku 5 Zmluvy o Európskej únii. V súlade so zásadou proporcionality podľa uvedeného článku toto nariadenie neprekračuje rámec nevyhnutný na dosiahnutie týchto cieľov.</w:t>
      </w:r>
    </w:p>
    <w:p>
      <w:pPr>
        <w:pStyle w:val="ManualConsidrant"/>
        <w:rPr>
          <w:noProof/>
        </w:rPr>
      </w:pPr>
      <w:r>
        <w:rPr>
          <w:noProof/>
        </w:rPr>
        <w:t>(12)</w:t>
      </w:r>
      <w:r>
        <w:rPr>
          <w:noProof/>
        </w:rPr>
        <w:tab/>
        <w:t>S cieľom umožniť obmedzenú flexibilitu by sa mala na Komisiu delegovať právomoc prijímať akty v súlade s článkom 290 ZFEÚ, pokiaľ ide o možné predĺženie lehôt stanovených v článku 2 ods. 1 písm. a), b) a c) a zmeny rozvrhu platieb pre mesiace po auguste 2019. Je obzvlášť dôležité, aby Komisia počas prípravných prác uskutočnila príslušné konzultácie, a to aj na úrovni expertov, a aby sa tieto konzultácie viedli v súlade so zásadami stanovenými v Medziinštitucionálnej dohode z 13. apríla 2016 o lepšej tvorbe práva. Predovšetkým v záujme rovnakého zastúpenia pri príprave delegovaných aktov sa všetky dokumenty doručujú Európskemu parlamentu a Rade v rovnakom čase ako expertom z členských štátov a experti Európskeho parlamentu a Rady majú systematicky prístup na zasadnutia expertných skupín Komisie, ktoré sa zaoberajú prípravou delegovaných aktov. Ak si to vážne a naliehavé dôvody v prípade existencie rizika vážneho narušenia plnenia a financovania rozpočtu Únie v roku 2019 vyžadujú, delegované akty by mali nadobudnúť účinnosť okamžite a mali by sa uplatňovať, pokiaľ voči nim nevznesie Európsky parlament alebo Rada námietku.</w:t>
      </w:r>
    </w:p>
    <w:p>
      <w:pPr>
        <w:pStyle w:val="ManualConsidrant"/>
        <w:rPr>
          <w:noProof/>
        </w:rPr>
      </w:pPr>
      <w:r>
        <w:rPr>
          <w:noProof/>
        </w:rPr>
        <w:t>(13)</w:t>
      </w:r>
      <w:r>
        <w:rPr>
          <w:noProof/>
        </w:rPr>
        <w:tab/>
        <w:t>Toto nariadenie by malo nadobudnúť účinnosť čo najskôr a malo by sa začať uplatňovať odo dňa nasledujúceho po dni, ktorým sa zmluvy prestanú uplatňovať na Spojené kráľovstvo a v Spojenom kráľovstve. Keďže k dátumu vystúpenia sa schválený rozpočet Únie, v ktorom sa stanovuje účasť Spojeného kráľovstva na jeho financovaní, vzťahuje len na rok 2019, toto nariadenie by sa malo uplatňovať len na oprávnenosť v roku 2019,</w:t>
      </w:r>
    </w:p>
    <w:p>
      <w:pPr>
        <w:pStyle w:val="Formuledadoption"/>
        <w:rPr>
          <w:noProof/>
        </w:rPr>
      </w:pPr>
      <w:r>
        <w:rPr>
          <w:noProof/>
        </w:rPr>
        <w:t>PRIJALA TOTO NARIADENIE:</w:t>
      </w:r>
    </w:p>
    <w:p>
      <w:pPr>
        <w:pStyle w:val="Titrearticle"/>
        <w:rPr>
          <w:b/>
          <w:noProof/>
          <w:szCs w:val="24"/>
        </w:rPr>
      </w:pPr>
      <w:r>
        <w:rPr>
          <w:noProof/>
        </w:rPr>
        <w:t>Článok 1</w:t>
      </w:r>
      <w:r>
        <w:rPr>
          <w:noProof/>
        </w:rPr>
        <w:br/>
      </w:r>
      <w:r>
        <w:rPr>
          <w:b/>
          <w:noProof/>
        </w:rPr>
        <w:t>Predmet úpravy a rozsah pôsobnosti</w:t>
      </w:r>
    </w:p>
    <w:p>
      <w:pPr>
        <w:pStyle w:val="ManualNumPar1"/>
        <w:rPr>
          <w:noProof/>
        </w:rPr>
      </w:pPr>
      <w:r>
        <w:rPr>
          <w:noProof/>
        </w:rPr>
        <w:t>1.</w:t>
      </w:r>
      <w:r>
        <w:rPr>
          <w:noProof/>
        </w:rPr>
        <w:tab/>
        <w:t>V tomto nariadení sa stanovujú pravidlá plnenia a financovania všeobecného rozpočtu Únie (ďalej len „rozpočet“) v roku 2019 v súvislosti s vystúpením Spojeného kráľovstva z Únie a akcií vykonávaných v rámci priameho, nepriameho a zdieľaného riadenia, pri ktorých je oprávnenosť daná členstvom Spojeného kráľovstva v Únii k dátumu, ktorým sa zmluvy prestanú uplatňovať na Spojené kráľovstvo a v Spojenom kráľovstve (ďalej len „dátum vystúpenia“).</w:t>
      </w:r>
    </w:p>
    <w:p>
      <w:pPr>
        <w:pStyle w:val="ManualNumPar1"/>
        <w:rPr>
          <w:noProof/>
        </w:rPr>
      </w:pPr>
      <w:r>
        <w:rPr>
          <w:noProof/>
        </w:rPr>
        <w:t>2.</w:t>
      </w:r>
      <w:r>
        <w:rPr>
          <w:noProof/>
        </w:rPr>
        <w:tab/>
        <w:t>Toto nariadenie sa uplatňuje bez toho, aby boli dotknuté programy územnej spolupráce, na ktoré sa vzťahuje nariadenie Európskeho parlamentu a Rady (EÚ) 2019/...</w:t>
      </w:r>
      <w:r>
        <w:rPr>
          <w:rStyle w:val="FootnoteReference"/>
          <w:noProof/>
        </w:rPr>
        <w:footnoteReference w:id="3"/>
      </w:r>
      <w:r>
        <w:rPr>
          <w:noProof/>
        </w:rPr>
        <w:t>, a činnosti v oblasti vzdelávacej mobility v rámci programu Erasmus+, na ktoré sa vzťahuje nariadenie Európskeho parlamentu a Rady (ES) č. 2019/...</w:t>
      </w:r>
      <w:r>
        <w:rPr>
          <w:rStyle w:val="FootnoteReference"/>
          <w:noProof/>
        </w:rPr>
        <w:footnoteReference w:id="4"/>
      </w:r>
      <w:r>
        <w:rPr>
          <w:noProof/>
        </w:rPr>
        <w:t>.</w:t>
      </w:r>
    </w:p>
    <w:p>
      <w:pPr>
        <w:pStyle w:val="Titrearticle"/>
        <w:rPr>
          <w:b/>
          <w:noProof/>
        </w:rPr>
      </w:pPr>
      <w:r>
        <w:rPr>
          <w:noProof/>
        </w:rPr>
        <w:t xml:space="preserve">Článok 2 </w:t>
      </w:r>
      <w:r>
        <w:rPr>
          <w:noProof/>
        </w:rPr>
        <w:br/>
      </w:r>
      <w:r>
        <w:rPr>
          <w:b/>
          <w:noProof/>
        </w:rPr>
        <w:t>Podmienky oprávnenosti</w:t>
      </w:r>
    </w:p>
    <w:p>
      <w:pPr>
        <w:pStyle w:val="ManualNumPar1"/>
        <w:rPr>
          <w:noProof/>
        </w:rPr>
      </w:pPr>
      <w:r>
        <w:rPr>
          <w:noProof/>
        </w:rPr>
        <w:t>1.</w:t>
      </w:r>
      <w:r>
        <w:rPr>
          <w:noProof/>
        </w:rPr>
        <w:tab/>
        <w:t>Ak Spojené kráľovstvo alebo osoba usadená alebo subjekt zriadený v Spojenom kráľovstve získavajú finančné prostriedky Únie v prípade akcie vykonávanej v rámci priameho, nepriameho alebo zdieľaného riadenia na základe právnych záväzkov podpísaných alebo prijatých pred dátumom vystúpenia a oprávnenosť v prípade danej akcie závisí od členstva Spojeného kráľovstva v Únii, zostávajú aj naďalej v roku 2019 po dátume vystúpenia oprávnenými, pokiaľ sú splnené tieto podmienky:</w:t>
      </w:r>
    </w:p>
    <w:p>
      <w:pPr>
        <w:pStyle w:val="Point1"/>
        <w:rPr>
          <w:noProof/>
        </w:rPr>
      </w:pPr>
      <w:r>
        <w:rPr>
          <w:noProof/>
        </w:rPr>
        <w:t>a)</w:t>
      </w:r>
      <w:r>
        <w:rPr>
          <w:noProof/>
        </w:rPr>
        <w:tab/>
        <w:t>Spojené kráľovstvo najneskôr 18. apríla 2019 Komisii písomne potvrdilo, že bude v roku 2019 v súlade s rozvrhom platieb stanoveným v tomto nariadení aj naďalej prispievať do rozpočtu sumou uvedenou v riadku „Spojené kráľovstvo“ a stĺpci „Celkové vlastné zdroje“ tabuľky 7 v časti s názvom „A. Úvod a financovanie všeobecného rozpočtu Únie“ patriacej do príjmovej časti rozpočtu na rok 2019, ako bola stanovená v prijatí všeobecného rozpočtu Európskej únie (EÚ, Euratom) 2019/... na rozpočtový rok 2019 s konečnou platnosťou</w:t>
      </w:r>
      <w:r>
        <w:rPr>
          <w:rStyle w:val="FootnoteReference"/>
          <w:noProof/>
        </w:rPr>
        <w:footnoteReference w:id="5"/>
      </w:r>
      <w:r>
        <w:rPr>
          <w:noProof/>
        </w:rPr>
        <w:t>, zníženou o sumu vlastných zdrojov, ktorú Spojené kráľovstvo sprístupnilo v súvislosti s rozpočtovým rokom 2019 pred dátumom vystúpenia;</w:t>
      </w:r>
    </w:p>
    <w:p>
      <w:pPr>
        <w:pStyle w:val="Point1"/>
        <w:rPr>
          <w:noProof/>
        </w:rPr>
      </w:pPr>
      <w:r>
        <w:rPr>
          <w:noProof/>
        </w:rPr>
        <w:t>b)</w:t>
      </w:r>
      <w:r>
        <w:rPr>
          <w:noProof/>
        </w:rPr>
        <w:tab/>
        <w:t>Spojené kráľovstvo najneskôr 30. apríla 2019 uhradilo na účet, ktorý určila Komisia, prvú platbu, ktorá zodpovedá splátke uvedenej v druhom pododseku tohto odseku, vynásobenej týmto výsledkom: počet celých mesiacov od dátumu vystúpenia do konca roka 2019 znížený o počet mesiacov obdobia začínajúceho mesiacom, v ktorom bola vykonaná prvá platba, pričom tento mesiac sa nezapočítava, a končiaceho na konci roka 2019;</w:t>
      </w:r>
    </w:p>
    <w:p>
      <w:pPr>
        <w:pStyle w:val="Point1"/>
        <w:rPr>
          <w:noProof/>
        </w:rPr>
      </w:pPr>
      <w:r>
        <w:rPr>
          <w:noProof/>
        </w:rPr>
        <w:t>c)</w:t>
      </w:r>
      <w:r>
        <w:rPr>
          <w:noProof/>
        </w:rPr>
        <w:tab/>
        <w:t>Spojené kráľovstvo najneskôr 18. apríla 2019 Komisii písomne potvrdilo záväzok, že bude v súlade s platnými pravidlami naďalej akceptovať vykonávanie kontrol a auditov, ktoré sa vzťahujú na celé obdobie trvania programov a akcií;</w:t>
      </w:r>
    </w:p>
    <w:p>
      <w:pPr>
        <w:pStyle w:val="Point1"/>
        <w:rPr>
          <w:noProof/>
        </w:rPr>
      </w:pPr>
      <w:r>
        <w:rPr>
          <w:noProof/>
        </w:rPr>
        <w:t>d)</w:t>
      </w:r>
      <w:r>
        <w:rPr>
          <w:noProof/>
        </w:rPr>
        <w:tab/>
        <w:t>Komisia prijala rozhodnutie uvedené v odseku 2 o tom, že podmienky uvedené v písmenách a), b) a c) boli splnené.</w:t>
      </w:r>
    </w:p>
    <w:p>
      <w:pPr>
        <w:pStyle w:val="ListNumber"/>
        <w:ind w:left="1058"/>
        <w:rPr>
          <w:noProof/>
        </w:rPr>
      </w:pPr>
      <w:r>
        <w:rPr>
          <w:noProof/>
        </w:rPr>
        <w:t>Suma uvedená v prvom pododseku písm. a) sa rozdelí na rovnaké splátky. Počet splátok zodpovedá počtu celých mesiacov od dátumu vystúpenia do konca roka 2019. Platby sumy uvedenej v prvom pododseku písm. a) predstavujú iné príjmy rozpočtu Únie.</w:t>
      </w:r>
    </w:p>
    <w:p>
      <w:pPr>
        <w:pStyle w:val="ListNumber"/>
        <w:ind w:left="1058"/>
        <w:rPr>
          <w:noProof/>
        </w:rPr>
      </w:pPr>
    </w:p>
    <w:p>
      <w:pPr>
        <w:pStyle w:val="ListNumber"/>
        <w:ind w:left="1058"/>
        <w:rPr>
          <w:noProof/>
        </w:rPr>
      </w:pPr>
      <w:r>
        <w:rPr>
          <w:noProof/>
        </w:rPr>
        <w:t>Záväzok uvedený v prvom pododseku písm. c) zahŕňa najmä spoluprácu v oblasti ochrany finančných záujmov Únie a akceptovanie práv Komisie, Dvora audítorov a Európskeho úradu pre boj proti podvodom na prístup k údajom a dokumentom súvisiacim s príspevkami Únie a na vykonávanie kontrol a auditov.</w:t>
      </w:r>
    </w:p>
    <w:p>
      <w:pPr>
        <w:pStyle w:val="ManualNumPar1"/>
        <w:rPr>
          <w:noProof/>
        </w:rPr>
      </w:pPr>
      <w:r>
        <w:rPr>
          <w:noProof/>
        </w:rPr>
        <w:t>2.</w:t>
      </w:r>
      <w:r>
        <w:rPr>
          <w:noProof/>
        </w:rPr>
        <w:tab/>
        <w:t>Komisia prijme rozhodnutie o tom, či podmienky stanovené v odseku 1 písm. a), b) a c) boli splnené.</w:t>
      </w:r>
    </w:p>
    <w:p>
      <w:pPr>
        <w:pStyle w:val="ManualNumPar1"/>
        <w:rPr>
          <w:noProof/>
        </w:rPr>
      </w:pPr>
      <w:r>
        <w:rPr>
          <w:noProof/>
        </w:rPr>
        <w:t>3.</w:t>
      </w:r>
      <w:r>
        <w:rPr>
          <w:noProof/>
        </w:rPr>
        <w:tab/>
        <w:t>Komisia je v súlade s článkom 7 splnomocnená prijímať delegované akty týkajúce sa predĺženia lehôt stanovených v odseku 1 písm. a), b) a c).</w:t>
      </w:r>
    </w:p>
    <w:p>
      <w:pPr>
        <w:pStyle w:val="Text1"/>
        <w:rPr>
          <w:noProof/>
        </w:rPr>
      </w:pPr>
      <w:r>
        <w:rPr>
          <w:noProof/>
        </w:rPr>
        <w:t>Ak si to vážne a naliehavé dôvody v prípade existencie rizika vážneho narušenia plnenia a financovania rozpočtu Únie v roku 2019 vyžadujú, na delegované akty prijaté podľa tohto odseku sa uplatňuje postup stanovený v článku 8.</w:t>
      </w:r>
    </w:p>
    <w:p>
      <w:pPr>
        <w:pStyle w:val="Titrearticle"/>
        <w:rPr>
          <w:noProof/>
        </w:rPr>
      </w:pPr>
      <w:r>
        <w:rPr>
          <w:noProof/>
        </w:rPr>
        <w:t>Článok 3</w:t>
      </w:r>
      <w:r>
        <w:rPr>
          <w:noProof/>
        </w:rPr>
        <w:br/>
      </w:r>
      <w:r>
        <w:rPr>
          <w:b/>
          <w:noProof/>
        </w:rPr>
        <w:t>Zachovanie oprávnenosti Spojeného kráľovstva a osôb usadených a subjektov zriadených v Spojenom kráľovstve</w:t>
      </w:r>
    </w:p>
    <w:p>
      <w:pPr>
        <w:pStyle w:val="ManualNumPar1"/>
        <w:rPr>
          <w:noProof/>
        </w:rPr>
      </w:pPr>
      <w:r>
        <w:rPr>
          <w:noProof/>
        </w:rPr>
        <w:t>1.</w:t>
      </w:r>
      <w:r>
        <w:rPr>
          <w:noProof/>
        </w:rPr>
        <w:tab/>
        <w:t>Oprávnenosť Spojeného kráľovstva a osôb usadených a subjektov zriadených v Spojenom kráľovstve v súlade s článkom 2 zostáva zachovaná aj v roku 2019, pokiaľ sú splnené tieto podmienky:</w:t>
      </w:r>
    </w:p>
    <w:p>
      <w:pPr>
        <w:pStyle w:val="Point1"/>
        <w:rPr>
          <w:noProof/>
        </w:rPr>
      </w:pPr>
      <w:r>
        <w:rPr>
          <w:noProof/>
        </w:rPr>
        <w:t>a)</w:t>
      </w:r>
      <w:r>
        <w:rPr>
          <w:noProof/>
        </w:rPr>
        <w:tab/>
        <w:t>Spojené kráľovstvo po prvej platbe vykonanej v súlade s článkom 2 ods. 1 písm. b) uhradilo na účet, ktorý určila Komisia, v prvý pracovný deň každého mesiaca až do augusta 2019 mesačnú splátku uvedenú v článku 2 ods. 1 druhom pododseku;</w:t>
      </w:r>
    </w:p>
    <w:p>
      <w:pPr>
        <w:pStyle w:val="Point1"/>
        <w:rPr>
          <w:noProof/>
        </w:rPr>
      </w:pPr>
      <w:r>
        <w:rPr>
          <w:noProof/>
        </w:rPr>
        <w:t>b)</w:t>
      </w:r>
      <w:r>
        <w:rPr>
          <w:noProof/>
        </w:rPr>
        <w:tab/>
        <w:t>Spojené kráľovstvo uhradilo na účet, ktorý určila Komisia, v prvý pracovný deň mesiaca september 2019 zostávajúce mesačné splátky uvedené v článku 2 ods. 1 druhom pododseku, pokiaľ Komisia neoznámi Spojenému kráľovstvu do 31. augusta 2019 iný rozvrh platieb v súvislosti s touto platbou;</w:t>
      </w:r>
    </w:p>
    <w:p>
      <w:pPr>
        <w:pStyle w:val="Point1"/>
        <w:rPr>
          <w:noProof/>
        </w:rPr>
      </w:pPr>
      <w:r>
        <w:rPr>
          <w:noProof/>
        </w:rPr>
        <w:t>c)</w:t>
      </w:r>
      <w:r>
        <w:rPr>
          <w:noProof/>
        </w:rPr>
        <w:tab/>
        <w:t>pri vykonávaní kontrol a auditov uvedených v článku 2 ods. 1 písm. c) neboli zaznamenané žiadne závažné nedostatky.</w:t>
      </w:r>
    </w:p>
    <w:p>
      <w:pPr>
        <w:pStyle w:val="ManualNumPar1"/>
        <w:rPr>
          <w:noProof/>
        </w:rPr>
      </w:pPr>
      <w:r>
        <w:rPr>
          <w:noProof/>
        </w:rPr>
        <w:t>2.</w:t>
      </w:r>
      <w:r>
        <w:rPr>
          <w:noProof/>
        </w:rPr>
        <w:tab/>
        <w:t>V prípade, že jedna alebo viac podmienok uvedených v odseku 1 nebolo splnených, Komisia prijme rozhodnutie v tomto zmysle. Toto rozhodnutie sa uverejní v </w:t>
      </w:r>
      <w:r>
        <w:rPr>
          <w:i/>
          <w:noProof/>
        </w:rPr>
        <w:t>Úradnom vestníku Európskej únie</w:t>
      </w:r>
      <w:r>
        <w:rPr>
          <w:noProof/>
        </w:rPr>
        <w:t>.</w:t>
      </w:r>
    </w:p>
    <w:p>
      <w:pPr>
        <w:pStyle w:val="Text1"/>
        <w:rPr>
          <w:noProof/>
        </w:rPr>
      </w:pPr>
      <w:r>
        <w:rPr>
          <w:noProof/>
        </w:rPr>
        <w:t>Od dátumu nadobudnutia účinnosti rozhodnutia uvedeného v prvom pododseku tohto odseku sa odsek 1 tohto článku, článok 2, článok 4 a článok 5 prestanú uplatňovať.</w:t>
      </w:r>
    </w:p>
    <w:p>
      <w:pPr>
        <w:pStyle w:val="ManualNumPar1"/>
        <w:rPr>
          <w:noProof/>
        </w:rPr>
      </w:pPr>
      <w:r>
        <w:rPr>
          <w:noProof/>
        </w:rPr>
        <w:t>3.</w:t>
      </w:r>
      <w:r>
        <w:rPr>
          <w:noProof/>
        </w:rPr>
        <w:tab/>
        <w:t>Komisia je v súlade s článkom 7 splnomocnená prijímať delegované akty týkajúce sa odlišného rozvrhu platieb v súvislosti s platbou uvedenou v odseku 1 písm. b).</w:t>
      </w:r>
    </w:p>
    <w:p>
      <w:pPr>
        <w:pStyle w:val="Text1"/>
        <w:rPr>
          <w:noProof/>
        </w:rPr>
      </w:pPr>
      <w:r>
        <w:rPr>
          <w:noProof/>
        </w:rPr>
        <w:t>Ak si to vážne a naliehavé dôvody v prípade existencie rizika vážneho narušenia plnenia a financovania rozpočtu Únie v roku 2019 vyžadujú, na delegované akty prijaté podľa tohto odseku sa uplatňuje postup stanovený v článku 8.</w:t>
      </w:r>
    </w:p>
    <w:p>
      <w:pPr>
        <w:pStyle w:val="Titrearticle"/>
        <w:rPr>
          <w:noProof/>
        </w:rPr>
      </w:pPr>
      <w:r>
        <w:rPr>
          <w:noProof/>
        </w:rPr>
        <w:t>Článok 4</w:t>
      </w:r>
      <w:r>
        <w:rPr>
          <w:noProof/>
        </w:rPr>
        <w:br/>
      </w:r>
      <w:r>
        <w:rPr>
          <w:b/>
          <w:noProof/>
        </w:rPr>
        <w:t>Účasť na výzvach</w:t>
      </w:r>
    </w:p>
    <w:p>
      <w:pPr>
        <w:rPr>
          <w:noProof/>
        </w:rPr>
      </w:pPr>
      <w:r>
        <w:rPr>
          <w:noProof/>
        </w:rPr>
        <w:t>Odo dňa nadobudnutia účinnosti rozhodnutia uvedeného v článku 2 ods. 1 písm. d), a pokiaľ nenadobudlo účinnosť rozhodnutie uvedené v článku 3 ods. 2, Spojené kráľovstvo alebo osoby usadené a subjekty zriadené v Spojenom kráľovstve sú oprávnené v roku 2019 na účely podmienok stanovených v akýchkoľvek výzvach na predkladanie ponúk, výzvach na predkladanie návrhov, súťažiach alebo iných postupoch, ktoré môžu viesť k financovaniu z rozpočtu Únie, a to v rovnakej miere ako členské štáty a osoby usadené alebo subjekty zriadené v členských štátoch, a sú oprávnené na financovanie z Únie.</w:t>
      </w:r>
    </w:p>
    <w:p>
      <w:pPr>
        <w:rPr>
          <w:noProof/>
          <w:spacing w:val="-2"/>
          <w:szCs w:val="24"/>
        </w:rPr>
      </w:pPr>
      <w:r>
        <w:rPr>
          <w:noProof/>
          <w:spacing w:val="-2"/>
        </w:rPr>
        <w:t>Prvý odsek sa neuplatňuje, ak je z bezpečnostných dôvodov účasť obmedzená na členské štáty a osoby usadené alebo subjekty zriadené v členských štátoch, a neuplatňuje sa ani na akcie, ktoré zahŕňajú účasť Európskej investičnej banky alebo Európskeho investičného fondu.</w:t>
      </w:r>
    </w:p>
    <w:p>
      <w:pPr>
        <w:pStyle w:val="Titrearticle"/>
        <w:rPr>
          <w:b/>
          <w:noProof/>
        </w:rPr>
      </w:pPr>
      <w:r>
        <w:rPr>
          <w:noProof/>
        </w:rPr>
        <w:t>Článok 5</w:t>
      </w:r>
      <w:r>
        <w:rPr>
          <w:noProof/>
        </w:rPr>
        <w:br/>
      </w:r>
      <w:r>
        <w:rPr>
          <w:b/>
          <w:noProof/>
        </w:rPr>
        <w:t>Ďalšie nevyhnutné úpravy</w:t>
      </w:r>
    </w:p>
    <w:p>
      <w:pPr>
        <w:rPr>
          <w:noProof/>
        </w:rPr>
      </w:pPr>
      <w:r>
        <w:rPr>
          <w:noProof/>
        </w:rPr>
        <w:t>Ak sú splnené podmienky stanovené v článku 2 ods. 1, a pokiaľ nenadobudlo účinnosť rozhodnutie uvedené v článku 3 ods. 2, na účely uplatňovania akýchkoľvek pravidiel, ktorými sa riadia akcie vykonávané na základe právnych záväzkov uvedených v článku 2 ods. 1, výzvy uvedené v článku 4 a akcie vykonávané na základe právnych záväzkov podpísaných alebo prijatých na základe výziev uvedených v článku 4 a ktoré sú potrebné pre na uplatnenie článku 2 ods. 1 a článku 4 ods. 1, k Spojenému kráľovstvu sa pristupuje ako k členskému štátu s výhradou ustanovení tohto nariadenia.</w:t>
      </w:r>
    </w:p>
    <w:p>
      <w:pPr>
        <w:pStyle w:val="Text1"/>
        <w:ind w:left="0"/>
        <w:rPr>
          <w:noProof/>
        </w:rPr>
      </w:pPr>
      <w:r>
        <w:rPr>
          <w:noProof/>
        </w:rPr>
        <w:t>Spojené kráľovstvo alebo zástupcovia Spojeného kráľovstva však nemajú dovolené participovať v žiadnom výbore pomáhajúcom pri riadení podľa pravidiel základného aktu alebo v expertných skupinách alebo iných subjektoch poskytujúcich poradenstvo v súvislosti s programami alebo akciami s výnimkou monitorovacích výborov alebo podobných výborov špecifických pre konkrétne operačné, národné alebo podobné programy vykonávané v rámci zdieľaného riadenia.</w:t>
      </w:r>
    </w:p>
    <w:p>
      <w:pPr>
        <w:pStyle w:val="Titrearticle"/>
        <w:rPr>
          <w:b/>
          <w:noProof/>
        </w:rPr>
      </w:pPr>
      <w:r>
        <w:rPr>
          <w:noProof/>
        </w:rPr>
        <w:t>Článok 6</w:t>
      </w:r>
      <w:r>
        <w:rPr>
          <w:noProof/>
        </w:rPr>
        <w:br/>
      </w:r>
      <w:r>
        <w:rPr>
          <w:b/>
          <w:noProof/>
        </w:rPr>
        <w:t>Oprávnenosť akcií týkajúcich sa Spojeného kráľovstva, v rámci ktorých členské štáty alebo osoby usadené alebo subjekty zriadené v členských štátoch získavajú finančné prostriedky Únie</w:t>
      </w:r>
    </w:p>
    <w:p>
      <w:pPr>
        <w:pStyle w:val="ManualNumPar1"/>
        <w:rPr>
          <w:noProof/>
        </w:rPr>
      </w:pPr>
      <w:r>
        <w:t>1.</w:t>
      </w:r>
      <w:r>
        <w:tab/>
      </w:r>
      <w:r>
        <w:rPr>
          <w:noProof/>
        </w:rPr>
        <w:t>Akcie vykonávané v rámci priameho, nepriameho a zdieľaného riadenia, pri ktorých členské štáty alebo osoby usadené alebo subjekty zriadené v členských štátoch získavajú finančné prostriedky Únie na základe právnych záväzkov podpísaných alebo prijatých pred dátumom vystúpenia a v prípade ktorých je oprávnenosť daná členstvom Spojeného kráľovstva v Únii k dátumu vystúpenia, sú v roku 2019 oprávnené od dátumu vystúpenia.</w:t>
      </w:r>
    </w:p>
    <w:p>
      <w:pPr>
        <w:pStyle w:val="Text1"/>
        <w:rPr>
          <w:noProof/>
        </w:rPr>
      </w:pPr>
      <w:r>
        <w:rPr>
          <w:noProof/>
        </w:rPr>
        <w:t>Akcie, v prípade ktorých je podmienka oprávnenosti týkajúca sa minimálneho počtu účastníkov z rôznych členských štátov v konzorciu splnená k dátumu vystúpenia prostredníctvom existencie člena konzorcia, ktorý je osobou usadenou alebo subjektom zriadeným v Spojenom kráľovstve, sú v roku 2019 oprávnené, ak sú splnené podmienky článku 2 ods. 1.</w:t>
      </w:r>
    </w:p>
    <w:p>
      <w:pPr>
        <w:pStyle w:val="ManualNumPar1"/>
        <w:rPr>
          <w:noProof/>
        </w:rPr>
      </w:pPr>
      <w:r>
        <w:rPr>
          <w:noProof/>
        </w:rPr>
        <w:t>2.</w:t>
      </w:r>
      <w:r>
        <w:rPr>
          <w:noProof/>
        </w:rPr>
        <w:tab/>
        <w:t>Nesplnenie podmienky uvedenej v článku 2 ods. 1 písm. c) alebo rozhodnutie Komisie uvedené v článku 3 ods. 2 o nesplnení podmienok uvedených v článku 3 ods. 1 písm. c) zohľadňuje zodpovedný povoľujúci úradník na účely posúdenia možného závažného nedostatku v dodržiavaní hlavných povinností pri vykonávaní právneho záväzku uvedeného v odseku 1.</w:t>
      </w:r>
    </w:p>
    <w:p>
      <w:pPr>
        <w:pStyle w:val="Titrearticle"/>
        <w:rPr>
          <w:b/>
          <w:noProof/>
        </w:rPr>
      </w:pPr>
      <w:r>
        <w:rPr>
          <w:noProof/>
        </w:rPr>
        <w:t>Článok 7</w:t>
      </w:r>
      <w:r>
        <w:rPr>
          <w:noProof/>
        </w:rPr>
        <w:br/>
      </w:r>
      <w:r>
        <w:rPr>
          <w:b/>
          <w:noProof/>
        </w:rPr>
        <w:t>Vykonávanie delegovania právomoci</w:t>
      </w:r>
    </w:p>
    <w:p>
      <w:pPr>
        <w:pStyle w:val="ManualNumPar1"/>
        <w:rPr>
          <w:noProof/>
        </w:rPr>
      </w:pPr>
      <w:r>
        <w:rPr>
          <w:noProof/>
        </w:rPr>
        <w:t>1.</w:t>
      </w:r>
      <w:r>
        <w:rPr>
          <w:noProof/>
        </w:rPr>
        <w:tab/>
        <w:t>Právomoc prijímať delegované akty sa Komisii udeľuje za podmienok stanovených v tomto článku.</w:t>
      </w:r>
    </w:p>
    <w:p>
      <w:pPr>
        <w:pStyle w:val="ManualNumPar1"/>
        <w:rPr>
          <w:noProof/>
        </w:rPr>
      </w:pPr>
      <w:r>
        <w:rPr>
          <w:noProof/>
        </w:rPr>
        <w:t>2.</w:t>
      </w:r>
      <w:r>
        <w:rPr>
          <w:noProof/>
        </w:rPr>
        <w:tab/>
        <w:t>Právomoc prijímať delegované akty uvedené v článkoch 2 a 3 sa Komisii udeľuje na dobu neurčitú odo dňa nadobudnutia účinnosti tohto nariadenia.</w:t>
      </w:r>
    </w:p>
    <w:p>
      <w:pPr>
        <w:pStyle w:val="ManualNumPar1"/>
        <w:rPr>
          <w:noProof/>
        </w:rPr>
      </w:pPr>
      <w:r>
        <w:rPr>
          <w:noProof/>
        </w:rPr>
        <w:t>3.</w:t>
      </w:r>
      <w:r>
        <w:rPr>
          <w:noProof/>
        </w:rPr>
        <w:tab/>
        <w:t>Delegovanie právomoci uvedené v článkoch 2 a 3 môže Európsky parlament alebo Rada kedykoľvek odvolať. Rozhodnutím o odvolaní sa ukončuje delegovanie právomoci, ktoré sa v ňom uvádza. Rozhodnutie nadobúda účinnosť dňom nasledujúcim po jeho uverejnení v </w:t>
      </w:r>
      <w:r>
        <w:rPr>
          <w:i/>
          <w:noProof/>
        </w:rPr>
        <w:t>Úradnom vestníku Európskej únie</w:t>
      </w:r>
      <w:r>
        <w:rPr>
          <w:noProof/>
        </w:rPr>
        <w:t xml:space="preserve"> alebo k neskoršiemu dátumu, ktorý je v ňom určený. Nie je ním dotknutá platnosť delegovaných aktov, ktoré už nadobudli účinnosť.</w:t>
      </w:r>
    </w:p>
    <w:p>
      <w:pPr>
        <w:pStyle w:val="ManualNumPar1"/>
        <w:rPr>
          <w:noProof/>
        </w:rPr>
      </w:pPr>
      <w:r>
        <w:rPr>
          <w:noProof/>
        </w:rPr>
        <w:t>4.</w:t>
      </w:r>
      <w:r>
        <w:rPr>
          <w:noProof/>
        </w:rPr>
        <w:tab/>
        <w:t>Komisia pred prijatím delegovaného aktu konzultuje s odborníkmi určenými jednotlivými členskými štátmi v súlade so zásadami stanovenými v Medziinštitucionálnej dohode o lepšej tvorbe práva z 13. apríla 2016.</w:t>
      </w:r>
    </w:p>
    <w:p>
      <w:pPr>
        <w:pStyle w:val="ManualNumPar1"/>
        <w:rPr>
          <w:noProof/>
        </w:rPr>
      </w:pPr>
      <w:r>
        <w:rPr>
          <w:noProof/>
        </w:rPr>
        <w:t>5.</w:t>
      </w:r>
      <w:r>
        <w:rPr>
          <w:noProof/>
        </w:rPr>
        <w:tab/>
        <w:t>Komisia oznamuje delegovaný akt hneď po jeho prijatí súčasne Európskemu parlamentu a Rade.</w:t>
      </w:r>
    </w:p>
    <w:p>
      <w:pPr>
        <w:pStyle w:val="ManualNumPar1"/>
        <w:rPr>
          <w:noProof/>
        </w:rPr>
      </w:pPr>
      <w:r>
        <w:rPr>
          <w:noProof/>
        </w:rPr>
        <w:t>6.</w:t>
      </w:r>
      <w:r>
        <w:rPr>
          <w:noProof/>
        </w:rPr>
        <w:tab/>
        <w:t>Delegovaný akt prijatý podľa článkov 2 a 3 nadobudne účinnosť, len ak Európsky parlament alebo Rada voči nemu nevzniesli námietku v lehote jedného mesiaca odo dňa oznámenia uvedeného aktu Európskemu parlamentu a Rade alebo ak pred uplynutím uvedenej lehoty Európsky parlament a Rada informovali Komisiu o svojom rozhodnutí nevzniesť námietku. Na podnet Európskeho parlamentu alebo Rady sa táto lehota predĺži o jeden mesiac.</w:t>
      </w:r>
    </w:p>
    <w:p>
      <w:pPr>
        <w:pStyle w:val="Titrearticle"/>
        <w:rPr>
          <w:b/>
          <w:noProof/>
          <w:szCs w:val="24"/>
        </w:rPr>
      </w:pPr>
      <w:r>
        <w:rPr>
          <w:noProof/>
        </w:rPr>
        <w:t xml:space="preserve">Článok 8 </w:t>
      </w:r>
      <w:r>
        <w:rPr>
          <w:noProof/>
        </w:rPr>
        <w:br/>
      </w:r>
      <w:r>
        <w:rPr>
          <w:b/>
          <w:noProof/>
        </w:rPr>
        <w:t>Postup pre naliehavé prípady</w:t>
      </w:r>
    </w:p>
    <w:p>
      <w:pPr>
        <w:pStyle w:val="ManualNumPar1"/>
        <w:rPr>
          <w:noProof/>
        </w:rPr>
      </w:pPr>
      <w:r>
        <w:rPr>
          <w:noProof/>
        </w:rPr>
        <w:t>1.</w:t>
      </w:r>
      <w:r>
        <w:rPr>
          <w:noProof/>
        </w:rPr>
        <w:tab/>
        <w:t>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p>
      <w:pPr>
        <w:pStyle w:val="ManualNumPar1"/>
        <w:rPr>
          <w:noProof/>
        </w:rPr>
      </w:pPr>
      <w:r>
        <w:rPr>
          <w:noProof/>
        </w:rPr>
        <w:t>2.</w:t>
      </w:r>
      <w:r>
        <w:rPr>
          <w:noProof/>
        </w:rPr>
        <w:tab/>
        <w:t>Európsky parlament alebo Rada môžu vzniesť voči delegovanému aktu námietku v súlade s postupom uvedeným v článku 7 ods. 6. V takom prípade Komisia bez odkladu po oznámení rozhodnutia Európskeho parlamentu alebo Rady vzniesť námietku akt zruší.</w:t>
      </w:r>
    </w:p>
    <w:p>
      <w:pPr>
        <w:pStyle w:val="Titrearticle"/>
        <w:rPr>
          <w:noProof/>
        </w:rPr>
      </w:pPr>
      <w:r>
        <w:rPr>
          <w:noProof/>
        </w:rPr>
        <w:t>Článok 9</w:t>
      </w:r>
      <w:r>
        <w:rPr>
          <w:noProof/>
        </w:rPr>
        <w:br/>
      </w:r>
      <w:r>
        <w:rPr>
          <w:b/>
          <w:noProof/>
        </w:rPr>
        <w:t>Nadobudnutie účinnosti a uplatňovanie</w:t>
      </w:r>
    </w:p>
    <w:p>
      <w:pPr>
        <w:rPr>
          <w:noProof/>
        </w:rPr>
      </w:pPr>
      <w:r>
        <w:rPr>
          <w:noProof/>
        </w:rPr>
        <w:t>Toto nariadenie nadobúda účinnosť dňom nasledujúcim po jeho uverejnení v </w:t>
      </w:r>
      <w:r>
        <w:rPr>
          <w:i/>
          <w:noProof/>
        </w:rPr>
        <w:t>Úradnom vestníku Európskej únie</w:t>
      </w:r>
      <w:r>
        <w:rPr>
          <w:noProof/>
        </w:rPr>
        <w:t>.</w:t>
      </w:r>
    </w:p>
    <w:p>
      <w:pPr>
        <w:rPr>
          <w:noProof/>
        </w:rPr>
      </w:pPr>
      <w:r>
        <w:rPr>
          <w:noProof/>
        </w:rPr>
        <w:t>Uplatňuje sa odo dňa nasledujúceho po dni, ktorým sa zmluvy prestávajú uplatňovať na Spojené kráľovstvo a v Spojenom kráľovstve podľa článku 50 ods. 3 Zmluvy o Európskej únii.</w:t>
      </w:r>
    </w:p>
    <w:p>
      <w:pPr>
        <w:rPr>
          <w:noProof/>
        </w:rPr>
      </w:pPr>
      <w:r>
        <w:rPr>
          <w:noProof/>
        </w:rPr>
        <w:t>Toto nariadenie je záväzné v celom rozsahu a priamo uplatniteľné vo všetkých členských štátoch.</w:t>
      </w:r>
    </w:p>
    <w:p>
      <w:pPr>
        <w:rPr>
          <w:noProof/>
        </w:rPr>
      </w:pPr>
    </w:p>
    <w:p>
      <w:pPr>
        <w:pStyle w:val="Fait"/>
        <w:rPr>
          <w:noProof/>
        </w:rPr>
      </w:pPr>
      <w:r>
        <w:t>V Bruseli</w:t>
      </w:r>
    </w:p>
    <w:p>
      <w:pPr>
        <w:pStyle w:val="Institutionquisigne"/>
        <w:spacing w:before="120" w:after="120"/>
        <w:rPr>
          <w:noProof/>
        </w:rPr>
      </w:pPr>
      <w:r>
        <w:rPr>
          <w:noProof/>
        </w:rPr>
        <w:tab/>
        <w:t>Za Radu</w:t>
      </w:r>
    </w:p>
    <w:p>
      <w:pPr>
        <w:pStyle w:val="Personnequisigne"/>
        <w:spacing w:before="120" w:after="120"/>
        <w:rPr>
          <w:noProof/>
        </w:rPr>
      </w:pPr>
      <w:r>
        <w:rPr>
          <w:noProof/>
        </w:rPr>
        <w:tab/>
        <w:t>predseda</w:t>
      </w:r>
    </w:p>
    <w:p>
      <w:pPr>
        <w:rPr>
          <w:noProof/>
        </w:rPr>
      </w:pPr>
      <w:r>
        <w:rPr>
          <w:noProof/>
        </w:rPr>
        <w:br w:type="page"/>
      </w:r>
    </w:p>
    <w:p>
      <w:pPr>
        <w:pStyle w:val="Fichefinanciretitre"/>
        <w:rPr>
          <w:noProof/>
        </w:rPr>
      </w:pPr>
      <w:r>
        <w:rPr>
          <w:noProof/>
        </w:rPr>
        <w:t>LEGISLATÍVNY FINANČNÝ VÝKAZ</w:t>
      </w:r>
    </w:p>
    <w:p>
      <w:pPr>
        <w:pStyle w:val="ManualHeading1"/>
        <w:rPr>
          <w:noProof/>
        </w:rPr>
      </w:pPr>
      <w:bookmarkStart w:id="1" w:name="_Toc514938007"/>
      <w:bookmarkStart w:id="2" w:name="_Toc520485025"/>
      <w:r>
        <w:t>1.</w:t>
      </w:r>
      <w:r>
        <w:tab/>
      </w:r>
      <w:r>
        <w:rPr>
          <w:noProof/>
        </w:rPr>
        <w:t>RÁMEC NÁVRHU/INICIATÍVY</w:t>
      </w:r>
      <w:bookmarkEnd w:id="1"/>
      <w:bookmarkEnd w:id="2"/>
    </w:p>
    <w:p>
      <w:pPr>
        <w:pStyle w:val="ManualHeading2"/>
        <w:rPr>
          <w:noProof/>
        </w:rPr>
      </w:pPr>
      <w:bookmarkStart w:id="3" w:name="_Toc514938008"/>
      <w:bookmarkStart w:id="4" w:name="_Toc520485026"/>
      <w:r>
        <w:t>1.1.</w:t>
      </w:r>
      <w:r>
        <w:tab/>
      </w:r>
      <w:r>
        <w:rPr>
          <w:noProof/>
        </w:rPr>
        <w:t>Názov návrhu/iniciatívy</w:t>
      </w:r>
      <w:bookmarkEnd w:id="3"/>
      <w:bookmarkEnd w:id="4"/>
    </w:p>
    <w:p>
      <w:pPr>
        <w:pStyle w:val="ManualHeading2"/>
        <w:rPr>
          <w:i/>
          <w:noProof/>
        </w:rPr>
      </w:pPr>
      <w:bookmarkStart w:id="5" w:name="_Toc514938011"/>
      <w:bookmarkStart w:id="6" w:name="_Toc520485027"/>
      <w:r>
        <w:t>1.2.</w:t>
      </w:r>
      <w:r>
        <w:tab/>
      </w:r>
      <w:r>
        <w:rPr>
          <w:noProof/>
        </w:rPr>
        <w:t>Príslušné oblasti politiky</w:t>
      </w:r>
      <w:bookmarkEnd w:id="5"/>
      <w:bookmarkEnd w:id="6"/>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Návrh nariadenia Rady o opatreniach týkajúcich sa plnenia a financovania všeobecného rozpočtu Únie v roku 2019 v súvislosti s vystúpením Spojeného kráľovstva z Únie.</w:t>
      </w:r>
    </w:p>
    <w:p>
      <w:pPr>
        <w:pStyle w:val="ManualHeading2"/>
        <w:rPr>
          <w:noProof/>
        </w:rPr>
      </w:pPr>
      <w:bookmarkStart w:id="7" w:name="_Toc514938025"/>
      <w:bookmarkStart w:id="8" w:name="_Toc520485034"/>
      <w:r>
        <w:t>1.3.</w:t>
      </w:r>
      <w:r>
        <w:tab/>
      </w:r>
      <w:r>
        <w:rPr>
          <w:noProof/>
        </w:rPr>
        <w:t>Dôvody návrhu/iniciatívy</w:t>
      </w:r>
      <w:bookmarkEnd w:id="7"/>
      <w:bookmarkEnd w:id="8"/>
    </w:p>
    <w:p>
      <w:pPr>
        <w:pStyle w:val="ManualHeading3"/>
        <w:rPr>
          <w:noProof/>
        </w:rPr>
      </w:pPr>
      <w:bookmarkStart w:id="9" w:name="_Toc514938026"/>
      <w:bookmarkStart w:id="10" w:name="_Toc520485035"/>
      <w:r>
        <w:t>1.3.1.</w:t>
      </w:r>
      <w:r>
        <w:tab/>
      </w:r>
      <w:r>
        <w:rPr>
          <w:noProof/>
        </w:rPr>
        <w:t>Potreby, ktoré sa majú uspokojiť v krátkodobom alebo dlhodobom horizonte vrátane podrobného harmonogramu prvotnej fázy vykonávania iniciatívy</w:t>
      </w:r>
      <w:bookmarkEnd w:id="9"/>
      <w:bookmarkEnd w:id="10"/>
    </w:p>
    <w:p>
      <w:pPr>
        <w:pStyle w:val="Text1"/>
        <w:pBdr>
          <w:top w:val="single" w:sz="4" w:space="1" w:color="auto"/>
          <w:left w:val="single" w:sz="4" w:space="4" w:color="auto"/>
          <w:bottom w:val="single" w:sz="4" w:space="1" w:color="auto"/>
          <w:right w:val="single" w:sz="4" w:space="4" w:color="auto"/>
        </w:pBdr>
      </w:pPr>
      <w:r>
        <w:t>Toto nariadenie nadobúda účinnosť dňom nasledujúcim po jeho uverejnení v Úradnom vestníku Európskej únie.</w:t>
      </w:r>
    </w:p>
    <w:p>
      <w:pPr>
        <w:pStyle w:val="Text1"/>
        <w:pBdr>
          <w:top w:val="single" w:sz="4" w:space="1" w:color="auto"/>
          <w:left w:val="single" w:sz="4" w:space="4" w:color="auto"/>
          <w:bottom w:val="single" w:sz="4" w:space="1" w:color="auto"/>
          <w:right w:val="single" w:sz="4" w:space="4" w:color="auto"/>
        </w:pBdr>
      </w:pPr>
      <w:r>
        <w:t>Uplatňuje sa odo dňa nasledujúceho po dni, ktorým sa zmluvy prestanú uplatňovať na Spojené kráľovstvo a v Spojenom kráľovstve podľa článku 50 ods. 3 Zmluvy o Európskej únii.</w:t>
      </w:r>
    </w:p>
    <w:p>
      <w:pPr>
        <w:pStyle w:val="Text1"/>
        <w:pBdr>
          <w:top w:val="single" w:sz="4" w:space="1" w:color="auto"/>
          <w:left w:val="single" w:sz="4" w:space="4" w:color="auto"/>
          <w:bottom w:val="single" w:sz="4" w:space="1" w:color="auto"/>
          <w:right w:val="single" w:sz="4" w:space="4" w:color="auto"/>
        </w:pBdr>
        <w:rPr>
          <w:noProof/>
        </w:rPr>
      </w:pPr>
      <w:r>
        <w:t>Toto nariadenie sa neuplatňuje, ak do uvedeného dátumu nadobudne platnosť dohoda o vystúpení uzavretá so Spojeným kráľovstvom v súlade s článkom 50 ods. 2 Zmluvy o Európskej únii.</w:t>
      </w:r>
    </w:p>
    <w:p>
      <w:pPr>
        <w:pStyle w:val="ManualHeading3"/>
        <w:rPr>
          <w:bCs/>
          <w:noProof/>
          <w:szCs w:val="24"/>
        </w:rPr>
      </w:pPr>
      <w:bookmarkStart w:id="11" w:name="_Toc514938029"/>
      <w:bookmarkStart w:id="12" w:name="_Toc520485036"/>
      <w:r>
        <w:t>1.3.2.</w:t>
      </w:r>
      <w:r>
        <w:tab/>
      </w:r>
      <w:r>
        <w:rPr>
          <w:noProof/>
        </w:rPr>
        <w:t>Prínos zapojenia Únie (môže byť výsledkom rôznych faktorov, napr. lepšej koordinácie, právnej istoty, väčšej účinnosti alebo komplementárnosti). Na účely tohto bodu je „prínos zapojenia Únie“ hodnota vyplývajúca zo zásahu Únie, ktorá dopĺňa hodnotu, ktorú by inak vytvorili len samotné členské štáty.</w:t>
      </w:r>
      <w:bookmarkEnd w:id="11"/>
      <w:bookmarkEnd w:id="12"/>
    </w:p>
    <w:p>
      <w:pPr>
        <w:pStyle w:val="Text1"/>
        <w:pBdr>
          <w:top w:val="single" w:sz="4" w:space="1" w:color="auto"/>
          <w:left w:val="single" w:sz="4" w:space="4" w:color="auto"/>
          <w:bottom w:val="single" w:sz="4" w:space="1" w:color="auto"/>
          <w:right w:val="single" w:sz="4" w:space="4" w:color="auto"/>
        </w:pBdr>
        <w:rPr>
          <w:noProof/>
        </w:rPr>
      </w:pPr>
      <w:r>
        <w:t>Neuvádza sa.</w:t>
      </w:r>
    </w:p>
    <w:p>
      <w:pPr>
        <w:pStyle w:val="ManualHeading3"/>
        <w:rPr>
          <w:noProof/>
        </w:rPr>
      </w:pPr>
      <w:bookmarkStart w:id="13" w:name="_Toc514938030"/>
      <w:bookmarkStart w:id="14" w:name="_Toc520485037"/>
      <w:r>
        <w:t>1.3.3.</w:t>
      </w:r>
      <w:r>
        <w:tab/>
      </w:r>
      <w:r>
        <w:rPr>
          <w:noProof/>
        </w:rPr>
        <w:t>Poznatky získané z podobných skúseností v minulosti</w:t>
      </w:r>
      <w:bookmarkEnd w:id="13"/>
      <w:bookmarkEnd w:id="14"/>
    </w:p>
    <w:p>
      <w:pPr>
        <w:pStyle w:val="Text1"/>
        <w:pBdr>
          <w:top w:val="single" w:sz="4" w:space="1" w:color="auto"/>
          <w:left w:val="single" w:sz="4" w:space="4" w:color="auto"/>
          <w:bottom w:val="single" w:sz="4" w:space="1" w:color="auto"/>
          <w:right w:val="single" w:sz="4" w:space="4" w:color="auto"/>
        </w:pBdr>
        <w:rPr>
          <w:noProof/>
        </w:rPr>
      </w:pPr>
      <w:r>
        <w:t>Neuvádza sa.</w:t>
      </w:r>
    </w:p>
    <w:p>
      <w:pPr>
        <w:pStyle w:val="ManualHeading3"/>
        <w:rPr>
          <w:noProof/>
        </w:rPr>
      </w:pPr>
      <w:bookmarkStart w:id="15" w:name="_Toc514938033"/>
      <w:bookmarkStart w:id="16" w:name="_Toc520485038"/>
      <w:r>
        <w:t>1.3.4.</w:t>
      </w:r>
      <w:r>
        <w:tab/>
      </w:r>
      <w:r>
        <w:rPr>
          <w:noProof/>
        </w:rPr>
        <w:t>Zlučiteľnosť s viacročným finančným rámcom a možná synergia s inými vhodnými nástrojmi</w:t>
      </w:r>
      <w:bookmarkEnd w:id="15"/>
      <w:bookmarkEnd w:id="16"/>
    </w:p>
    <w:p>
      <w:pPr>
        <w:pStyle w:val="Text1"/>
        <w:pBdr>
          <w:top w:val="single" w:sz="4" w:space="1" w:color="auto"/>
          <w:left w:val="single" w:sz="4" w:space="4" w:color="auto"/>
          <w:bottom w:val="single" w:sz="4" w:space="1" w:color="auto"/>
          <w:right w:val="single" w:sz="4" w:space="4" w:color="auto"/>
        </w:pBdr>
        <w:rPr>
          <w:noProof/>
          <w:color w:val="0000FF"/>
        </w:rPr>
      </w:pPr>
      <w:r>
        <w:t>Toto nariadenie je v súlade s VFR. Nemá žiaden finančný vplyv.</w:t>
      </w:r>
    </w:p>
    <w:p>
      <w:pPr>
        <w:pStyle w:val="ManualHeading3"/>
        <w:rPr>
          <w:noProof/>
        </w:rPr>
      </w:pPr>
      <w:bookmarkStart w:id="17" w:name="_Toc514938036"/>
      <w:bookmarkStart w:id="18" w:name="_Toc520485039"/>
      <w:r>
        <w:t>1.3.5.</w:t>
      </w:r>
      <w:r>
        <w:tab/>
      </w:r>
      <w:r>
        <w:rPr>
          <w:noProof/>
        </w:rPr>
        <w:t>Posúdenie rôznych disponibilných možností financovania vrátane možnosti prerozdelenia</w:t>
      </w:r>
      <w:bookmarkEnd w:id="17"/>
      <w:bookmarkEnd w:id="18"/>
    </w:p>
    <w:p>
      <w:pPr>
        <w:pStyle w:val="Text1"/>
        <w:pBdr>
          <w:top w:val="single" w:sz="4" w:space="1" w:color="auto"/>
          <w:left w:val="single" w:sz="4" w:space="4" w:color="auto"/>
          <w:bottom w:val="single" w:sz="4" w:space="0" w:color="auto"/>
          <w:right w:val="single" w:sz="4" w:space="4" w:color="auto"/>
        </w:pBdr>
      </w:pPr>
      <w:r>
        <w:t>Toto nariadenie nemá žiaden finančný vplyv. Príspevok Únie na programy sa bude financovať prostredníctvom všeobecného rozpočtu Únie, ak Spojené kráľovstvo poskytne zdroje stanovené v rozpočte na rok 2019, ktorý prijal Európsky parlament v decembri 2018.</w:t>
      </w:r>
    </w:p>
    <w:p>
      <w:pPr>
        <w:pStyle w:val="Text1"/>
        <w:rPr>
          <w:noProof/>
        </w:rPr>
      </w:pPr>
    </w:p>
    <w:p>
      <w:pPr>
        <w:pStyle w:val="ManualHeading2"/>
        <w:rPr>
          <w:bCs/>
          <w:noProof/>
          <w:szCs w:val="24"/>
        </w:rPr>
      </w:pPr>
      <w:r>
        <w:rPr>
          <w:noProof/>
        </w:rPr>
        <w:br w:type="page"/>
      </w:r>
      <w:bookmarkStart w:id="19" w:name="_Toc514938039"/>
      <w:bookmarkStart w:id="20" w:name="_Toc520485040"/>
      <w:r>
        <w:t>1.4.</w:t>
      </w:r>
      <w:r>
        <w:tab/>
      </w:r>
      <w:r>
        <w:rPr>
          <w:noProof/>
        </w:rPr>
        <w:t>Trvanie a finančný vplyv návrhu/iniciatívy</w:t>
      </w:r>
      <w:bookmarkEnd w:id="19"/>
      <w:bookmarkEnd w:id="20"/>
    </w:p>
    <w:p>
      <w:pPr>
        <w:pStyle w:val="ListDash1"/>
        <w:rPr>
          <w:noProof/>
        </w:rPr>
      </w:pPr>
      <w:r>
        <w:rPr>
          <w:b/>
          <w:noProof/>
        </w:rPr>
        <w:t>X</w:t>
      </w:r>
      <w:r>
        <w:rPr>
          <w:noProof/>
        </w:rPr>
        <w:t xml:space="preserve"> Nemá žiaden finančný vplyv</w:t>
      </w:r>
    </w:p>
    <w:p>
      <w:pPr>
        <w:pStyle w:val="ManualHeading2"/>
        <w:rPr>
          <w:rStyle w:val="FootnoteReference"/>
          <w:noProof/>
          <w:vertAlign w:val="baseline"/>
        </w:rPr>
      </w:pPr>
      <w:bookmarkStart w:id="21" w:name="_Toc514938040"/>
      <w:bookmarkStart w:id="22" w:name="_Toc520485041"/>
      <w:r>
        <w:rPr>
          <w:rStyle w:val="FootnoteReference"/>
        </w:rPr>
        <w:t>1.5.</w:t>
      </w:r>
      <w:r>
        <w:rPr>
          <w:rStyle w:val="FootnoteReference"/>
        </w:rPr>
        <w:tab/>
      </w:r>
      <w:r>
        <w:rPr>
          <w:noProof/>
        </w:rPr>
        <w:t>Plánovaný spôsob riadenia</w:t>
      </w:r>
      <w:r>
        <w:rPr>
          <w:rStyle w:val="FootnoteReference"/>
          <w:noProof/>
        </w:rPr>
        <w:footnoteReference w:id="6"/>
      </w:r>
      <w:bookmarkEnd w:id="21"/>
      <w:bookmarkEnd w:id="22"/>
    </w:p>
    <w:p>
      <w:pPr>
        <w:pStyle w:val="Text1"/>
        <w:rPr>
          <w:noProof/>
        </w:rPr>
      </w:pPr>
      <w:r>
        <w:rPr>
          <w:noProof/>
        </w:rPr>
        <w:t>X</w:t>
      </w:r>
      <w:r>
        <w:rPr>
          <w:i/>
          <w:noProof/>
        </w:rPr>
        <w:t xml:space="preserve"> </w:t>
      </w:r>
      <w:r>
        <w:rPr>
          <w:b/>
          <w:noProof/>
        </w:rPr>
        <w:t>Priame riadenie</w:t>
      </w:r>
      <w:r>
        <w:rPr>
          <w:noProof/>
        </w:rPr>
        <w:t xml:space="preserve"> na úrovni Komisie</w:t>
      </w:r>
    </w:p>
    <w:p>
      <w:pPr>
        <w:pStyle w:val="ListDash2"/>
        <w:rPr>
          <w:noProof/>
        </w:rPr>
      </w:pPr>
      <w:r>
        <w:rPr>
          <w:noProof/>
        </w:rPr>
        <w:t>X prostredníctvom jej útvarov vrátane zamestnancov v delegáciách Únie</w:t>
      </w:r>
    </w:p>
    <w:p>
      <w:pPr>
        <w:pStyle w:val="ListDash2"/>
        <w:rPr>
          <w:noProof/>
        </w:rPr>
      </w:pPr>
      <w:r>
        <w:rPr>
          <w:noProof/>
        </w:rPr>
        <w:t>X</w:t>
      </w:r>
      <w:r>
        <w:rPr>
          <w:noProof/>
        </w:rPr>
        <w:tab/>
        <w:t>prostredníctvom výkonných agentúr</w:t>
      </w:r>
    </w:p>
    <w:p>
      <w:pPr>
        <w:pStyle w:val="Text1"/>
        <w:rPr>
          <w:noProof/>
        </w:rPr>
      </w:pPr>
      <w:r>
        <w:rPr>
          <w:b/>
          <w:noProof/>
        </w:rPr>
        <w:t>X</w:t>
      </w:r>
      <w:r>
        <w:rPr>
          <w:b/>
          <w:i/>
          <w:noProof/>
        </w:rPr>
        <w:t xml:space="preserve"> </w:t>
      </w:r>
      <w:r>
        <w:rPr>
          <w:b/>
          <w:noProof/>
        </w:rPr>
        <w:t>Zdieľané riadenie</w:t>
      </w:r>
      <w:r>
        <w:rPr>
          <w:noProof/>
        </w:rPr>
        <w:t xml:space="preserve"> s členskými štátmi</w:t>
      </w:r>
    </w:p>
    <w:p>
      <w:pPr>
        <w:pStyle w:val="Text1"/>
        <w:rPr>
          <w:noProof/>
        </w:rPr>
      </w:pPr>
      <w:r>
        <w:rPr>
          <w:noProof/>
        </w:rPr>
        <w:t>X</w:t>
      </w:r>
      <w:r>
        <w:rPr>
          <w:i/>
          <w:noProof/>
        </w:rPr>
        <w:t xml:space="preserve"> </w:t>
      </w:r>
      <w:r>
        <w:rPr>
          <w:b/>
          <w:noProof/>
        </w:rPr>
        <w:t>Nepriame riadenie</w:t>
      </w:r>
      <w:r>
        <w:rPr>
          <w:noProof/>
        </w:rPr>
        <w:t>, pri ktorom sa plnením rozpočtu poveria:</w:t>
      </w:r>
    </w:p>
    <w:p>
      <w:pPr>
        <w:pStyle w:val="ListDash2"/>
        <w:rPr>
          <w:noProof/>
        </w:rPr>
      </w:pPr>
      <w:r>
        <w:rPr>
          <w:noProof/>
        </w:rPr>
        <w:t>X tretie krajiny alebo subjekty, ktoré tieto krajiny určili</w:t>
      </w:r>
    </w:p>
    <w:p>
      <w:pPr>
        <w:pStyle w:val="ListDash2"/>
        <w:rPr>
          <w:noProof/>
        </w:rPr>
      </w:pPr>
      <w:r>
        <w:rPr>
          <w:noProof/>
        </w:rPr>
        <w:t>X medzinárodné organizácie a ich agentúry (uveďte)</w:t>
      </w:r>
    </w:p>
    <w:p>
      <w:pPr>
        <w:pStyle w:val="ListDash2"/>
        <w:rPr>
          <w:noProof/>
        </w:rPr>
      </w:pPr>
      <w:r>
        <w:rPr>
          <w:noProof/>
        </w:rPr>
        <w:t>X Európska investičná banka (EIB) a Európsky investičný fond</w:t>
      </w:r>
    </w:p>
    <w:p>
      <w:pPr>
        <w:pStyle w:val="ListDash2"/>
        <w:rPr>
          <w:noProof/>
        </w:rPr>
      </w:pPr>
      <w:r>
        <w:rPr>
          <w:noProof/>
        </w:rPr>
        <w:t>X subjekty uvedené v článkoch 70 a 71 nariadenia o rozpočtových pravidlách</w:t>
      </w:r>
    </w:p>
    <w:p>
      <w:pPr>
        <w:pStyle w:val="ListDash2"/>
        <w:rPr>
          <w:noProof/>
        </w:rPr>
      </w:pPr>
      <w:r>
        <w:rPr>
          <w:noProof/>
        </w:rPr>
        <w:t>X verejnoprávne subjekty</w:t>
      </w:r>
    </w:p>
    <w:p>
      <w:pPr>
        <w:pStyle w:val="ListDash2"/>
        <w:rPr>
          <w:noProof/>
        </w:rPr>
      </w:pPr>
      <w:r>
        <w:rPr>
          <w:noProof/>
        </w:rPr>
        <w:t>X súkromnoprávne subjekty poverené vykonávaním verejnej služby, pokiaľ tieto subjekty poskytujú dostatočné finančné záruky</w:t>
      </w:r>
    </w:p>
    <w:p>
      <w:pPr>
        <w:pStyle w:val="ListDash2"/>
        <w:rPr>
          <w:noProof/>
        </w:rPr>
      </w:pPr>
      <w:r>
        <w:rPr>
          <w:noProof/>
        </w:rPr>
        <w:t>X súkromnoprávne subjekty spravované právom členského štátu, ktoré sú poverené vykonávaním verejno-súkromného partnerstva a ktoré poskytujú dostatočné finančné záruky</w:t>
      </w:r>
    </w:p>
    <w:p>
      <w:pPr>
        <w:pStyle w:val="ListDash2"/>
        <w:rPr>
          <w:noProof/>
        </w:rPr>
      </w:pPr>
      <w:r>
        <w:rPr>
          <w:noProof/>
        </w:rPr>
        <w:t>X osoby poverené vykonávaním osobitných činností v oblasti SZBP podľa hlavy V Zmluvy o Európskej únii a určené v príslušnom základnom akte</w:t>
      </w:r>
    </w:p>
    <w:p>
      <w:pPr>
        <w:pStyle w:val="ListDash2"/>
        <w:rPr>
          <w:i/>
          <w:noProof/>
          <w:sz w:val="18"/>
          <w:u w:val="single"/>
        </w:rPr>
      </w:pPr>
      <w:r>
        <w:rPr>
          <w:i/>
          <w:noProof/>
          <w:sz w:val="18"/>
        </w:rPr>
        <w:t>V prípade viacerých spôsobov riadenia uveďte v oddiele „Poznámky“ presnejšie vysvetlenie.</w:t>
      </w:r>
    </w:p>
    <w:p>
      <w:pPr>
        <w:rPr>
          <w:noProof/>
        </w:rPr>
      </w:pPr>
      <w:r>
        <w:rPr>
          <w:noProof/>
        </w:rPr>
        <w:t>Poznámky:</w:t>
      </w:r>
    </w:p>
    <w:p>
      <w:pPr>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r>
        <w:t>Neuvádza sa.</w:t>
      </w:r>
      <w:r>
        <w:tab/>
      </w:r>
    </w:p>
    <w:p>
      <w:pPr>
        <w:pStyle w:val="ManualHeading1"/>
        <w:rPr>
          <w:noProof/>
        </w:rPr>
      </w:pPr>
      <w:bookmarkStart w:id="23" w:name="_Toc514938041"/>
      <w:bookmarkStart w:id="24" w:name="_Toc520485042"/>
      <w:r>
        <w:t>2.</w:t>
      </w:r>
      <w:r>
        <w:tab/>
      </w:r>
      <w:r>
        <w:rPr>
          <w:noProof/>
        </w:rPr>
        <w:t>OPATRENIA V OBLASTI RIADENIA</w:t>
      </w:r>
      <w:bookmarkEnd w:id="23"/>
      <w:bookmarkEnd w:id="24"/>
    </w:p>
    <w:p>
      <w:pPr>
        <w:pStyle w:val="ManualHeading2"/>
        <w:rPr>
          <w:noProof/>
        </w:rPr>
      </w:pPr>
      <w:bookmarkStart w:id="25" w:name="_Toc514938042"/>
      <w:bookmarkStart w:id="26" w:name="_Toc520485043"/>
      <w:r>
        <w:t>2.1.</w:t>
      </w:r>
      <w:r>
        <w:tab/>
      </w:r>
      <w:r>
        <w:rPr>
          <w:noProof/>
        </w:rPr>
        <w:t>Opatrenia týkajúce sa monitorovania a predkladania správ</w:t>
      </w:r>
      <w:bookmarkEnd w:id="25"/>
      <w:bookmarkEnd w:id="26"/>
    </w:p>
    <w:p>
      <w:pPr>
        <w:pStyle w:val="Text1"/>
        <w:rPr>
          <w:i/>
          <w:noProof/>
          <w:sz w:val="20"/>
        </w:rPr>
      </w:pPr>
      <w:r>
        <w:rPr>
          <w:i/>
          <w:noProof/>
          <w:sz w:val="20"/>
        </w:rPr>
        <w:t>Uveďte časový interval a podmienky, ktoré sa vzťahujú na tieto opatrenia.</w:t>
      </w:r>
    </w:p>
    <w:p>
      <w:pPr>
        <w:pStyle w:val="Text1"/>
        <w:pBdr>
          <w:top w:val="single" w:sz="4" w:space="1" w:color="auto"/>
          <w:left w:val="single" w:sz="4" w:space="4" w:color="auto"/>
          <w:bottom w:val="single" w:sz="4" w:space="1" w:color="auto"/>
          <w:right w:val="single" w:sz="4" w:space="4" w:color="auto"/>
        </w:pBdr>
        <w:rPr>
          <w:noProof/>
        </w:rPr>
      </w:pPr>
      <w:r>
        <w:t>Neuvádza sa.</w:t>
      </w:r>
    </w:p>
    <w:p>
      <w:pPr>
        <w:pStyle w:val="ManualHeading2"/>
        <w:rPr>
          <w:noProof/>
        </w:rPr>
      </w:pPr>
      <w:bookmarkStart w:id="27" w:name="_Toc514938045"/>
      <w:bookmarkStart w:id="28" w:name="_Toc520485044"/>
      <w:r>
        <w:t>2.2.</w:t>
      </w:r>
      <w:r>
        <w:tab/>
      </w:r>
      <w:r>
        <w:rPr>
          <w:noProof/>
        </w:rPr>
        <w:t>Systémy riadenia a kontroly</w:t>
      </w:r>
      <w:bookmarkEnd w:id="27"/>
      <w:bookmarkEnd w:id="28"/>
    </w:p>
    <w:p>
      <w:pPr>
        <w:pStyle w:val="ManualHeading3"/>
        <w:rPr>
          <w:noProof/>
        </w:rPr>
      </w:pPr>
      <w:bookmarkStart w:id="29" w:name="_Toc514938046"/>
      <w:bookmarkStart w:id="30" w:name="_Toc520485045"/>
      <w:r>
        <w:t>2.2.1.</w:t>
      </w:r>
      <w:r>
        <w:tab/>
      </w:r>
      <w:r>
        <w:rPr>
          <w:noProof/>
        </w:rPr>
        <w:t>Opodstatnenie navrhovaných spôsobov riadenia, mechanizmov vykonávania financovania, spôsobov platby a stratégie kontroly</w:t>
      </w:r>
      <w:bookmarkEnd w:id="29"/>
      <w:bookmarkEnd w:id="30"/>
    </w:p>
    <w:p>
      <w:pPr>
        <w:pStyle w:val="Text1"/>
        <w:pBdr>
          <w:top w:val="single" w:sz="4" w:space="1" w:color="auto"/>
          <w:left w:val="single" w:sz="4" w:space="4" w:color="auto"/>
          <w:bottom w:val="single" w:sz="4" w:space="1" w:color="auto"/>
          <w:right w:val="single" w:sz="4" w:space="4" w:color="auto"/>
        </w:pBdr>
        <w:rPr>
          <w:noProof/>
        </w:rPr>
      </w:pPr>
      <w:r>
        <w:t>Neuvádza sa.</w:t>
      </w:r>
    </w:p>
    <w:p>
      <w:pPr>
        <w:pStyle w:val="ManualHeading3"/>
        <w:rPr>
          <w:bCs/>
          <w:noProof/>
          <w:szCs w:val="24"/>
        </w:rPr>
      </w:pPr>
      <w:bookmarkStart w:id="31" w:name="_Toc514938047"/>
      <w:bookmarkStart w:id="32" w:name="_Toc520485046"/>
      <w:r>
        <w:t>2.2.2.</w:t>
      </w:r>
      <w:r>
        <w:tab/>
      </w:r>
      <w:r>
        <w:rPr>
          <w:noProof/>
        </w:rPr>
        <w:t>Informácie o zistených rizikách a systémoch vnútornej kontroly zavedených na ich zmierňovanie</w:t>
      </w:r>
      <w:bookmarkEnd w:id="31"/>
      <w:bookmarkEnd w:id="32"/>
    </w:p>
    <w:p>
      <w:pPr>
        <w:pStyle w:val="Text1"/>
        <w:pBdr>
          <w:top w:val="single" w:sz="4" w:space="1" w:color="auto"/>
          <w:left w:val="single" w:sz="4" w:space="4" w:color="auto"/>
          <w:bottom w:val="single" w:sz="4" w:space="1" w:color="auto"/>
          <w:right w:val="single" w:sz="4" w:space="4" w:color="auto"/>
        </w:pBdr>
        <w:rPr>
          <w:noProof/>
        </w:rPr>
      </w:pPr>
      <w:r>
        <w:t>Neuvádza sa.</w:t>
      </w:r>
    </w:p>
    <w:p>
      <w:pPr>
        <w:pStyle w:val="ManualHeading3"/>
        <w:rPr>
          <w:noProof/>
        </w:rPr>
      </w:pPr>
      <w:bookmarkStart w:id="33" w:name="_Toc514938048"/>
      <w:bookmarkStart w:id="34" w:name="_Toc520485047"/>
      <w:r>
        <w:t>2.2.3.</w:t>
      </w:r>
      <w:r>
        <w:tab/>
      </w:r>
      <w:r>
        <w:rPr>
          <w:noProof/>
        </w:rPr>
        <w:t>Odhad a opodstatnenie nákladovej účinnosti kontrol (pomer medzi nákladmi na kontroly a hodnotou súvisiacich riadených finančných prostriedkov) a posúdenie očakávaných úrovní rizika chyby (pri platbe a uzavretí)</w:t>
      </w:r>
      <w:bookmarkEnd w:id="33"/>
      <w:bookmarkEnd w:id="34"/>
    </w:p>
    <w:p>
      <w:pPr>
        <w:pStyle w:val="Text1"/>
        <w:pBdr>
          <w:top w:val="single" w:sz="4" w:space="1" w:color="auto"/>
          <w:left w:val="single" w:sz="4" w:space="4" w:color="auto"/>
          <w:bottom w:val="single" w:sz="4" w:space="1" w:color="auto"/>
          <w:right w:val="single" w:sz="4" w:space="4" w:color="auto"/>
        </w:pBdr>
      </w:pPr>
      <w:r>
        <w:t>Neuvádza sa.</w:t>
      </w:r>
    </w:p>
    <w:p>
      <w:pPr>
        <w:pStyle w:val="ManualHeading2"/>
        <w:rPr>
          <w:noProof/>
        </w:rPr>
      </w:pPr>
      <w:bookmarkStart w:id="35" w:name="_Toc514938049"/>
      <w:bookmarkStart w:id="36" w:name="_Toc520485048"/>
      <w:r>
        <w:t>2.3.</w:t>
      </w:r>
      <w:r>
        <w:tab/>
      </w:r>
      <w:r>
        <w:rPr>
          <w:noProof/>
        </w:rPr>
        <w:t>Opatrenia na predchádzanie podvodom a nezrovnalostiam</w:t>
      </w:r>
      <w:bookmarkEnd w:id="35"/>
      <w:bookmarkEnd w:id="36"/>
    </w:p>
    <w:p>
      <w:pPr>
        <w:pStyle w:val="Text1"/>
        <w:rPr>
          <w:i/>
          <w:noProof/>
          <w:sz w:val="20"/>
        </w:rPr>
      </w:pPr>
      <w:r>
        <w:rPr>
          <w:i/>
          <w:noProof/>
          <w:sz w:val="20"/>
        </w:rPr>
        <w:t>Uveďte existujúce a plánované preventívne a ochranné opatrenia, napr. zo stratégie na boj proti podvodom.</w:t>
      </w:r>
    </w:p>
    <w:p>
      <w:pPr>
        <w:pStyle w:val="Text1"/>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r>
        <w:t>Neuvádza sa.</w:t>
      </w:r>
      <w:r>
        <w:tab/>
      </w:r>
    </w:p>
    <w:p>
      <w:pPr>
        <w:pStyle w:val="ManualHeading1"/>
        <w:rPr>
          <w:noProof/>
        </w:rPr>
      </w:pPr>
      <w:bookmarkStart w:id="37" w:name="_Toc514938050"/>
      <w:bookmarkStart w:id="38" w:name="_Toc520485049"/>
      <w:r>
        <w:t>3.</w:t>
      </w:r>
      <w:r>
        <w:tab/>
      </w:r>
      <w:r>
        <w:rPr>
          <w:noProof/>
        </w:rPr>
        <w:t>ODHADOVANÝ FINANČNÝ VPLYV NÁVRHU/INICIATÍVY</w:t>
      </w:r>
      <w:bookmarkEnd w:id="37"/>
      <w:bookmarkEnd w:id="38"/>
    </w:p>
    <w:p>
      <w:pPr>
        <w:pStyle w:val="ManualHeading2"/>
        <w:rPr>
          <w:noProof/>
        </w:rPr>
      </w:pPr>
      <w:bookmarkStart w:id="39" w:name="_Toc514938051"/>
      <w:bookmarkStart w:id="40" w:name="_Toc520485050"/>
      <w:r>
        <w:t>3.1.</w:t>
      </w:r>
      <w:r>
        <w:tab/>
      </w:r>
      <w:r>
        <w:rPr>
          <w:noProof/>
        </w:rPr>
        <w:t>Príslušné okruhy viacročného finančného rámca a rozpočtové riadky výdavkov</w:t>
      </w:r>
      <w:bookmarkEnd w:id="39"/>
      <w:bookmarkEnd w:id="40"/>
    </w:p>
    <w:p>
      <w:pPr>
        <w:pStyle w:val="ListBullet1"/>
        <w:rPr>
          <w:noProof/>
        </w:rPr>
      </w:pPr>
      <w:r>
        <w:rPr>
          <w:noProof/>
        </w:rPr>
        <w:t>Existujúce rozpočtové riadky</w:t>
      </w:r>
    </w:p>
    <w:p>
      <w:pPr>
        <w:pStyle w:val="Text1"/>
        <w:rPr>
          <w:i/>
          <w:noProof/>
        </w:rPr>
      </w:pPr>
      <w:r>
        <w:rPr>
          <w:i/>
          <w:noProof/>
          <w:u w:val="single"/>
        </w:rPr>
        <w:t>V poradí</w:t>
      </w:r>
      <w:r>
        <w:rPr>
          <w:i/>
          <w:noProof/>
        </w:rPr>
        <w:t>, v akom za sebou nasledujú okruhy viacročného finančného rámca a rozpočtové riadky.</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tcMar>
              <w:left w:w="28" w:type="dxa"/>
              <w:right w:w="28" w:type="dxa"/>
            </w:tcMar>
            <w:vAlign w:val="center"/>
          </w:tcPr>
          <w:p>
            <w:pPr>
              <w:spacing w:before="60" w:after="60"/>
              <w:jc w:val="center"/>
              <w:rPr>
                <w:noProof/>
              </w:rPr>
            </w:pPr>
            <w:r>
              <w:rPr>
                <w:noProof/>
                <w:sz w:val="18"/>
              </w:rPr>
              <w:t>Okruh viacročného finančného rámca</w:t>
            </w:r>
          </w:p>
        </w:tc>
        <w:tc>
          <w:tcPr>
            <w:tcW w:w="3960" w:type="dxa"/>
            <w:vAlign w:val="center"/>
          </w:tcPr>
          <w:p>
            <w:pPr>
              <w:spacing w:before="60" w:after="60"/>
              <w:jc w:val="center"/>
              <w:rPr>
                <w:noProof/>
              </w:rPr>
            </w:pPr>
            <w:r>
              <w:rPr>
                <w:noProof/>
                <w:sz w:val="20"/>
              </w:rPr>
              <w:t>Rozpočtový riadok</w:t>
            </w:r>
          </w:p>
        </w:tc>
        <w:tc>
          <w:tcPr>
            <w:tcW w:w="1080" w:type="dxa"/>
            <w:vAlign w:val="center"/>
          </w:tcPr>
          <w:p>
            <w:pPr>
              <w:spacing w:before="60" w:after="60"/>
              <w:jc w:val="center"/>
              <w:rPr>
                <w:noProof/>
              </w:rPr>
            </w:pPr>
            <w:r>
              <w:rPr>
                <w:noProof/>
                <w:sz w:val="18"/>
              </w:rPr>
              <w:t>Druh</w:t>
            </w:r>
            <w:r>
              <w:rPr>
                <w:noProof/>
                <w:sz w:val="22"/>
              </w:rPr>
              <w:br/>
            </w:r>
            <w:r>
              <w:rPr>
                <w:noProof/>
                <w:sz w:val="18"/>
              </w:rPr>
              <w:t>výdavkov</w:t>
            </w:r>
          </w:p>
        </w:tc>
        <w:tc>
          <w:tcPr>
            <w:tcW w:w="4440" w:type="dxa"/>
            <w:gridSpan w:val="4"/>
            <w:vAlign w:val="center"/>
          </w:tcPr>
          <w:p>
            <w:pPr>
              <w:spacing w:before="60" w:after="60"/>
              <w:jc w:val="center"/>
              <w:rPr>
                <w:noProof/>
              </w:rPr>
            </w:pPr>
            <w:r>
              <w:rPr>
                <w:noProof/>
                <w:sz w:val="20"/>
              </w:rPr>
              <w:t xml:space="preserve">Príspevky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Číslo </w:t>
            </w:r>
            <w:r>
              <w:rPr>
                <w:noProof/>
                <w:sz w:val="22"/>
              </w:rPr>
              <w:br/>
            </w:r>
          </w:p>
        </w:tc>
        <w:tc>
          <w:tcPr>
            <w:tcW w:w="1080" w:type="dxa"/>
            <w:vAlign w:val="center"/>
          </w:tcPr>
          <w:p>
            <w:pPr>
              <w:jc w:val="center"/>
              <w:rPr>
                <w:noProof/>
              </w:rPr>
            </w:pPr>
            <w:r>
              <w:rPr>
                <w:noProof/>
                <w:sz w:val="18"/>
              </w:rPr>
              <w:t>DRP/NRP</w:t>
            </w:r>
            <w:r>
              <w:rPr>
                <w:rStyle w:val="FootnoteReference"/>
                <w:noProof/>
                <w:sz w:val="18"/>
              </w:rPr>
              <w:footnoteReference w:id="7"/>
            </w:r>
          </w:p>
        </w:tc>
        <w:tc>
          <w:tcPr>
            <w:tcW w:w="956" w:type="dxa"/>
            <w:vAlign w:val="center"/>
          </w:tcPr>
          <w:p>
            <w:pPr>
              <w:jc w:val="center"/>
              <w:rPr>
                <w:noProof/>
              </w:rPr>
            </w:pPr>
            <w:r>
              <w:rPr>
                <w:noProof/>
                <w:sz w:val="18"/>
              </w:rPr>
              <w:t>krajín EZVO</w:t>
            </w:r>
            <w:r>
              <w:rPr>
                <w:rStyle w:val="FootnoteReference"/>
                <w:noProof/>
                <w:sz w:val="18"/>
              </w:rPr>
              <w:footnoteReference w:id="8"/>
            </w:r>
          </w:p>
          <w:p>
            <w:pPr>
              <w:spacing w:before="0" w:after="0"/>
              <w:jc w:val="center"/>
              <w:rPr>
                <w:b/>
                <w:noProof/>
                <w:sz w:val="18"/>
              </w:rPr>
            </w:pPr>
          </w:p>
        </w:tc>
        <w:tc>
          <w:tcPr>
            <w:tcW w:w="1080" w:type="dxa"/>
            <w:vAlign w:val="center"/>
          </w:tcPr>
          <w:p>
            <w:pPr>
              <w:jc w:val="center"/>
              <w:rPr>
                <w:noProof/>
              </w:rPr>
            </w:pPr>
            <w:r>
              <w:rPr>
                <w:noProof/>
                <w:sz w:val="18"/>
              </w:rPr>
              <w:t>kandidátskych krajín</w:t>
            </w:r>
            <w:r>
              <w:rPr>
                <w:rStyle w:val="FootnoteReference"/>
                <w:noProof/>
                <w:sz w:val="18"/>
              </w:rPr>
              <w:footnoteReference w:id="9"/>
            </w:r>
          </w:p>
          <w:p>
            <w:pPr>
              <w:spacing w:before="0" w:after="0"/>
              <w:jc w:val="center"/>
              <w:rPr>
                <w:noProof/>
                <w:sz w:val="18"/>
              </w:rPr>
            </w:pPr>
          </w:p>
        </w:tc>
        <w:tc>
          <w:tcPr>
            <w:tcW w:w="956" w:type="dxa"/>
            <w:vAlign w:val="center"/>
          </w:tcPr>
          <w:p>
            <w:pPr>
              <w:jc w:val="center"/>
              <w:rPr>
                <w:noProof/>
                <w:sz w:val="18"/>
              </w:rPr>
            </w:pPr>
            <w:r>
              <w:rPr>
                <w:noProof/>
                <w:sz w:val="18"/>
              </w:rPr>
              <w:t>tretích krajín</w:t>
            </w:r>
          </w:p>
        </w:tc>
        <w:tc>
          <w:tcPr>
            <w:tcW w:w="1448" w:type="dxa"/>
            <w:vAlign w:val="center"/>
          </w:tcPr>
          <w:p>
            <w:pPr>
              <w:jc w:val="center"/>
              <w:rPr>
                <w:noProof/>
              </w:rPr>
            </w:pPr>
            <w:r>
              <w:rPr>
                <w:noProof/>
                <w:sz w:val="16"/>
              </w:rPr>
              <w:t xml:space="preserve">v zmysle článku 21 ods. 2 písm. b) nariadenia o rozpočtových pravidlách </w:t>
            </w:r>
          </w:p>
        </w:tc>
      </w:tr>
      <w:tr>
        <w:tc>
          <w:tcPr>
            <w:tcW w:w="1080" w:type="dxa"/>
            <w:vAlign w:val="center"/>
          </w:tcPr>
          <w:p>
            <w:pPr>
              <w:jc w:val="center"/>
              <w:rPr>
                <w:noProof/>
                <w:color w:val="0000FF"/>
              </w:rPr>
            </w:pPr>
            <w:r>
              <w:rPr>
                <w:noProof/>
                <w:color w:val="0000FF"/>
              </w:rPr>
              <w:t>Všetky</w:t>
            </w:r>
          </w:p>
        </w:tc>
        <w:tc>
          <w:tcPr>
            <w:tcW w:w="3960" w:type="dxa"/>
            <w:vAlign w:val="center"/>
          </w:tcPr>
          <w:p>
            <w:pPr>
              <w:spacing w:before="60"/>
              <w:rPr>
                <w:noProof/>
                <w:sz w:val="22"/>
              </w:rPr>
            </w:pPr>
          </w:p>
          <w:p>
            <w:pPr>
              <w:spacing w:before="60"/>
              <w:rPr>
                <w:noProof/>
              </w:rPr>
            </w:pPr>
            <w:r>
              <w:rPr>
                <w:noProof/>
                <w:sz w:val="22"/>
              </w:rPr>
              <w:t>Všetky programy viacročného finančného rámca</w:t>
            </w:r>
          </w:p>
          <w:p>
            <w:pPr>
              <w:spacing w:after="60"/>
              <w:rPr>
                <w:noProof/>
              </w:rPr>
            </w:pPr>
          </w:p>
        </w:tc>
        <w:tc>
          <w:tcPr>
            <w:tcW w:w="1080" w:type="dxa"/>
            <w:vAlign w:val="center"/>
          </w:tcPr>
          <w:p>
            <w:pPr>
              <w:jc w:val="center"/>
              <w:rPr>
                <w:noProof/>
                <w:color w:val="0000FF"/>
              </w:rPr>
            </w:pPr>
            <w:r>
              <w:rPr>
                <w:noProof/>
                <w:sz w:val="22"/>
              </w:rPr>
              <w:t>DRP/NRP</w:t>
            </w:r>
          </w:p>
        </w:tc>
        <w:tc>
          <w:tcPr>
            <w:tcW w:w="956" w:type="dxa"/>
            <w:vAlign w:val="center"/>
          </w:tcPr>
          <w:p>
            <w:pPr>
              <w:jc w:val="center"/>
              <w:rPr>
                <w:noProof/>
                <w:sz w:val="20"/>
                <w:szCs w:val="20"/>
              </w:rPr>
            </w:pPr>
          </w:p>
        </w:tc>
        <w:tc>
          <w:tcPr>
            <w:tcW w:w="1080" w:type="dxa"/>
            <w:vAlign w:val="center"/>
          </w:tcPr>
          <w:p>
            <w:pPr>
              <w:jc w:val="center"/>
              <w:rPr>
                <w:noProof/>
                <w:sz w:val="20"/>
                <w:szCs w:val="20"/>
              </w:rPr>
            </w:pPr>
          </w:p>
        </w:tc>
        <w:tc>
          <w:tcPr>
            <w:tcW w:w="956" w:type="dxa"/>
            <w:vAlign w:val="center"/>
          </w:tcPr>
          <w:p>
            <w:pPr>
              <w:jc w:val="center"/>
              <w:rPr>
                <w:noProof/>
                <w:sz w:val="20"/>
                <w:szCs w:val="20"/>
              </w:rPr>
            </w:pPr>
          </w:p>
        </w:tc>
        <w:tc>
          <w:tcPr>
            <w:tcW w:w="1448" w:type="dxa"/>
            <w:vAlign w:val="center"/>
          </w:tcPr>
          <w:p>
            <w:pPr>
              <w:rPr>
                <w:noProof/>
                <w:sz w:val="20"/>
                <w:szCs w:val="20"/>
              </w:rPr>
            </w:pPr>
          </w:p>
        </w:tc>
      </w:tr>
    </w:tbl>
    <w:p>
      <w:pPr>
        <w:pStyle w:val="ManualHeading2"/>
        <w:rPr>
          <w:noProof/>
        </w:rPr>
      </w:pPr>
      <w:bookmarkStart w:id="41" w:name="_Toc514938052"/>
      <w:bookmarkStart w:id="42" w:name="_Toc520485051"/>
      <w:r>
        <w:t>3.2.</w:t>
      </w:r>
      <w:r>
        <w:tab/>
      </w:r>
      <w:r>
        <w:rPr>
          <w:noProof/>
        </w:rPr>
        <w:t>Odhadovaný finančný vplyv návrhu na rozpočtové prostriedky</w:t>
      </w:r>
      <w:bookmarkEnd w:id="41"/>
      <w:bookmarkEnd w:id="42"/>
    </w:p>
    <w:p>
      <w:pPr>
        <w:pStyle w:val="ManualHeading3"/>
        <w:rPr>
          <w:noProof/>
        </w:rPr>
      </w:pPr>
      <w:bookmarkStart w:id="43" w:name="_Toc514938053"/>
      <w:bookmarkStart w:id="44" w:name="_Toc520485052"/>
      <w:r>
        <w:t>3.2.1.</w:t>
      </w:r>
      <w:r>
        <w:tab/>
      </w:r>
      <w:r>
        <w:rPr>
          <w:noProof/>
        </w:rPr>
        <w:t>Zhrnutie odhadovaného vplyvu na operačné rozpočtové prostriedky</w:t>
      </w:r>
      <w:bookmarkEnd w:id="43"/>
      <w:bookmarkEnd w:id="44"/>
    </w:p>
    <w:p>
      <w:pPr>
        <w:pStyle w:val="ListDash1"/>
        <w:rPr>
          <w:b/>
          <w:noProof/>
        </w:rPr>
      </w:pPr>
      <w:r>
        <w:rPr>
          <w:b/>
          <w:noProof/>
        </w:rPr>
        <w:t>X</w:t>
      </w:r>
      <w:r>
        <w:rPr>
          <w:noProof/>
        </w:rPr>
        <w:tab/>
      </w:r>
      <w:r>
        <w:rPr>
          <w:b/>
          <w:noProof/>
        </w:rPr>
        <w:t>Toto nariadenie nemá žiaden finančný vplyv.</w:t>
      </w:r>
    </w:p>
    <w:p>
      <w:pPr>
        <w:pStyle w:val="ListDash1"/>
        <w:rPr>
          <w:noProof/>
        </w:rPr>
      </w:pPr>
      <w:r>
        <w:rPr>
          <w:noProof/>
        </w:rPr>
        <w:sym w:font="Wingdings" w:char="F0A8"/>
      </w:r>
      <w:r>
        <w:rPr>
          <w:noProof/>
        </w:rPr>
        <w:tab/>
        <w:t>Návrh/iniciatíva si vyžaduje použitie operačných rozpočtových prostriedkov, ako je uvedené v nasledujúcej tabuľke:</w:t>
      </w:r>
    </w:p>
    <w:p>
      <w:pPr>
        <w:rPr>
          <w:noProof/>
        </w:rPr>
      </w:pPr>
    </w:p>
    <w:p>
      <w:pPr>
        <w:rPr>
          <w:noProof/>
        </w:rPr>
      </w:pPr>
    </w:p>
    <w:p>
      <w:pPr>
        <w:rPr>
          <w:noProof/>
        </w:rPr>
      </w:pPr>
    </w:p>
    <w:p>
      <w:pPr>
        <w:rPr>
          <w:noProof/>
        </w:rPr>
      </w:pPr>
    </w:p>
    <w:p>
      <w:pPr>
        <w:jc w:val="right"/>
        <w:rPr>
          <w:noProof/>
          <w:sz w:val="18"/>
          <w:szCs w:val="18"/>
        </w:rPr>
      </w:pPr>
      <w:r>
        <w:rPr>
          <w:noProof/>
          <w:sz w:val="18"/>
        </w:rPr>
        <w:t xml:space="preserve">EUR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Okruh viacročného finančného </w:t>
            </w:r>
            <w:r>
              <w:rPr>
                <w:noProof/>
                <w:sz w:val="22"/>
              </w:rPr>
              <w:br/>
            </w:r>
            <w:r>
              <w:rPr>
                <w:b/>
                <w:noProof/>
                <w:sz w:val="22"/>
              </w:rPr>
              <w:t xml:space="preserve">rámca </w:t>
            </w:r>
          </w:p>
        </w:tc>
        <w:tc>
          <w:tcPr>
            <w:tcW w:w="1080" w:type="dxa"/>
            <w:vAlign w:val="center"/>
          </w:tcPr>
          <w:p>
            <w:pPr>
              <w:spacing w:before="60" w:after="60"/>
              <w:jc w:val="center"/>
              <w:rPr>
                <w:noProof/>
              </w:rPr>
            </w:pPr>
            <w:r>
              <w:rPr>
                <w:noProof/>
                <w:sz w:val="22"/>
              </w:rPr>
              <w:t>13</w:t>
            </w:r>
          </w:p>
        </w:tc>
        <w:tc>
          <w:tcPr>
            <w:tcW w:w="7817" w:type="dxa"/>
            <w:vAlign w:val="center"/>
          </w:tcPr>
          <w:p>
            <w:pPr>
              <w:spacing w:before="60" w:after="60"/>
              <w:rPr>
                <w:noProof/>
              </w:rPr>
            </w:pPr>
          </w:p>
        </w:tc>
      </w:tr>
    </w:tbl>
    <w:p>
      <w:pPr>
        <w:rPr>
          <w:noProof/>
          <w:sz w:val="16"/>
        </w:rPr>
      </w:pPr>
    </w:p>
    <w:tbl>
      <w:tblPr>
        <w:tblW w:w="15952"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1252"/>
        <w:gridCol w:w="1116"/>
        <w:gridCol w:w="1010"/>
        <w:gridCol w:w="1134"/>
        <w:gridCol w:w="1418"/>
        <w:gridCol w:w="1559"/>
        <w:gridCol w:w="2409"/>
      </w:tblGrid>
      <w:tr>
        <w:trPr>
          <w:trHeight w:val="1068"/>
        </w:trPr>
        <w:tc>
          <w:tcPr>
            <w:tcW w:w="3960" w:type="dxa"/>
            <w:vAlign w:val="center"/>
          </w:tcPr>
          <w:p>
            <w:pPr>
              <w:rPr>
                <w:noProof/>
              </w:rPr>
            </w:pPr>
          </w:p>
        </w:tc>
        <w:tc>
          <w:tcPr>
            <w:tcW w:w="1560" w:type="dxa"/>
            <w:gridSpan w:val="2"/>
          </w:tcPr>
          <w:p>
            <w:pPr>
              <w:rPr>
                <w:noProof/>
                <w:sz w:val="20"/>
              </w:rPr>
            </w:pPr>
          </w:p>
        </w:tc>
        <w:tc>
          <w:tcPr>
            <w:tcW w:w="534" w:type="dxa"/>
          </w:tcPr>
          <w:p>
            <w:pPr>
              <w:jc w:val="center"/>
              <w:rPr>
                <w:noProof/>
                <w:sz w:val="20"/>
              </w:rPr>
            </w:pPr>
          </w:p>
        </w:tc>
        <w:tc>
          <w:tcPr>
            <w:tcW w:w="1252" w:type="dxa"/>
            <w:vAlign w:val="center"/>
          </w:tcPr>
          <w:p>
            <w:pPr>
              <w:jc w:val="center"/>
              <w:rPr>
                <w:noProof/>
                <w:sz w:val="20"/>
              </w:rPr>
            </w:pPr>
            <w:r>
              <w:rPr>
                <w:noProof/>
                <w:sz w:val="20"/>
              </w:rPr>
              <w:t>2019</w:t>
            </w:r>
          </w:p>
        </w:tc>
        <w:tc>
          <w:tcPr>
            <w:tcW w:w="1116" w:type="dxa"/>
            <w:vAlign w:val="center"/>
          </w:tcPr>
          <w:p>
            <w:pPr>
              <w:jc w:val="center"/>
              <w:rPr>
                <w:noProof/>
                <w:sz w:val="20"/>
              </w:rPr>
            </w:pPr>
            <w:r>
              <w:rPr>
                <w:noProof/>
                <w:sz w:val="20"/>
              </w:rPr>
              <w:t>2020</w:t>
            </w:r>
          </w:p>
        </w:tc>
        <w:tc>
          <w:tcPr>
            <w:tcW w:w="1010" w:type="dxa"/>
            <w:vAlign w:val="center"/>
          </w:tcPr>
          <w:p>
            <w:pPr>
              <w:jc w:val="center"/>
              <w:rPr>
                <w:noProof/>
                <w:sz w:val="20"/>
              </w:rPr>
            </w:pPr>
            <w:r>
              <w:rPr>
                <w:noProof/>
                <w:sz w:val="20"/>
              </w:rPr>
              <w:t>2021</w:t>
            </w:r>
          </w:p>
        </w:tc>
        <w:tc>
          <w:tcPr>
            <w:tcW w:w="1134" w:type="dxa"/>
            <w:vAlign w:val="center"/>
          </w:tcPr>
          <w:p>
            <w:pPr>
              <w:jc w:val="center"/>
              <w:rPr>
                <w:noProof/>
                <w:sz w:val="20"/>
              </w:rPr>
            </w:pPr>
            <w:r>
              <w:rPr>
                <w:noProof/>
                <w:sz w:val="20"/>
              </w:rPr>
              <w:t>2022</w:t>
            </w:r>
          </w:p>
        </w:tc>
        <w:tc>
          <w:tcPr>
            <w:tcW w:w="1418" w:type="dxa"/>
          </w:tcPr>
          <w:p>
            <w:pPr>
              <w:rPr>
                <w:noProof/>
                <w:sz w:val="20"/>
              </w:rPr>
            </w:pPr>
          </w:p>
          <w:p>
            <w:pPr>
              <w:jc w:val="center"/>
              <w:rPr>
                <w:noProof/>
                <w:sz w:val="20"/>
              </w:rPr>
            </w:pPr>
            <w:r>
              <w:rPr>
                <w:noProof/>
                <w:sz w:val="20"/>
              </w:rPr>
              <w:t>2023</w:t>
            </w:r>
          </w:p>
        </w:tc>
        <w:tc>
          <w:tcPr>
            <w:tcW w:w="1559" w:type="dxa"/>
          </w:tcPr>
          <w:p>
            <w:pPr>
              <w:jc w:val="center"/>
              <w:rPr>
                <w:noProof/>
                <w:sz w:val="20"/>
              </w:rPr>
            </w:pPr>
          </w:p>
          <w:p>
            <w:pPr>
              <w:jc w:val="center"/>
              <w:rPr>
                <w:noProof/>
                <w:sz w:val="20"/>
              </w:rPr>
            </w:pPr>
            <w:r>
              <w:rPr>
                <w:noProof/>
                <w:sz w:val="20"/>
              </w:rPr>
              <w:t>Nasledujúce roky</w:t>
            </w:r>
          </w:p>
        </w:tc>
        <w:tc>
          <w:tcPr>
            <w:tcW w:w="2409" w:type="dxa"/>
            <w:vAlign w:val="center"/>
          </w:tcPr>
          <w:p>
            <w:pPr>
              <w:jc w:val="center"/>
              <w:rPr>
                <w:b/>
                <w:noProof/>
                <w:sz w:val="20"/>
              </w:rPr>
            </w:pPr>
            <w:r>
              <w:rPr>
                <w:b/>
                <w:noProof/>
                <w:sz w:val="20"/>
              </w:rPr>
              <w:t>SPOLU</w:t>
            </w:r>
          </w:p>
        </w:tc>
      </w:tr>
      <w:tr>
        <w:trPr>
          <w:trHeight w:val="213"/>
        </w:trPr>
        <w:tc>
          <w:tcPr>
            <w:tcW w:w="6054" w:type="dxa"/>
            <w:gridSpan w:val="4"/>
            <w:vAlign w:val="center"/>
          </w:tcPr>
          <w:p>
            <w:pPr>
              <w:spacing w:before="20" w:after="20"/>
              <w:rPr>
                <w:b/>
                <w:noProof/>
                <w:szCs w:val="24"/>
              </w:rPr>
            </w:pPr>
            <w:r>
              <w:rPr>
                <w:noProof/>
                <w:sz w:val="21"/>
              </w:rPr>
              <w:sym w:font="Wingdings" w:char="F09F"/>
            </w:r>
            <w:r>
              <w:rPr>
                <w:noProof/>
                <w:sz w:val="21"/>
              </w:rPr>
              <w:t xml:space="preserve"> </w:t>
            </w:r>
            <w:r>
              <w:rPr>
                <w:b/>
                <w:noProof/>
              </w:rPr>
              <w:t>Zrušenie prevádzkových rozpočtových prostriedkov</w:t>
            </w:r>
          </w:p>
        </w:tc>
        <w:tc>
          <w:tcPr>
            <w:tcW w:w="1252" w:type="dxa"/>
            <w:vAlign w:val="center"/>
          </w:tcPr>
          <w:p>
            <w:pPr>
              <w:rPr>
                <w:noProof/>
                <w:sz w:val="20"/>
              </w:rPr>
            </w:pPr>
          </w:p>
        </w:tc>
        <w:tc>
          <w:tcPr>
            <w:tcW w:w="1116" w:type="dxa"/>
            <w:vAlign w:val="center"/>
          </w:tcPr>
          <w:p>
            <w:pPr>
              <w:rPr>
                <w:noProof/>
                <w:sz w:val="20"/>
              </w:rPr>
            </w:pPr>
          </w:p>
        </w:tc>
        <w:tc>
          <w:tcPr>
            <w:tcW w:w="1010" w:type="dxa"/>
            <w:vAlign w:val="center"/>
          </w:tcPr>
          <w:p>
            <w:pPr>
              <w:rPr>
                <w:noProof/>
                <w:sz w:val="20"/>
              </w:rPr>
            </w:pPr>
          </w:p>
        </w:tc>
        <w:tc>
          <w:tcPr>
            <w:tcW w:w="1134" w:type="dxa"/>
            <w:vAlign w:val="center"/>
          </w:tcPr>
          <w:p>
            <w:pPr>
              <w:rPr>
                <w:noProof/>
                <w:sz w:val="20"/>
              </w:rPr>
            </w:pPr>
          </w:p>
        </w:tc>
        <w:tc>
          <w:tcPr>
            <w:tcW w:w="1418" w:type="dxa"/>
          </w:tcPr>
          <w:p>
            <w:pPr>
              <w:rPr>
                <w:b/>
                <w:noProof/>
                <w:sz w:val="20"/>
              </w:rPr>
            </w:pPr>
          </w:p>
        </w:tc>
        <w:tc>
          <w:tcPr>
            <w:tcW w:w="1559" w:type="dxa"/>
          </w:tcPr>
          <w:p>
            <w:pPr>
              <w:rPr>
                <w:b/>
                <w:noProof/>
                <w:sz w:val="20"/>
              </w:rPr>
            </w:pPr>
          </w:p>
        </w:tc>
        <w:tc>
          <w:tcPr>
            <w:tcW w:w="2409" w:type="dxa"/>
            <w:vAlign w:val="center"/>
          </w:tcPr>
          <w:p>
            <w:pPr>
              <w:rPr>
                <w:b/>
                <w:noProof/>
                <w:sz w:val="20"/>
              </w:rPr>
            </w:pPr>
          </w:p>
        </w:tc>
      </w:tr>
      <w:tr>
        <w:trPr>
          <w:trHeight w:val="509"/>
        </w:trPr>
        <w:tc>
          <w:tcPr>
            <w:tcW w:w="3960" w:type="dxa"/>
            <w:vMerge w:val="restart"/>
            <w:vAlign w:val="center"/>
          </w:tcPr>
          <w:p>
            <w:pPr>
              <w:rPr>
                <w:noProof/>
                <w:sz w:val="20"/>
              </w:rPr>
            </w:pPr>
          </w:p>
        </w:tc>
        <w:tc>
          <w:tcPr>
            <w:tcW w:w="1440" w:type="dxa"/>
            <w:vAlign w:val="center"/>
          </w:tcPr>
          <w:p>
            <w:pPr>
              <w:spacing w:before="20" w:after="20"/>
              <w:rPr>
                <w:noProof/>
                <w:sz w:val="18"/>
              </w:rPr>
            </w:pPr>
            <w:r>
              <w:rPr>
                <w:noProof/>
                <w:sz w:val="18"/>
              </w:rPr>
              <w:t>Záväzky</w:t>
            </w:r>
          </w:p>
        </w:tc>
        <w:tc>
          <w:tcPr>
            <w:tcW w:w="654" w:type="dxa"/>
            <w:gridSpan w:val="2"/>
            <w:vAlign w:val="center"/>
          </w:tcPr>
          <w:p>
            <w:pPr>
              <w:spacing w:before="20" w:after="20"/>
              <w:jc w:val="center"/>
              <w:rPr>
                <w:noProof/>
                <w:sz w:val="14"/>
              </w:rPr>
            </w:pPr>
            <w:r>
              <w:rPr>
                <w:noProof/>
                <w:sz w:val="14"/>
              </w:rPr>
              <w:t>(1a)</w:t>
            </w:r>
          </w:p>
        </w:tc>
        <w:tc>
          <w:tcPr>
            <w:tcW w:w="1252" w:type="dxa"/>
            <w:vAlign w:val="center"/>
          </w:tcPr>
          <w:p>
            <w:pPr>
              <w:spacing w:before="20" w:after="20"/>
              <w:rPr>
                <w:noProof/>
                <w:sz w:val="18"/>
                <w:szCs w:val="18"/>
              </w:rPr>
            </w:pPr>
          </w:p>
        </w:tc>
        <w:tc>
          <w:tcPr>
            <w:tcW w:w="1116" w:type="dxa"/>
            <w:vAlign w:val="center"/>
          </w:tcPr>
          <w:p>
            <w:pPr>
              <w:spacing w:before="20" w:after="20"/>
              <w:jc w:val="right"/>
              <w:rPr>
                <w:noProof/>
                <w:sz w:val="18"/>
                <w:szCs w:val="18"/>
              </w:rPr>
            </w:pPr>
          </w:p>
        </w:tc>
        <w:tc>
          <w:tcPr>
            <w:tcW w:w="1010"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418" w:type="dxa"/>
          </w:tcPr>
          <w:p>
            <w:pPr>
              <w:spacing w:before="20" w:after="20"/>
              <w:jc w:val="right"/>
              <w:rPr>
                <w:b/>
                <w:noProof/>
                <w:sz w:val="20"/>
              </w:rPr>
            </w:pPr>
          </w:p>
        </w:tc>
        <w:tc>
          <w:tcPr>
            <w:tcW w:w="1559" w:type="dxa"/>
          </w:tcPr>
          <w:p>
            <w:pPr>
              <w:spacing w:before="20" w:after="20"/>
              <w:jc w:val="right"/>
              <w:rPr>
                <w:b/>
                <w:noProof/>
                <w:sz w:val="20"/>
              </w:rPr>
            </w:pPr>
          </w:p>
        </w:tc>
        <w:tc>
          <w:tcPr>
            <w:tcW w:w="2409" w:type="dxa"/>
            <w:vAlign w:val="center"/>
          </w:tcPr>
          <w:p>
            <w:pPr>
              <w:spacing w:before="20" w:after="20"/>
              <w:jc w:val="right"/>
              <w:rPr>
                <w:noProof/>
                <w:sz w:val="18"/>
                <w:szCs w:val="18"/>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Platby</w:t>
            </w:r>
          </w:p>
        </w:tc>
        <w:tc>
          <w:tcPr>
            <w:tcW w:w="654" w:type="dxa"/>
            <w:gridSpan w:val="2"/>
            <w:vAlign w:val="center"/>
          </w:tcPr>
          <w:p>
            <w:pPr>
              <w:spacing w:before="20" w:after="20"/>
              <w:jc w:val="center"/>
              <w:rPr>
                <w:noProof/>
                <w:sz w:val="14"/>
              </w:rPr>
            </w:pPr>
            <w:r>
              <w:rPr>
                <w:noProof/>
                <w:sz w:val="14"/>
              </w:rPr>
              <w:t>(2a)</w:t>
            </w:r>
          </w:p>
        </w:tc>
        <w:tc>
          <w:tcPr>
            <w:tcW w:w="1252" w:type="dxa"/>
            <w:vAlign w:val="center"/>
          </w:tcPr>
          <w:p>
            <w:pPr>
              <w:spacing w:before="20" w:after="20"/>
              <w:jc w:val="right"/>
              <w:rPr>
                <w:noProof/>
                <w:sz w:val="18"/>
                <w:szCs w:val="18"/>
              </w:rPr>
            </w:pPr>
          </w:p>
        </w:tc>
        <w:tc>
          <w:tcPr>
            <w:tcW w:w="1116" w:type="dxa"/>
            <w:vAlign w:val="center"/>
          </w:tcPr>
          <w:p>
            <w:pPr>
              <w:spacing w:before="20" w:after="20"/>
              <w:jc w:val="right"/>
              <w:rPr>
                <w:noProof/>
                <w:sz w:val="18"/>
                <w:szCs w:val="18"/>
              </w:rPr>
            </w:pPr>
          </w:p>
        </w:tc>
        <w:tc>
          <w:tcPr>
            <w:tcW w:w="1010" w:type="dxa"/>
            <w:vAlign w:val="center"/>
          </w:tcPr>
          <w:p>
            <w:pPr>
              <w:spacing w:before="20" w:after="20"/>
              <w:jc w:val="right"/>
              <w:rPr>
                <w:noProof/>
                <w:sz w:val="18"/>
                <w:szCs w:val="18"/>
                <w:highlight w:val="yellow"/>
              </w:rPr>
            </w:pPr>
          </w:p>
        </w:tc>
        <w:tc>
          <w:tcPr>
            <w:tcW w:w="1134" w:type="dxa"/>
            <w:vAlign w:val="center"/>
          </w:tcPr>
          <w:p>
            <w:pPr>
              <w:spacing w:before="20" w:after="20"/>
              <w:jc w:val="right"/>
              <w:rPr>
                <w:noProof/>
                <w:sz w:val="18"/>
                <w:szCs w:val="18"/>
              </w:rPr>
            </w:pPr>
          </w:p>
        </w:tc>
        <w:tc>
          <w:tcPr>
            <w:tcW w:w="1418" w:type="dxa"/>
          </w:tcPr>
          <w:p>
            <w:pPr>
              <w:spacing w:before="20" w:after="20"/>
              <w:jc w:val="right"/>
              <w:rPr>
                <w:noProof/>
                <w:sz w:val="18"/>
                <w:szCs w:val="18"/>
              </w:rPr>
            </w:pPr>
          </w:p>
        </w:tc>
        <w:tc>
          <w:tcPr>
            <w:tcW w:w="1559" w:type="dxa"/>
          </w:tcPr>
          <w:p>
            <w:pPr>
              <w:spacing w:before="20" w:after="20"/>
              <w:jc w:val="right"/>
              <w:rPr>
                <w:noProof/>
                <w:sz w:val="18"/>
                <w:szCs w:val="18"/>
              </w:rPr>
            </w:pPr>
          </w:p>
        </w:tc>
        <w:tc>
          <w:tcPr>
            <w:tcW w:w="2409" w:type="dxa"/>
            <w:vAlign w:val="center"/>
          </w:tcPr>
          <w:p>
            <w:pPr>
              <w:spacing w:before="20" w:after="20"/>
              <w:jc w:val="right"/>
              <w:rPr>
                <w:noProof/>
                <w:sz w:val="18"/>
                <w:szCs w:val="18"/>
              </w:rPr>
            </w:pPr>
          </w:p>
        </w:tc>
      </w:tr>
      <w:tr>
        <w:tc>
          <w:tcPr>
            <w:tcW w:w="3960" w:type="dxa"/>
            <w:vMerge w:val="restart"/>
            <w:vAlign w:val="center"/>
          </w:tcPr>
          <w:p>
            <w:pPr>
              <w:jc w:val="center"/>
              <w:rPr>
                <w:b/>
                <w:noProof/>
              </w:rPr>
            </w:pPr>
            <w:r>
              <w:rPr>
                <w:b/>
                <w:noProof/>
                <w:sz w:val="22"/>
              </w:rPr>
              <w:t>Rozpočtové prostriedky SPOLU</w:t>
            </w:r>
            <w:r>
              <w:rPr>
                <w:noProof/>
                <w:sz w:val="22"/>
              </w:rPr>
              <w:br/>
            </w:r>
          </w:p>
        </w:tc>
        <w:tc>
          <w:tcPr>
            <w:tcW w:w="1440" w:type="dxa"/>
            <w:vAlign w:val="center"/>
          </w:tcPr>
          <w:p>
            <w:pPr>
              <w:rPr>
                <w:noProof/>
                <w:sz w:val="18"/>
              </w:rPr>
            </w:pPr>
            <w:r>
              <w:rPr>
                <w:noProof/>
                <w:sz w:val="18"/>
              </w:rPr>
              <w:t>Záväzky</w:t>
            </w:r>
          </w:p>
        </w:tc>
        <w:tc>
          <w:tcPr>
            <w:tcW w:w="654" w:type="dxa"/>
            <w:gridSpan w:val="2"/>
            <w:vAlign w:val="center"/>
          </w:tcPr>
          <w:p>
            <w:pPr>
              <w:jc w:val="center"/>
              <w:rPr>
                <w:noProof/>
                <w:sz w:val="14"/>
              </w:rPr>
            </w:pPr>
            <w:r>
              <w:rPr>
                <w:noProof/>
                <w:sz w:val="14"/>
              </w:rPr>
              <w:t>= 1a + 1b + 3</w:t>
            </w:r>
          </w:p>
        </w:tc>
        <w:tc>
          <w:tcPr>
            <w:tcW w:w="1252" w:type="dxa"/>
            <w:vAlign w:val="center"/>
          </w:tcPr>
          <w:p>
            <w:pPr>
              <w:spacing w:before="20" w:after="20"/>
              <w:jc w:val="right"/>
              <w:rPr>
                <w:noProof/>
                <w:sz w:val="18"/>
                <w:szCs w:val="18"/>
              </w:rPr>
            </w:pPr>
          </w:p>
        </w:tc>
        <w:tc>
          <w:tcPr>
            <w:tcW w:w="1116" w:type="dxa"/>
            <w:vAlign w:val="center"/>
          </w:tcPr>
          <w:p>
            <w:pPr>
              <w:spacing w:before="20" w:after="20"/>
              <w:jc w:val="right"/>
              <w:rPr>
                <w:noProof/>
                <w:sz w:val="18"/>
                <w:szCs w:val="18"/>
              </w:rPr>
            </w:pPr>
          </w:p>
        </w:tc>
        <w:tc>
          <w:tcPr>
            <w:tcW w:w="1010" w:type="dxa"/>
            <w:vAlign w:val="center"/>
          </w:tcPr>
          <w:p>
            <w:pPr>
              <w:spacing w:before="20" w:after="20"/>
              <w:jc w:val="right"/>
              <w:rPr>
                <w:noProof/>
                <w:sz w:val="18"/>
                <w:szCs w:val="18"/>
              </w:rPr>
            </w:pPr>
          </w:p>
        </w:tc>
        <w:tc>
          <w:tcPr>
            <w:tcW w:w="1134" w:type="dxa"/>
            <w:vAlign w:val="center"/>
          </w:tcPr>
          <w:p>
            <w:pPr>
              <w:spacing w:before="20" w:after="20"/>
              <w:jc w:val="right"/>
              <w:rPr>
                <w:noProof/>
                <w:sz w:val="18"/>
                <w:szCs w:val="18"/>
              </w:rPr>
            </w:pPr>
          </w:p>
        </w:tc>
        <w:tc>
          <w:tcPr>
            <w:tcW w:w="1418" w:type="dxa"/>
          </w:tcPr>
          <w:p>
            <w:pPr>
              <w:spacing w:before="20" w:after="20"/>
              <w:jc w:val="right"/>
              <w:rPr>
                <w:b/>
                <w:noProof/>
                <w:sz w:val="18"/>
                <w:szCs w:val="18"/>
              </w:rPr>
            </w:pPr>
          </w:p>
        </w:tc>
        <w:tc>
          <w:tcPr>
            <w:tcW w:w="1559" w:type="dxa"/>
          </w:tcPr>
          <w:p>
            <w:pPr>
              <w:spacing w:before="20" w:after="20"/>
              <w:jc w:val="right"/>
              <w:rPr>
                <w:b/>
                <w:noProof/>
                <w:sz w:val="18"/>
                <w:szCs w:val="18"/>
              </w:rPr>
            </w:pPr>
          </w:p>
        </w:tc>
        <w:tc>
          <w:tcPr>
            <w:tcW w:w="2409" w:type="dxa"/>
            <w:vAlign w:val="center"/>
          </w:tcPr>
          <w:p>
            <w:pPr>
              <w:spacing w:before="20" w:after="20"/>
              <w:jc w:val="right"/>
              <w:rPr>
                <w:b/>
                <w:noProof/>
                <w:sz w:val="18"/>
                <w:szCs w:val="18"/>
              </w:rPr>
            </w:pPr>
          </w:p>
        </w:tc>
      </w:tr>
      <w:tr>
        <w:tc>
          <w:tcPr>
            <w:tcW w:w="3960" w:type="dxa"/>
            <w:vMerge/>
          </w:tcPr>
          <w:p>
            <w:pPr>
              <w:rPr>
                <w:noProof/>
                <w:sz w:val="20"/>
              </w:rPr>
            </w:pPr>
          </w:p>
        </w:tc>
        <w:tc>
          <w:tcPr>
            <w:tcW w:w="1440" w:type="dxa"/>
            <w:vAlign w:val="center"/>
          </w:tcPr>
          <w:p>
            <w:pPr>
              <w:rPr>
                <w:noProof/>
                <w:sz w:val="18"/>
              </w:rPr>
            </w:pPr>
            <w:r>
              <w:rPr>
                <w:noProof/>
                <w:sz w:val="18"/>
              </w:rPr>
              <w:t>Platby</w:t>
            </w:r>
          </w:p>
        </w:tc>
        <w:tc>
          <w:tcPr>
            <w:tcW w:w="654" w:type="dxa"/>
            <w:gridSpan w:val="2"/>
            <w:vAlign w:val="center"/>
          </w:tcPr>
          <w:p>
            <w:pPr>
              <w:jc w:val="center"/>
              <w:rPr>
                <w:noProof/>
                <w:sz w:val="14"/>
              </w:rPr>
            </w:pPr>
            <w:r>
              <w:rPr>
                <w:noProof/>
                <w:sz w:val="14"/>
              </w:rPr>
              <w:t>= 2a + 2b</w:t>
            </w:r>
          </w:p>
          <w:p>
            <w:pPr>
              <w:jc w:val="center"/>
              <w:rPr>
                <w:noProof/>
                <w:sz w:val="14"/>
              </w:rPr>
            </w:pPr>
            <w:r>
              <w:rPr>
                <w:noProof/>
                <w:sz w:val="14"/>
              </w:rPr>
              <w:t>+3</w:t>
            </w:r>
          </w:p>
        </w:tc>
        <w:tc>
          <w:tcPr>
            <w:tcW w:w="1252" w:type="dxa"/>
            <w:vAlign w:val="center"/>
          </w:tcPr>
          <w:p>
            <w:pPr>
              <w:spacing w:before="20" w:after="20"/>
              <w:jc w:val="right"/>
              <w:rPr>
                <w:noProof/>
                <w:sz w:val="18"/>
                <w:szCs w:val="18"/>
              </w:rPr>
            </w:pPr>
          </w:p>
        </w:tc>
        <w:tc>
          <w:tcPr>
            <w:tcW w:w="1116" w:type="dxa"/>
            <w:vAlign w:val="center"/>
          </w:tcPr>
          <w:p>
            <w:pPr>
              <w:spacing w:before="20" w:after="20"/>
              <w:jc w:val="right"/>
              <w:rPr>
                <w:noProof/>
                <w:sz w:val="18"/>
                <w:szCs w:val="18"/>
              </w:rPr>
            </w:pPr>
          </w:p>
        </w:tc>
        <w:tc>
          <w:tcPr>
            <w:tcW w:w="1010" w:type="dxa"/>
            <w:vAlign w:val="center"/>
          </w:tcPr>
          <w:p>
            <w:pPr>
              <w:spacing w:before="20" w:after="20"/>
              <w:jc w:val="right"/>
              <w:rPr>
                <w:noProof/>
                <w:sz w:val="18"/>
                <w:szCs w:val="18"/>
              </w:rPr>
            </w:pPr>
          </w:p>
        </w:tc>
        <w:tc>
          <w:tcPr>
            <w:tcW w:w="1134" w:type="dxa"/>
            <w:vAlign w:val="center"/>
          </w:tcPr>
          <w:p>
            <w:pPr>
              <w:spacing w:before="20" w:after="20"/>
              <w:jc w:val="right"/>
              <w:rPr>
                <w:noProof/>
                <w:sz w:val="18"/>
                <w:szCs w:val="18"/>
              </w:rPr>
            </w:pPr>
          </w:p>
        </w:tc>
        <w:tc>
          <w:tcPr>
            <w:tcW w:w="1418" w:type="dxa"/>
          </w:tcPr>
          <w:p>
            <w:pPr>
              <w:spacing w:before="20" w:after="20"/>
              <w:jc w:val="right"/>
              <w:rPr>
                <w:b/>
                <w:noProof/>
                <w:sz w:val="18"/>
                <w:szCs w:val="18"/>
              </w:rPr>
            </w:pPr>
          </w:p>
        </w:tc>
        <w:tc>
          <w:tcPr>
            <w:tcW w:w="1559" w:type="dxa"/>
          </w:tcPr>
          <w:p>
            <w:pPr>
              <w:spacing w:before="20" w:after="20"/>
              <w:jc w:val="right"/>
              <w:rPr>
                <w:b/>
                <w:noProof/>
                <w:sz w:val="18"/>
                <w:szCs w:val="18"/>
              </w:rPr>
            </w:pPr>
          </w:p>
        </w:tc>
        <w:tc>
          <w:tcPr>
            <w:tcW w:w="2409" w:type="dxa"/>
            <w:vAlign w:val="center"/>
          </w:tcPr>
          <w:p>
            <w:pPr>
              <w:spacing w:before="20" w:after="20"/>
              <w:jc w:val="right"/>
              <w:rPr>
                <w:b/>
                <w:noProof/>
                <w:sz w:val="18"/>
                <w:szCs w:val="18"/>
              </w:rPr>
            </w:pPr>
          </w:p>
        </w:tc>
      </w:tr>
    </w:tbl>
    <w:p>
      <w:pPr>
        <w:rPr>
          <w:noProof/>
        </w:rPr>
      </w:pPr>
      <w:r>
        <w:rPr>
          <w:noProof/>
        </w:rPr>
        <w:br/>
      </w:r>
    </w:p>
    <w:tbl>
      <w:tblPr>
        <w:tblW w:w="143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252"/>
        <w:gridCol w:w="1116"/>
        <w:gridCol w:w="1152"/>
        <w:gridCol w:w="1134"/>
        <w:gridCol w:w="1134"/>
        <w:gridCol w:w="1134"/>
        <w:gridCol w:w="1418"/>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Operačné rozpočtové prostriedky SPOLU </w:t>
            </w:r>
          </w:p>
        </w:tc>
        <w:tc>
          <w:tcPr>
            <w:tcW w:w="1440" w:type="dxa"/>
            <w:vAlign w:val="center"/>
          </w:tcPr>
          <w:p>
            <w:pPr>
              <w:spacing w:beforeLines="20" w:before="48" w:afterLines="20" w:after="48"/>
              <w:rPr>
                <w:noProof/>
                <w:sz w:val="18"/>
              </w:rPr>
            </w:pPr>
            <w:r>
              <w:rPr>
                <w:noProof/>
                <w:sz w:val="18"/>
              </w:rPr>
              <w:t>Záväzky</w:t>
            </w:r>
          </w:p>
        </w:tc>
        <w:tc>
          <w:tcPr>
            <w:tcW w:w="654" w:type="dxa"/>
            <w:vAlign w:val="center"/>
          </w:tcPr>
          <w:p>
            <w:pPr>
              <w:spacing w:beforeLines="20" w:before="48" w:afterLines="20" w:after="48"/>
              <w:jc w:val="center"/>
              <w:rPr>
                <w:noProof/>
                <w:sz w:val="14"/>
              </w:rPr>
            </w:pPr>
            <w:r>
              <w:rPr>
                <w:noProof/>
                <w:sz w:val="14"/>
              </w:rPr>
              <w:t>(4)</w:t>
            </w:r>
          </w:p>
        </w:tc>
        <w:tc>
          <w:tcPr>
            <w:tcW w:w="1252" w:type="dxa"/>
            <w:vAlign w:val="center"/>
          </w:tcPr>
          <w:p>
            <w:pPr>
              <w:spacing w:before="20" w:after="20"/>
              <w:jc w:val="right"/>
              <w:rPr>
                <w:noProof/>
                <w:sz w:val="20"/>
              </w:rPr>
            </w:pPr>
          </w:p>
        </w:tc>
        <w:tc>
          <w:tcPr>
            <w:tcW w:w="1116" w:type="dxa"/>
            <w:vAlign w:val="center"/>
          </w:tcPr>
          <w:p>
            <w:pPr>
              <w:spacing w:before="20" w:after="20"/>
              <w:jc w:val="right"/>
              <w:rPr>
                <w:noProof/>
                <w:sz w:val="20"/>
              </w:rPr>
            </w:pPr>
          </w:p>
        </w:tc>
        <w:tc>
          <w:tcPr>
            <w:tcW w:w="1152"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418"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Platby</w:t>
            </w:r>
          </w:p>
        </w:tc>
        <w:tc>
          <w:tcPr>
            <w:tcW w:w="654" w:type="dxa"/>
            <w:vAlign w:val="center"/>
          </w:tcPr>
          <w:p>
            <w:pPr>
              <w:spacing w:beforeLines="20" w:before="48" w:afterLines="20" w:after="48"/>
              <w:jc w:val="center"/>
              <w:rPr>
                <w:noProof/>
                <w:sz w:val="14"/>
              </w:rPr>
            </w:pPr>
            <w:r>
              <w:rPr>
                <w:noProof/>
                <w:sz w:val="14"/>
              </w:rPr>
              <w:t>(5)</w:t>
            </w:r>
          </w:p>
        </w:tc>
        <w:tc>
          <w:tcPr>
            <w:tcW w:w="1252" w:type="dxa"/>
            <w:vAlign w:val="center"/>
          </w:tcPr>
          <w:p>
            <w:pPr>
              <w:spacing w:before="20" w:after="20"/>
              <w:jc w:val="right"/>
              <w:rPr>
                <w:noProof/>
                <w:sz w:val="20"/>
              </w:rPr>
            </w:pPr>
          </w:p>
        </w:tc>
        <w:tc>
          <w:tcPr>
            <w:tcW w:w="1116" w:type="dxa"/>
            <w:vAlign w:val="center"/>
          </w:tcPr>
          <w:p>
            <w:pPr>
              <w:spacing w:before="20" w:after="20"/>
              <w:jc w:val="right"/>
              <w:rPr>
                <w:noProof/>
                <w:sz w:val="20"/>
              </w:rPr>
            </w:pPr>
          </w:p>
        </w:tc>
        <w:tc>
          <w:tcPr>
            <w:tcW w:w="1152"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418"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Administratívne rozpočtové prostriedky financované z finančného krytia na vykonávanie osobitných programov SPOLU </w:t>
            </w:r>
          </w:p>
        </w:tc>
        <w:tc>
          <w:tcPr>
            <w:tcW w:w="654" w:type="dxa"/>
            <w:vAlign w:val="center"/>
          </w:tcPr>
          <w:p>
            <w:pPr>
              <w:spacing w:beforeLines="20" w:before="48" w:afterLines="20" w:after="48"/>
              <w:jc w:val="center"/>
              <w:rPr>
                <w:noProof/>
                <w:sz w:val="14"/>
              </w:rPr>
            </w:pPr>
            <w:r>
              <w:rPr>
                <w:noProof/>
                <w:sz w:val="14"/>
              </w:rPr>
              <w:t>(6)</w:t>
            </w:r>
          </w:p>
        </w:tc>
        <w:tc>
          <w:tcPr>
            <w:tcW w:w="1252" w:type="dxa"/>
            <w:vAlign w:val="center"/>
          </w:tcPr>
          <w:p>
            <w:pPr>
              <w:spacing w:before="20" w:after="20"/>
              <w:jc w:val="right"/>
              <w:rPr>
                <w:b/>
                <w:noProof/>
                <w:sz w:val="20"/>
              </w:rPr>
            </w:pPr>
          </w:p>
        </w:tc>
        <w:tc>
          <w:tcPr>
            <w:tcW w:w="1116" w:type="dxa"/>
            <w:vAlign w:val="center"/>
          </w:tcPr>
          <w:p>
            <w:pPr>
              <w:spacing w:before="20" w:after="20"/>
              <w:jc w:val="right"/>
              <w:rPr>
                <w:b/>
                <w:noProof/>
                <w:sz w:val="20"/>
              </w:rPr>
            </w:pPr>
          </w:p>
        </w:tc>
        <w:tc>
          <w:tcPr>
            <w:tcW w:w="1152" w:type="dxa"/>
            <w:vAlign w:val="center"/>
          </w:tcPr>
          <w:p>
            <w:pPr>
              <w:spacing w:before="20" w:after="20"/>
              <w:jc w:val="right"/>
              <w:rPr>
                <w:b/>
                <w:noProof/>
                <w:sz w:val="20"/>
              </w:rPr>
            </w:pPr>
          </w:p>
        </w:tc>
        <w:tc>
          <w:tcPr>
            <w:tcW w:w="1134" w:type="dxa"/>
            <w:vAlign w:val="center"/>
          </w:tcPr>
          <w:p>
            <w:pPr>
              <w:spacing w:before="20" w:after="20"/>
              <w:jc w:val="right"/>
              <w:rPr>
                <w:b/>
                <w:noProof/>
                <w:sz w:val="20"/>
              </w:rPr>
            </w:pPr>
          </w:p>
        </w:tc>
        <w:tc>
          <w:tcPr>
            <w:tcW w:w="1134" w:type="dxa"/>
            <w:vAlign w:val="center"/>
          </w:tcPr>
          <w:p>
            <w:pPr>
              <w:spacing w:before="20" w:after="20"/>
              <w:jc w:val="right"/>
              <w:rPr>
                <w:b/>
                <w:noProof/>
                <w:sz w:val="20"/>
              </w:rPr>
            </w:pPr>
          </w:p>
        </w:tc>
        <w:tc>
          <w:tcPr>
            <w:tcW w:w="1134" w:type="dxa"/>
            <w:vAlign w:val="center"/>
          </w:tcPr>
          <w:p>
            <w:pPr>
              <w:spacing w:before="20" w:after="20"/>
              <w:jc w:val="right"/>
              <w:rPr>
                <w:b/>
                <w:noProof/>
                <w:sz w:val="20"/>
              </w:rPr>
            </w:pPr>
          </w:p>
        </w:tc>
        <w:tc>
          <w:tcPr>
            <w:tcW w:w="1418"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 xml:space="preserve">Rozpočtové prostriedky SPOLU </w:t>
            </w:r>
            <w:r>
              <w:rPr>
                <w:noProof/>
                <w:sz w:val="22"/>
              </w:rPr>
              <w:br/>
            </w:r>
          </w:p>
        </w:tc>
        <w:tc>
          <w:tcPr>
            <w:tcW w:w="1440" w:type="dxa"/>
            <w:vAlign w:val="center"/>
          </w:tcPr>
          <w:p>
            <w:pPr>
              <w:rPr>
                <w:noProof/>
                <w:sz w:val="18"/>
              </w:rPr>
            </w:pPr>
            <w:r>
              <w:rPr>
                <w:noProof/>
                <w:sz w:val="18"/>
              </w:rPr>
              <w:t>Záväzky</w:t>
            </w:r>
          </w:p>
        </w:tc>
        <w:tc>
          <w:tcPr>
            <w:tcW w:w="654" w:type="dxa"/>
            <w:vAlign w:val="center"/>
          </w:tcPr>
          <w:p>
            <w:pPr>
              <w:jc w:val="center"/>
              <w:rPr>
                <w:noProof/>
                <w:sz w:val="14"/>
              </w:rPr>
            </w:pPr>
            <w:r>
              <w:rPr>
                <w:noProof/>
                <w:sz w:val="14"/>
              </w:rPr>
              <w:t>= 4 + 6</w:t>
            </w:r>
          </w:p>
        </w:tc>
        <w:tc>
          <w:tcPr>
            <w:tcW w:w="1252" w:type="dxa"/>
            <w:vAlign w:val="center"/>
          </w:tcPr>
          <w:p>
            <w:pPr>
              <w:spacing w:before="20" w:after="20"/>
              <w:jc w:val="right"/>
              <w:rPr>
                <w:noProof/>
                <w:sz w:val="18"/>
                <w:szCs w:val="18"/>
              </w:rPr>
            </w:pPr>
          </w:p>
        </w:tc>
        <w:tc>
          <w:tcPr>
            <w:tcW w:w="1116" w:type="dxa"/>
            <w:vAlign w:val="center"/>
          </w:tcPr>
          <w:p>
            <w:pPr>
              <w:spacing w:before="20" w:after="20"/>
              <w:jc w:val="right"/>
              <w:rPr>
                <w:noProof/>
                <w:sz w:val="18"/>
                <w:szCs w:val="18"/>
              </w:rPr>
            </w:pPr>
          </w:p>
        </w:tc>
        <w:tc>
          <w:tcPr>
            <w:tcW w:w="1152" w:type="dxa"/>
            <w:vAlign w:val="center"/>
          </w:tcPr>
          <w:p>
            <w:pPr>
              <w:spacing w:before="20" w:after="20"/>
              <w:jc w:val="right"/>
              <w:rPr>
                <w:noProof/>
                <w:sz w:val="18"/>
                <w:szCs w:val="18"/>
              </w:rPr>
            </w:pPr>
          </w:p>
        </w:tc>
        <w:tc>
          <w:tcPr>
            <w:tcW w:w="1134" w:type="dxa"/>
            <w:vAlign w:val="center"/>
          </w:tcPr>
          <w:p>
            <w:pPr>
              <w:spacing w:before="20" w:after="20"/>
              <w:jc w:val="right"/>
              <w:rPr>
                <w:noProof/>
                <w:sz w:val="18"/>
                <w:szCs w:val="18"/>
              </w:rPr>
            </w:pPr>
          </w:p>
        </w:tc>
        <w:tc>
          <w:tcPr>
            <w:tcW w:w="1134" w:type="dxa"/>
          </w:tcPr>
          <w:p>
            <w:pPr>
              <w:spacing w:before="20" w:after="20"/>
              <w:jc w:val="right"/>
              <w:rPr>
                <w:noProof/>
                <w:sz w:val="18"/>
                <w:szCs w:val="18"/>
              </w:rPr>
            </w:pPr>
          </w:p>
        </w:tc>
        <w:tc>
          <w:tcPr>
            <w:tcW w:w="1134" w:type="dxa"/>
          </w:tcPr>
          <w:p>
            <w:pPr>
              <w:spacing w:before="20" w:after="20"/>
              <w:jc w:val="right"/>
              <w:rPr>
                <w:noProof/>
                <w:sz w:val="18"/>
                <w:szCs w:val="18"/>
              </w:rPr>
            </w:pPr>
          </w:p>
        </w:tc>
        <w:tc>
          <w:tcPr>
            <w:tcW w:w="1418" w:type="dxa"/>
            <w:vAlign w:val="center"/>
          </w:tcPr>
          <w:p>
            <w:pPr>
              <w:spacing w:before="20" w:after="20"/>
              <w:jc w:val="right"/>
              <w:rPr>
                <w:b/>
                <w:noProof/>
                <w:sz w:val="18"/>
                <w:szCs w:val="18"/>
              </w:rPr>
            </w:pP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Platby</w:t>
            </w:r>
          </w:p>
        </w:tc>
        <w:tc>
          <w:tcPr>
            <w:tcW w:w="654" w:type="dxa"/>
            <w:vAlign w:val="center"/>
          </w:tcPr>
          <w:p>
            <w:pPr>
              <w:jc w:val="center"/>
              <w:rPr>
                <w:noProof/>
                <w:sz w:val="14"/>
              </w:rPr>
            </w:pPr>
            <w:r>
              <w:rPr>
                <w:noProof/>
                <w:sz w:val="14"/>
              </w:rPr>
              <w:t>= 5 + 6</w:t>
            </w:r>
          </w:p>
        </w:tc>
        <w:tc>
          <w:tcPr>
            <w:tcW w:w="1252" w:type="dxa"/>
            <w:vAlign w:val="center"/>
          </w:tcPr>
          <w:p>
            <w:pPr>
              <w:spacing w:before="20" w:after="20"/>
              <w:jc w:val="right"/>
              <w:rPr>
                <w:noProof/>
                <w:sz w:val="18"/>
                <w:szCs w:val="18"/>
              </w:rPr>
            </w:pPr>
          </w:p>
        </w:tc>
        <w:tc>
          <w:tcPr>
            <w:tcW w:w="1116" w:type="dxa"/>
            <w:vAlign w:val="center"/>
          </w:tcPr>
          <w:p>
            <w:pPr>
              <w:spacing w:before="20" w:after="20"/>
              <w:jc w:val="right"/>
              <w:rPr>
                <w:noProof/>
                <w:sz w:val="18"/>
                <w:szCs w:val="18"/>
              </w:rPr>
            </w:pPr>
          </w:p>
        </w:tc>
        <w:tc>
          <w:tcPr>
            <w:tcW w:w="1152" w:type="dxa"/>
            <w:vAlign w:val="center"/>
          </w:tcPr>
          <w:p>
            <w:pPr>
              <w:spacing w:before="20" w:after="20"/>
              <w:jc w:val="right"/>
              <w:rPr>
                <w:noProof/>
                <w:sz w:val="18"/>
                <w:szCs w:val="18"/>
              </w:rPr>
            </w:pPr>
          </w:p>
        </w:tc>
        <w:tc>
          <w:tcPr>
            <w:tcW w:w="1134" w:type="dxa"/>
            <w:vAlign w:val="center"/>
          </w:tcPr>
          <w:p>
            <w:pPr>
              <w:spacing w:before="20" w:after="20"/>
              <w:jc w:val="right"/>
              <w:rPr>
                <w:noProof/>
                <w:sz w:val="18"/>
                <w:szCs w:val="18"/>
              </w:rPr>
            </w:pPr>
          </w:p>
        </w:tc>
        <w:tc>
          <w:tcPr>
            <w:tcW w:w="1134" w:type="dxa"/>
          </w:tcPr>
          <w:p>
            <w:pPr>
              <w:spacing w:before="20" w:after="20"/>
              <w:jc w:val="right"/>
              <w:rPr>
                <w:noProof/>
                <w:sz w:val="18"/>
                <w:szCs w:val="18"/>
              </w:rPr>
            </w:pPr>
          </w:p>
        </w:tc>
        <w:tc>
          <w:tcPr>
            <w:tcW w:w="1134" w:type="dxa"/>
          </w:tcPr>
          <w:p>
            <w:pPr>
              <w:spacing w:before="20" w:after="20"/>
              <w:jc w:val="right"/>
              <w:rPr>
                <w:noProof/>
                <w:sz w:val="18"/>
                <w:szCs w:val="18"/>
              </w:rPr>
            </w:pPr>
          </w:p>
        </w:tc>
        <w:tc>
          <w:tcPr>
            <w:tcW w:w="1418" w:type="dxa"/>
            <w:vAlign w:val="center"/>
          </w:tcPr>
          <w:p>
            <w:pPr>
              <w:spacing w:before="20" w:after="20"/>
              <w:jc w:val="right"/>
              <w:rPr>
                <w:b/>
                <w:noProof/>
                <w:sz w:val="18"/>
                <w:szCs w:val="18"/>
              </w:rPr>
            </w:pPr>
          </w:p>
        </w:tc>
      </w:tr>
    </w:tbl>
    <w:p>
      <w:pPr>
        <w:spacing w:after="40"/>
        <w:rPr>
          <w:b/>
          <w:noProof/>
          <w:sz w:val="22"/>
          <w:u w:val="single"/>
        </w:rPr>
      </w:pPr>
    </w:p>
    <w:p>
      <w:pPr>
        <w:spacing w:after="40"/>
        <w:rPr>
          <w:b/>
          <w:noProof/>
          <w:sz w:val="22"/>
          <w:u w:val="single"/>
        </w:rPr>
      </w:pPr>
      <w:r>
        <w:rPr>
          <w:b/>
          <w:noProof/>
          <w:sz w:val="22"/>
          <w:u w:val="single"/>
        </w:rPr>
        <w:t>Ak má návrh/iniciatíva vplyv na viaceré operačné okruhy, zopakujte oddiel uvedený vyššie: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 xml:space="preserve"> Operačné rozpočtové prostriedky SPOLU (všetky operačné okruhy)</w:t>
            </w:r>
          </w:p>
        </w:tc>
        <w:tc>
          <w:tcPr>
            <w:tcW w:w="1440" w:type="dxa"/>
            <w:tcBorders>
              <w:top w:val="single" w:sz="4" w:space="0" w:color="auto"/>
            </w:tcBorders>
            <w:vAlign w:val="center"/>
          </w:tcPr>
          <w:p>
            <w:pPr>
              <w:spacing w:beforeLines="20" w:before="48" w:afterLines="20" w:after="48"/>
              <w:rPr>
                <w:noProof/>
                <w:sz w:val="18"/>
              </w:rPr>
            </w:pPr>
            <w:r>
              <w:rPr>
                <w:noProof/>
                <w:sz w:val="18"/>
              </w:rPr>
              <w:t>Záväzky</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b/>
                <w:noProof/>
                <w:sz w:val="20"/>
              </w:rPr>
            </w:pPr>
          </w:p>
        </w:tc>
        <w:tc>
          <w:tcPr>
            <w:tcW w:w="1777"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Platby</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t xml:space="preserve"> Administratívne rozpočtové prostriedky financované z finančného krytia na vykonávanie osobitných programov SPOLU (všetky operačné okruhy)</w:t>
            </w:r>
          </w:p>
        </w:tc>
        <w:tc>
          <w:tcPr>
            <w:tcW w:w="654" w:type="dxa"/>
            <w:vAlign w:val="center"/>
          </w:tcPr>
          <w:p>
            <w:pPr>
              <w:rPr>
                <w:noProof/>
              </w:rPr>
            </w:pPr>
          </w:p>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 xml:space="preserve">Rozpočtové prostriedky </w:t>
            </w:r>
            <w:r>
              <w:rPr>
                <w:noProof/>
                <w:sz w:val="22"/>
              </w:rPr>
              <w:br/>
            </w:r>
            <w:r>
              <w:rPr>
                <w:b/>
                <w:noProof/>
                <w:sz w:val="22"/>
              </w:rPr>
              <w:t>OKRUHOV 1 až 4</w:t>
            </w:r>
            <w:r>
              <w:rPr>
                <w:noProof/>
                <w:sz w:val="22"/>
              </w:rPr>
              <w:br/>
              <w:t>viacročného finančného rámca</w:t>
            </w:r>
            <w:r>
              <w:rPr>
                <w:noProof/>
                <w:sz w:val="22"/>
              </w:rPr>
              <w:br/>
            </w:r>
            <w:r>
              <w:rPr>
                <w:noProof/>
                <w:sz w:val="20"/>
              </w:rPr>
              <w:t>(referenčná suma)</w:t>
            </w:r>
          </w:p>
        </w:tc>
        <w:tc>
          <w:tcPr>
            <w:tcW w:w="1440" w:type="dxa"/>
            <w:vAlign w:val="center"/>
          </w:tcPr>
          <w:p>
            <w:pPr>
              <w:rPr>
                <w:noProof/>
                <w:sz w:val="18"/>
              </w:rPr>
            </w:pPr>
            <w:r>
              <w:rPr>
                <w:noProof/>
                <w:sz w:val="18"/>
              </w:rPr>
              <w:t>Záväzky</w:t>
            </w:r>
          </w:p>
        </w:tc>
        <w:tc>
          <w:tcPr>
            <w:tcW w:w="654" w:type="dxa"/>
            <w:vAlign w:val="center"/>
          </w:tcPr>
          <w:p>
            <w:pPr>
              <w:jc w:val="center"/>
              <w:rPr>
                <w:noProof/>
                <w:sz w:val="14"/>
              </w:rPr>
            </w:pPr>
            <w:r>
              <w:rPr>
                <w:noProof/>
                <w:sz w:val="14"/>
              </w:rPr>
              <w:t>= 4 + 6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Platby</w:t>
            </w:r>
          </w:p>
        </w:tc>
        <w:tc>
          <w:tcPr>
            <w:tcW w:w="654" w:type="dxa"/>
            <w:tcBorders>
              <w:bottom w:val="single" w:sz="4" w:space="0" w:color="auto"/>
            </w:tcBorders>
            <w:vAlign w:val="center"/>
          </w:tcPr>
          <w:p>
            <w:pPr>
              <w:jc w:val="center"/>
              <w:rPr>
                <w:noProof/>
                <w:sz w:val="14"/>
              </w:rPr>
            </w:pPr>
            <w:r>
              <w:rPr>
                <w:noProof/>
                <w:sz w:val="14"/>
              </w:rPr>
              <w:t>= 5 + 6</w:t>
            </w: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b/>
                <w:noProof/>
                <w:sz w:val="20"/>
              </w:rPr>
            </w:pPr>
          </w:p>
        </w:tc>
        <w:tc>
          <w:tcPr>
            <w:tcW w:w="1777" w:type="dxa"/>
            <w:tcBorders>
              <w:bottom w:val="single" w:sz="4" w:space="0" w:color="auto"/>
              <w:right w:val="single" w:sz="4" w:space="0" w:color="auto"/>
            </w:tcBorders>
            <w:vAlign w:val="center"/>
          </w:tcPr>
          <w:p>
            <w:pPr>
              <w:spacing w:before="20" w:after="20"/>
              <w:jc w:val="right"/>
              <w:rPr>
                <w:b/>
                <w:noProof/>
                <w:sz w:val="20"/>
              </w:rPr>
            </w:pPr>
          </w:p>
        </w:tc>
      </w:tr>
    </w:tbl>
    <w:p>
      <w:pPr>
        <w:rPr>
          <w:noProof/>
        </w:rPr>
      </w:pPr>
    </w:p>
    <w:p>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Okruh viacročného finančného </w:t>
            </w:r>
            <w:r>
              <w:rPr>
                <w:noProof/>
                <w:sz w:val="22"/>
              </w:rPr>
              <w:br/>
            </w:r>
            <w:r>
              <w:rPr>
                <w:b/>
                <w:noProof/>
                <w:sz w:val="22"/>
              </w:rPr>
              <w:t xml:space="preserve">rámca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„Administratívne výdavky“</w:t>
            </w:r>
          </w:p>
        </w:tc>
      </w:tr>
    </w:tbl>
    <w:p>
      <w:pPr>
        <w:jc w:val="left"/>
        <w:rPr>
          <w:noProof/>
          <w:sz w:val="20"/>
        </w:rPr>
      </w:pPr>
      <w:r>
        <w:rPr>
          <w:noProof/>
        </w:rPr>
        <w:t>Tento oddiel sa vyplní s použitím rozpočtových údajov administratívnej povahy, ktoré budú po prvýkrát uvedené v </w:t>
      </w:r>
      <w:hyperlink r:id="rId17">
        <w:r>
          <w:rPr>
            <w:rStyle w:val="Hyperlink"/>
            <w:noProof/>
          </w:rPr>
          <w:t>prílohe k legislatívnemu finančnému výkazu</w:t>
        </w:r>
      </w:hyperlink>
      <w:r>
        <w:rPr>
          <w:noProof/>
        </w:rPr>
        <w:t xml:space="preserve"> (príloha V k interným predpisom), ktorá je nahraná do DECIDE na účely medziútvarovej konzultácie.</w:t>
      </w:r>
    </w:p>
    <w:p>
      <w:pPr>
        <w:jc w:val="right"/>
        <w:rPr>
          <w:noProof/>
          <w:sz w:val="20"/>
        </w:rPr>
      </w:pPr>
      <w:r>
        <w:rPr>
          <w:noProof/>
          <w:sz w:val="20"/>
        </w:rPr>
        <w:t>v mil. EUR (zaokrúhlené na 3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N</w:t>
            </w:r>
          </w:p>
        </w:tc>
        <w:tc>
          <w:tcPr>
            <w:tcW w:w="868" w:type="dxa"/>
            <w:vAlign w:val="center"/>
          </w:tcPr>
          <w:p>
            <w:pPr>
              <w:jc w:val="center"/>
              <w:rPr>
                <w:noProof/>
                <w:sz w:val="20"/>
              </w:rPr>
            </w:pPr>
            <w:r>
              <w:rPr>
                <w:noProof/>
                <w:sz w:val="20"/>
              </w:rPr>
              <w:t>Rok</w:t>
            </w:r>
            <w:r>
              <w:rPr>
                <w:noProof/>
                <w:sz w:val="22"/>
              </w:rPr>
              <w:br/>
            </w:r>
            <w:r>
              <w:rPr>
                <w:b/>
                <w:noProof/>
                <w:sz w:val="20"/>
              </w:rPr>
              <w:t>N + 1</w:t>
            </w:r>
          </w:p>
        </w:tc>
        <w:tc>
          <w:tcPr>
            <w:tcW w:w="868" w:type="dxa"/>
            <w:vAlign w:val="center"/>
          </w:tcPr>
          <w:p>
            <w:pPr>
              <w:jc w:val="center"/>
              <w:rPr>
                <w:noProof/>
                <w:sz w:val="20"/>
              </w:rPr>
            </w:pPr>
            <w:r>
              <w:rPr>
                <w:noProof/>
                <w:sz w:val="20"/>
              </w:rPr>
              <w:t>Rok</w:t>
            </w:r>
            <w:r>
              <w:rPr>
                <w:noProof/>
                <w:sz w:val="22"/>
              </w:rPr>
              <w:br/>
            </w:r>
            <w:r>
              <w:rPr>
                <w:b/>
                <w:noProof/>
                <w:sz w:val="20"/>
              </w:rPr>
              <w:t>N + 2</w:t>
            </w:r>
          </w:p>
        </w:tc>
        <w:tc>
          <w:tcPr>
            <w:tcW w:w="868" w:type="dxa"/>
            <w:vAlign w:val="center"/>
          </w:tcPr>
          <w:p>
            <w:pPr>
              <w:jc w:val="center"/>
              <w:rPr>
                <w:noProof/>
                <w:sz w:val="20"/>
              </w:rPr>
            </w:pPr>
            <w:r>
              <w:rPr>
                <w:noProof/>
                <w:sz w:val="20"/>
              </w:rPr>
              <w:t>Rok</w:t>
            </w:r>
            <w:r>
              <w:rPr>
                <w:noProof/>
                <w:sz w:val="22"/>
              </w:rPr>
              <w:br/>
            </w:r>
            <w:r>
              <w:rPr>
                <w:b/>
                <w:noProof/>
                <w:sz w:val="20"/>
              </w:rPr>
              <w:t>N + 3</w:t>
            </w:r>
          </w:p>
        </w:tc>
        <w:tc>
          <w:tcPr>
            <w:tcW w:w="2604" w:type="dxa"/>
            <w:gridSpan w:val="3"/>
            <w:vAlign w:val="center"/>
          </w:tcPr>
          <w:p>
            <w:pPr>
              <w:jc w:val="center"/>
              <w:rPr>
                <w:b/>
                <w:noProof/>
                <w:sz w:val="18"/>
              </w:rPr>
            </w:pPr>
            <w:r>
              <w:rPr>
                <w:noProof/>
                <w:sz w:val="18"/>
              </w:rPr>
              <w:t xml:space="preserve">Uveďte všetky roky, počas ktorých vplyv trvá (pozri bod 1.6) </w:t>
            </w:r>
          </w:p>
        </w:tc>
        <w:tc>
          <w:tcPr>
            <w:tcW w:w="1777" w:type="dxa"/>
            <w:vAlign w:val="center"/>
          </w:tcPr>
          <w:p>
            <w:pPr>
              <w:jc w:val="center"/>
              <w:rPr>
                <w:b/>
                <w:noProof/>
                <w:sz w:val="20"/>
              </w:rPr>
            </w:pPr>
            <w:r>
              <w:rPr>
                <w:b/>
                <w:noProof/>
                <w:sz w:val="20"/>
              </w:rPr>
              <w:t>SPOLU</w:t>
            </w:r>
          </w:p>
        </w:tc>
      </w:tr>
      <w:tr>
        <w:trPr>
          <w:gridAfter w:val="10"/>
          <w:wAfter w:w="9947" w:type="dxa"/>
        </w:trPr>
        <w:tc>
          <w:tcPr>
            <w:tcW w:w="3960" w:type="dxa"/>
            <w:vAlign w:val="center"/>
          </w:tcPr>
          <w:p>
            <w:pPr>
              <w:spacing w:before="60" w:after="60"/>
              <w:jc w:val="center"/>
              <w:rPr>
                <w:noProof/>
              </w:rPr>
            </w:pPr>
            <w:r>
              <w:rPr>
                <w:noProof/>
                <w:sz w:val="22"/>
              </w:rPr>
              <w:t>GR: &lt;…….&gt;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Ľudské zdroje</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Ostatné administratívne výdavky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rPr>
              <w:t>GR</w:t>
            </w:r>
            <w:r>
              <w:rPr>
                <w:noProof/>
              </w:rPr>
              <w:t xml:space="preserve"> </w:t>
            </w:r>
            <w:r>
              <w:rPr>
                <w:noProof/>
                <w:sz w:val="22"/>
              </w:rPr>
              <w:t>&lt;…….&gt;</w:t>
            </w:r>
            <w:r>
              <w:rPr>
                <w:noProof/>
              </w:rPr>
              <w:t xml:space="preserve"> </w:t>
            </w:r>
            <w:r>
              <w:rPr>
                <w:b/>
                <w:noProof/>
              </w:rPr>
              <w:t>SPOLU</w:t>
            </w:r>
          </w:p>
        </w:tc>
        <w:tc>
          <w:tcPr>
            <w:tcW w:w="2094" w:type="dxa"/>
            <w:gridSpan w:val="2"/>
            <w:vAlign w:val="center"/>
          </w:tcPr>
          <w:p>
            <w:pPr>
              <w:rPr>
                <w:noProof/>
                <w:sz w:val="14"/>
              </w:rPr>
            </w:pPr>
            <w:r>
              <w:rPr>
                <w:noProof/>
                <w:sz w:val="18"/>
              </w:rPr>
              <w:t xml:space="preserve">Rozpočtové prostriedky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spacing w:before="0" w:after="0"/>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rPr>
              <w:t>Rozpočtové prostriedky OKRUHU 5</w:t>
            </w:r>
            <w:r>
              <w:rPr>
                <w:noProof/>
              </w:rPr>
              <w:br/>
              <w:t xml:space="preserve">viacročného finančného rámca </w:t>
            </w:r>
            <w:r>
              <w:rPr>
                <w:b/>
                <w:noProof/>
              </w:rPr>
              <w:t>SPOLU</w:t>
            </w:r>
            <w:r>
              <w:rPr>
                <w:b/>
                <w:noProof/>
                <w:sz w:val="22"/>
              </w:rPr>
              <w:t xml:space="preserve"> </w:t>
            </w:r>
          </w:p>
        </w:tc>
        <w:tc>
          <w:tcPr>
            <w:tcW w:w="2094" w:type="dxa"/>
            <w:vAlign w:val="center"/>
          </w:tcPr>
          <w:p>
            <w:pPr>
              <w:spacing w:before="40" w:after="40"/>
              <w:rPr>
                <w:noProof/>
              </w:rPr>
            </w:pPr>
            <w:r>
              <w:rPr>
                <w:noProof/>
                <w:sz w:val="18"/>
              </w:rPr>
              <w:t>(Záväzky spolu = Platby spolu)</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v mil. EUR (zaokrúhlené na 3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N</w:t>
            </w:r>
            <w:r>
              <w:rPr>
                <w:rStyle w:val="FootnoteReference"/>
                <w:b/>
                <w:noProof/>
                <w:sz w:val="20"/>
              </w:rPr>
              <w:footnoteReference w:id="10"/>
            </w:r>
          </w:p>
        </w:tc>
        <w:tc>
          <w:tcPr>
            <w:tcW w:w="868" w:type="dxa"/>
            <w:vAlign w:val="center"/>
          </w:tcPr>
          <w:p>
            <w:pPr>
              <w:jc w:val="center"/>
              <w:rPr>
                <w:noProof/>
                <w:sz w:val="20"/>
              </w:rPr>
            </w:pPr>
            <w:r>
              <w:rPr>
                <w:noProof/>
                <w:sz w:val="20"/>
              </w:rPr>
              <w:t>Rok</w:t>
            </w:r>
            <w:r>
              <w:rPr>
                <w:noProof/>
                <w:sz w:val="22"/>
              </w:rPr>
              <w:br/>
            </w:r>
            <w:r>
              <w:rPr>
                <w:b/>
                <w:noProof/>
                <w:sz w:val="20"/>
              </w:rPr>
              <w:t>N + 1</w:t>
            </w:r>
          </w:p>
        </w:tc>
        <w:tc>
          <w:tcPr>
            <w:tcW w:w="868" w:type="dxa"/>
            <w:vAlign w:val="center"/>
          </w:tcPr>
          <w:p>
            <w:pPr>
              <w:jc w:val="center"/>
              <w:rPr>
                <w:noProof/>
                <w:sz w:val="20"/>
              </w:rPr>
            </w:pPr>
            <w:r>
              <w:rPr>
                <w:noProof/>
                <w:sz w:val="20"/>
              </w:rPr>
              <w:t>Rok</w:t>
            </w:r>
            <w:r>
              <w:rPr>
                <w:noProof/>
                <w:sz w:val="22"/>
              </w:rPr>
              <w:br/>
            </w:r>
            <w:r>
              <w:rPr>
                <w:b/>
                <w:noProof/>
                <w:sz w:val="20"/>
              </w:rPr>
              <w:t>N + 2</w:t>
            </w:r>
          </w:p>
        </w:tc>
        <w:tc>
          <w:tcPr>
            <w:tcW w:w="868" w:type="dxa"/>
            <w:vAlign w:val="center"/>
          </w:tcPr>
          <w:p>
            <w:pPr>
              <w:jc w:val="center"/>
              <w:rPr>
                <w:noProof/>
                <w:sz w:val="20"/>
              </w:rPr>
            </w:pPr>
            <w:r>
              <w:rPr>
                <w:noProof/>
                <w:sz w:val="20"/>
              </w:rPr>
              <w:t>Rok</w:t>
            </w:r>
            <w:r>
              <w:rPr>
                <w:noProof/>
                <w:sz w:val="22"/>
              </w:rPr>
              <w:br/>
            </w:r>
            <w:r>
              <w:rPr>
                <w:b/>
                <w:noProof/>
                <w:sz w:val="20"/>
              </w:rPr>
              <w:t>N + 3</w:t>
            </w:r>
          </w:p>
        </w:tc>
        <w:tc>
          <w:tcPr>
            <w:tcW w:w="2604" w:type="dxa"/>
            <w:gridSpan w:val="3"/>
            <w:vAlign w:val="center"/>
          </w:tcPr>
          <w:p>
            <w:pPr>
              <w:jc w:val="center"/>
              <w:rPr>
                <w:b/>
                <w:noProof/>
                <w:sz w:val="18"/>
              </w:rPr>
            </w:pPr>
            <w:r>
              <w:rPr>
                <w:noProof/>
                <w:sz w:val="18"/>
              </w:rPr>
              <w:t>Uveďte všetky roky, počas ktorých vplyv trvá (pozri bod 1.6)</w:t>
            </w:r>
          </w:p>
        </w:tc>
        <w:tc>
          <w:tcPr>
            <w:tcW w:w="1777" w:type="dxa"/>
            <w:vAlign w:val="center"/>
          </w:tcPr>
          <w:p>
            <w:pPr>
              <w:jc w:val="center"/>
              <w:rPr>
                <w:b/>
                <w:noProof/>
                <w:sz w:val="20"/>
              </w:rPr>
            </w:pPr>
            <w:r>
              <w:rPr>
                <w:b/>
                <w:noProof/>
                <w:sz w:val="20"/>
              </w:rPr>
              <w:t>SPOLU</w:t>
            </w:r>
          </w:p>
        </w:tc>
      </w:tr>
      <w:tr>
        <w:tc>
          <w:tcPr>
            <w:tcW w:w="3960" w:type="dxa"/>
            <w:vMerge w:val="restart"/>
            <w:shd w:val="clear" w:color="auto" w:fill="C0C0C0"/>
            <w:vAlign w:val="center"/>
          </w:tcPr>
          <w:p>
            <w:pPr>
              <w:jc w:val="center"/>
              <w:rPr>
                <w:b/>
                <w:noProof/>
              </w:rPr>
            </w:pPr>
            <w:r>
              <w:rPr>
                <w:b/>
                <w:noProof/>
              </w:rPr>
              <w:t>Rozpočtové prostriedky OKRUHOV 1 až 5</w:t>
            </w:r>
            <w:r>
              <w:rPr>
                <w:noProof/>
              </w:rPr>
              <w:br/>
              <w:t xml:space="preserve">viacročného finančného rámca </w:t>
            </w:r>
            <w:r>
              <w:rPr>
                <w:b/>
                <w:noProof/>
              </w:rPr>
              <w:t>SPOLU</w:t>
            </w:r>
            <w:r>
              <w:rPr>
                <w:b/>
                <w:noProof/>
                <w:sz w:val="22"/>
              </w:rPr>
              <w:t xml:space="preserve"> </w:t>
            </w:r>
          </w:p>
        </w:tc>
        <w:tc>
          <w:tcPr>
            <w:tcW w:w="2094" w:type="dxa"/>
            <w:gridSpan w:val="2"/>
            <w:vAlign w:val="center"/>
          </w:tcPr>
          <w:p>
            <w:pPr>
              <w:rPr>
                <w:noProof/>
                <w:sz w:val="14"/>
              </w:rPr>
            </w:pPr>
            <w:r>
              <w:rPr>
                <w:noProof/>
                <w:sz w:val="18"/>
              </w:rPr>
              <w:t>Záväzky</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Platby</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pPr>
    </w:p>
    <w:p>
      <w:pPr>
        <w:pStyle w:val="ManualHeading3"/>
        <w:rPr>
          <w:noProof/>
        </w:rPr>
      </w:pPr>
      <w:bookmarkStart w:id="45" w:name="_Toc514938054"/>
      <w:bookmarkStart w:id="46" w:name="_Toc520485053"/>
      <w:r>
        <w:t>3.2.2.</w:t>
      </w:r>
      <w:r>
        <w:tab/>
      </w:r>
      <w:r>
        <w:rPr>
          <w:noProof/>
        </w:rPr>
        <w:t>Odhadované výsledky financované z operačných rozpočtových prostriedkov</w:t>
      </w:r>
      <w:bookmarkEnd w:id="45"/>
      <w:bookmarkEnd w:id="46"/>
    </w:p>
    <w:p>
      <w:pPr>
        <w:jc w:val="right"/>
        <w:rPr>
          <w:noProof/>
          <w:sz w:val="20"/>
        </w:rPr>
      </w:pPr>
      <w:r>
        <w:rPr>
          <w:noProof/>
          <w:sz w:val="20"/>
        </w:rPr>
        <w:t>viazané rozpočtové prostriedky v mil. EUR (zaokrúhlené na 3 desatinné miesta)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rPr>
            </w:pPr>
            <w:r>
              <w:rPr>
                <w:b/>
                <w:noProof/>
                <w:sz w:val="18"/>
              </w:rPr>
              <w:t>Uveďte ciele a výstupy</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Rok</w:t>
            </w:r>
            <w:r>
              <w:rPr>
                <w:noProof/>
                <w:sz w:val="22"/>
              </w:rPr>
              <w:br/>
            </w:r>
            <w:r>
              <w:rPr>
                <w:b/>
                <w:noProof/>
                <w:sz w:val="18"/>
              </w:rPr>
              <w:t>N</w:t>
            </w:r>
          </w:p>
        </w:tc>
        <w:tc>
          <w:tcPr>
            <w:tcW w:w="1260" w:type="dxa"/>
            <w:gridSpan w:val="2"/>
            <w:vAlign w:val="center"/>
          </w:tcPr>
          <w:p>
            <w:pPr>
              <w:ind w:right="-29"/>
              <w:jc w:val="center"/>
              <w:rPr>
                <w:noProof/>
                <w:sz w:val="18"/>
                <w:szCs w:val="18"/>
              </w:rPr>
            </w:pPr>
            <w:r>
              <w:rPr>
                <w:noProof/>
                <w:sz w:val="18"/>
              </w:rPr>
              <w:t>Rok</w:t>
            </w:r>
            <w:r>
              <w:rPr>
                <w:noProof/>
                <w:sz w:val="22"/>
              </w:rPr>
              <w:br/>
            </w:r>
            <w:r>
              <w:rPr>
                <w:b/>
                <w:noProof/>
                <w:sz w:val="18"/>
              </w:rPr>
              <w:t>N + 1</w:t>
            </w:r>
          </w:p>
        </w:tc>
        <w:tc>
          <w:tcPr>
            <w:tcW w:w="1440" w:type="dxa"/>
            <w:gridSpan w:val="2"/>
            <w:vAlign w:val="center"/>
          </w:tcPr>
          <w:p>
            <w:pPr>
              <w:ind w:right="-29"/>
              <w:jc w:val="center"/>
              <w:rPr>
                <w:noProof/>
                <w:sz w:val="18"/>
                <w:szCs w:val="18"/>
              </w:rPr>
            </w:pPr>
            <w:r>
              <w:rPr>
                <w:noProof/>
                <w:sz w:val="18"/>
              </w:rPr>
              <w:t>Rok</w:t>
            </w:r>
            <w:r>
              <w:rPr>
                <w:noProof/>
                <w:sz w:val="22"/>
              </w:rPr>
              <w:br/>
            </w:r>
            <w:r>
              <w:rPr>
                <w:b/>
                <w:noProof/>
                <w:sz w:val="18"/>
              </w:rPr>
              <w:t>N + 2</w:t>
            </w:r>
          </w:p>
        </w:tc>
        <w:tc>
          <w:tcPr>
            <w:tcW w:w="1620" w:type="dxa"/>
            <w:gridSpan w:val="3"/>
            <w:vAlign w:val="center"/>
          </w:tcPr>
          <w:p>
            <w:pPr>
              <w:ind w:right="-29"/>
              <w:jc w:val="center"/>
              <w:rPr>
                <w:noProof/>
                <w:sz w:val="18"/>
                <w:szCs w:val="18"/>
              </w:rPr>
            </w:pPr>
            <w:r>
              <w:rPr>
                <w:noProof/>
                <w:sz w:val="18"/>
              </w:rPr>
              <w:t>Rok</w:t>
            </w:r>
            <w:r>
              <w:rPr>
                <w:noProof/>
                <w:sz w:val="22"/>
              </w:rPr>
              <w:br/>
            </w:r>
            <w:r>
              <w:rPr>
                <w:b/>
                <w:noProof/>
                <w:sz w:val="18"/>
              </w:rPr>
              <w:t>N + 3</w:t>
            </w:r>
          </w:p>
        </w:tc>
        <w:tc>
          <w:tcPr>
            <w:tcW w:w="3600" w:type="dxa"/>
            <w:gridSpan w:val="6"/>
            <w:vAlign w:val="center"/>
          </w:tcPr>
          <w:p>
            <w:pPr>
              <w:jc w:val="center"/>
              <w:rPr>
                <w:noProof/>
                <w:sz w:val="18"/>
                <w:szCs w:val="18"/>
              </w:rPr>
            </w:pPr>
            <w:r>
              <w:rPr>
                <w:noProof/>
                <w:sz w:val="18"/>
              </w:rPr>
              <w:t>Uveďte všetky roky, počas ktorých vplyv trvá (pozri bod 1.6)</w:t>
            </w:r>
          </w:p>
        </w:tc>
        <w:tc>
          <w:tcPr>
            <w:tcW w:w="1620" w:type="dxa"/>
            <w:gridSpan w:val="2"/>
            <w:tcBorders>
              <w:left w:val="nil"/>
              <w:bottom w:val="nil"/>
            </w:tcBorders>
            <w:vAlign w:val="center"/>
          </w:tcPr>
          <w:p>
            <w:pPr>
              <w:ind w:right="-29"/>
              <w:jc w:val="center"/>
              <w:rPr>
                <w:noProof/>
                <w:sz w:val="18"/>
                <w:szCs w:val="18"/>
              </w:rPr>
            </w:pPr>
            <w:r>
              <w:rPr>
                <w:b/>
                <w:noProof/>
                <w:sz w:val="18"/>
              </w:rPr>
              <w:t>SPOLU</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VÝSTUPY</w:t>
            </w:r>
          </w:p>
        </w:tc>
      </w:tr>
      <w:tr>
        <w:trPr>
          <w:cantSplit/>
          <w:trHeight w:val="1134"/>
          <w:jc w:val="center"/>
        </w:trPr>
        <w:tc>
          <w:tcPr>
            <w:tcW w:w="1423" w:type="dxa"/>
            <w:vMerge/>
            <w:vAlign w:val="center"/>
          </w:tcPr>
          <w:p>
            <w:pPr>
              <w:rPr>
                <w:noProof/>
                <w:sz w:val="18"/>
                <w:szCs w:val="18"/>
              </w:rPr>
            </w:pPr>
          </w:p>
        </w:tc>
        <w:tc>
          <w:tcPr>
            <w:tcW w:w="720" w:type="dxa"/>
            <w:tcMar>
              <w:left w:w="28" w:type="dxa"/>
              <w:right w:w="28" w:type="dxa"/>
            </w:tcMar>
            <w:vAlign w:val="center"/>
          </w:tcPr>
          <w:p>
            <w:pPr>
              <w:jc w:val="center"/>
              <w:rPr>
                <w:noProof/>
                <w:sz w:val="18"/>
                <w:szCs w:val="18"/>
              </w:rPr>
            </w:pPr>
            <w:r>
              <w:rPr>
                <w:noProof/>
                <w:sz w:val="18"/>
              </w:rPr>
              <w:t>Druh</w:t>
            </w:r>
            <w:r>
              <w:rPr>
                <w:rStyle w:val="FootnoteReference"/>
                <w:noProof/>
                <w:sz w:val="18"/>
              </w:rPr>
              <w:footnoteReference w:id="11"/>
            </w:r>
          </w:p>
          <w:p>
            <w:pPr>
              <w:spacing w:before="0" w:after="0"/>
              <w:jc w:val="center"/>
              <w:rPr>
                <w:noProof/>
                <w:sz w:val="18"/>
                <w:szCs w:val="18"/>
              </w:rPr>
            </w:pPr>
          </w:p>
        </w:tc>
        <w:tc>
          <w:tcPr>
            <w:tcW w:w="701" w:type="dxa"/>
            <w:tcMar>
              <w:left w:w="28" w:type="dxa"/>
              <w:right w:w="28" w:type="dxa"/>
            </w:tcMar>
            <w:vAlign w:val="center"/>
          </w:tcPr>
          <w:p>
            <w:pPr>
              <w:jc w:val="center"/>
              <w:rPr>
                <w:noProof/>
                <w:sz w:val="18"/>
                <w:szCs w:val="18"/>
              </w:rPr>
            </w:pPr>
            <w:r>
              <w:rPr>
                <w:noProof/>
                <w:sz w:val="18"/>
              </w:rPr>
              <w:t>Priemerné náklady</w:t>
            </w:r>
          </w:p>
        </w:tc>
        <w:tc>
          <w:tcPr>
            <w:tcW w:w="504" w:type="dxa"/>
            <w:tcBorders>
              <w:left w:val="nil"/>
              <w:right w:val="dashSmallGap" w:sz="4" w:space="0" w:color="auto"/>
            </w:tcBorders>
            <w:shd w:val="pct10" w:color="auto" w:fill="auto"/>
            <w:tcMar>
              <w:left w:w="28" w:type="dxa"/>
              <w:right w:w="28" w:type="dxa"/>
            </w:tcMar>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tcMar>
              <w:left w:w="28" w:type="dxa"/>
              <w:right w:w="28" w:type="dxa"/>
            </w:tcMar>
            <w:vAlign w:val="center"/>
          </w:tcPr>
          <w:p>
            <w:pPr>
              <w:jc w:val="center"/>
              <w:rPr>
                <w:noProof/>
                <w:sz w:val="18"/>
                <w:szCs w:val="18"/>
              </w:rPr>
            </w:pPr>
            <w:r>
              <w:rPr>
                <w:noProof/>
                <w:sz w:val="18"/>
              </w:rPr>
              <w:t>Náklady</w:t>
            </w:r>
          </w:p>
        </w:tc>
        <w:tc>
          <w:tcPr>
            <w:tcW w:w="540" w:type="dxa"/>
            <w:tcBorders>
              <w:right w:val="dashSmallGap" w:sz="4" w:space="0" w:color="auto"/>
            </w:tcBorders>
            <w:shd w:val="pct10" w:color="auto" w:fill="auto"/>
            <w:tcMar>
              <w:left w:w="28" w:type="dxa"/>
              <w:right w:w="28" w:type="dxa"/>
            </w:tcMar>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tcMar>
              <w:left w:w="28" w:type="dxa"/>
              <w:right w:w="28" w:type="dxa"/>
            </w:tcMar>
            <w:vAlign w:val="center"/>
          </w:tcPr>
          <w:p>
            <w:pPr>
              <w:jc w:val="center"/>
              <w:rPr>
                <w:noProof/>
                <w:sz w:val="18"/>
                <w:szCs w:val="18"/>
              </w:rPr>
            </w:pPr>
            <w:r>
              <w:rPr>
                <w:noProof/>
                <w:sz w:val="18"/>
              </w:rPr>
              <w:t>Náklady</w:t>
            </w:r>
          </w:p>
        </w:tc>
        <w:tc>
          <w:tcPr>
            <w:tcW w:w="720" w:type="dxa"/>
            <w:tcBorders>
              <w:right w:val="dashSmallGap" w:sz="4" w:space="0" w:color="auto"/>
            </w:tcBorders>
            <w:shd w:val="pct10" w:color="auto" w:fill="auto"/>
            <w:tcMar>
              <w:left w:w="28" w:type="dxa"/>
              <w:right w:w="28" w:type="dxa"/>
            </w:tcMar>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tcMar>
              <w:left w:w="28" w:type="dxa"/>
              <w:right w:w="28" w:type="dxa"/>
            </w:tcMar>
            <w:vAlign w:val="center"/>
          </w:tcPr>
          <w:p>
            <w:pPr>
              <w:jc w:val="center"/>
              <w:rPr>
                <w:noProof/>
                <w:sz w:val="18"/>
                <w:szCs w:val="18"/>
              </w:rPr>
            </w:pPr>
            <w:r>
              <w:rPr>
                <w:noProof/>
                <w:sz w:val="18"/>
              </w:rPr>
              <w:t>Náklady</w:t>
            </w:r>
          </w:p>
        </w:tc>
        <w:tc>
          <w:tcPr>
            <w:tcW w:w="900" w:type="dxa"/>
            <w:tcBorders>
              <w:right w:val="dashSmallGap" w:sz="4" w:space="0" w:color="auto"/>
            </w:tcBorders>
            <w:shd w:val="pct10" w:color="auto" w:fill="auto"/>
            <w:tcMar>
              <w:left w:w="28" w:type="dxa"/>
              <w:right w:w="28" w:type="dxa"/>
            </w:tcMar>
            <w:textDirection w:val="btLr"/>
            <w:vAlign w:val="center"/>
          </w:tcPr>
          <w:p>
            <w:pPr>
              <w:ind w:left="113" w:right="113"/>
              <w:jc w:val="center"/>
              <w:rPr>
                <w:noProof/>
                <w:sz w:val="18"/>
                <w:szCs w:val="18"/>
              </w:rPr>
            </w:pPr>
            <w:r>
              <w:rPr>
                <w:noProof/>
                <w:sz w:val="18"/>
              </w:rPr>
              <w:t>Počet</w:t>
            </w:r>
          </w:p>
        </w:tc>
        <w:tc>
          <w:tcPr>
            <w:tcW w:w="720" w:type="dxa"/>
            <w:gridSpan w:val="2"/>
            <w:tcBorders>
              <w:left w:val="dashSmallGap" w:sz="4" w:space="0" w:color="auto"/>
            </w:tcBorders>
            <w:shd w:val="pct10" w:color="auto" w:fill="auto"/>
            <w:tcMar>
              <w:left w:w="28" w:type="dxa"/>
              <w:right w:w="28" w:type="dxa"/>
            </w:tcMar>
            <w:vAlign w:val="center"/>
          </w:tcPr>
          <w:p>
            <w:pPr>
              <w:jc w:val="center"/>
              <w:rPr>
                <w:noProof/>
                <w:sz w:val="18"/>
                <w:szCs w:val="18"/>
              </w:rPr>
            </w:pPr>
            <w:r>
              <w:rPr>
                <w:noProof/>
                <w:sz w:val="18"/>
              </w:rPr>
              <w:t>Náklady</w:t>
            </w:r>
          </w:p>
        </w:tc>
        <w:tc>
          <w:tcPr>
            <w:tcW w:w="540" w:type="dxa"/>
            <w:tcBorders>
              <w:right w:val="dashSmallGap" w:sz="4" w:space="0" w:color="auto"/>
            </w:tcBorders>
            <w:shd w:val="pct10" w:color="auto" w:fill="auto"/>
            <w:tcMar>
              <w:left w:w="28" w:type="dxa"/>
              <w:right w:w="28" w:type="dxa"/>
            </w:tcMar>
            <w:textDirection w:val="btLr"/>
            <w:vAlign w:val="center"/>
          </w:tcPr>
          <w:p>
            <w:pPr>
              <w:ind w:left="113" w:right="113"/>
              <w:jc w:val="center"/>
              <w:rPr>
                <w:noProof/>
                <w:sz w:val="18"/>
                <w:szCs w:val="18"/>
              </w:rPr>
            </w:pPr>
            <w:r>
              <w:rPr>
                <w:noProof/>
                <w:sz w:val="18"/>
              </w:rPr>
              <w:t>Počet</w:t>
            </w:r>
          </w:p>
        </w:tc>
        <w:tc>
          <w:tcPr>
            <w:tcW w:w="648" w:type="dxa"/>
            <w:tcBorders>
              <w:left w:val="dashSmallGap" w:sz="4" w:space="0" w:color="auto"/>
            </w:tcBorders>
            <w:shd w:val="pct10" w:color="auto" w:fill="auto"/>
            <w:tcMar>
              <w:left w:w="28" w:type="dxa"/>
              <w:right w:w="28" w:type="dxa"/>
            </w:tcMar>
            <w:vAlign w:val="center"/>
          </w:tcPr>
          <w:p>
            <w:pPr>
              <w:jc w:val="center"/>
              <w:rPr>
                <w:noProof/>
                <w:sz w:val="18"/>
                <w:szCs w:val="18"/>
              </w:rPr>
            </w:pPr>
            <w:r>
              <w:rPr>
                <w:noProof/>
                <w:sz w:val="18"/>
              </w:rPr>
              <w:t>Náklady</w:t>
            </w:r>
          </w:p>
        </w:tc>
        <w:tc>
          <w:tcPr>
            <w:tcW w:w="432" w:type="dxa"/>
            <w:tcBorders>
              <w:right w:val="dashSmallGap" w:sz="4" w:space="0" w:color="auto"/>
            </w:tcBorders>
            <w:shd w:val="pct10" w:color="auto" w:fill="auto"/>
            <w:tcMar>
              <w:left w:w="28" w:type="dxa"/>
              <w:right w:w="28" w:type="dxa"/>
            </w:tcMar>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tcMar>
              <w:left w:w="28" w:type="dxa"/>
              <w:right w:w="28" w:type="dxa"/>
            </w:tcMar>
            <w:vAlign w:val="center"/>
          </w:tcPr>
          <w:p>
            <w:pPr>
              <w:jc w:val="center"/>
              <w:rPr>
                <w:noProof/>
                <w:sz w:val="18"/>
                <w:szCs w:val="18"/>
              </w:rPr>
            </w:pPr>
            <w:r>
              <w:rPr>
                <w:noProof/>
                <w:sz w:val="18"/>
              </w:rPr>
              <w:t>Náklady</w:t>
            </w:r>
          </w:p>
        </w:tc>
        <w:tc>
          <w:tcPr>
            <w:tcW w:w="540" w:type="dxa"/>
            <w:tcBorders>
              <w:right w:val="dashSmallGap" w:sz="4" w:space="0" w:color="auto"/>
            </w:tcBorders>
            <w:shd w:val="pct10" w:color="auto" w:fill="auto"/>
            <w:tcMar>
              <w:left w:w="28" w:type="dxa"/>
              <w:right w:w="28" w:type="dxa"/>
            </w:tcMar>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tcMar>
              <w:left w:w="28" w:type="dxa"/>
              <w:right w:w="28" w:type="dxa"/>
            </w:tcMar>
            <w:vAlign w:val="center"/>
          </w:tcPr>
          <w:p>
            <w:pPr>
              <w:jc w:val="center"/>
              <w:rPr>
                <w:noProof/>
                <w:sz w:val="18"/>
                <w:szCs w:val="18"/>
              </w:rPr>
            </w:pPr>
            <w:r>
              <w:rPr>
                <w:noProof/>
                <w:sz w:val="18"/>
              </w:rPr>
              <w:t>Náklady</w:t>
            </w:r>
          </w:p>
        </w:tc>
        <w:tc>
          <w:tcPr>
            <w:tcW w:w="720" w:type="dxa"/>
            <w:tcBorders>
              <w:right w:val="dashSmallGap" w:sz="4" w:space="0" w:color="auto"/>
            </w:tcBorders>
            <w:shd w:val="pct10" w:color="auto" w:fill="auto"/>
            <w:tcMar>
              <w:left w:w="28" w:type="dxa"/>
              <w:right w:w="28" w:type="dxa"/>
            </w:tcMar>
            <w:vAlign w:val="center"/>
          </w:tcPr>
          <w:p>
            <w:pPr>
              <w:jc w:val="center"/>
              <w:rPr>
                <w:noProof/>
                <w:sz w:val="18"/>
                <w:szCs w:val="18"/>
              </w:rPr>
            </w:pPr>
            <w:r>
              <w:rPr>
                <w:noProof/>
                <w:sz w:val="18"/>
              </w:rPr>
              <w:t>Počet spolu</w:t>
            </w:r>
          </w:p>
        </w:tc>
        <w:tc>
          <w:tcPr>
            <w:tcW w:w="900" w:type="dxa"/>
            <w:tcBorders>
              <w:left w:val="dashSmallGap" w:sz="4" w:space="0" w:color="auto"/>
            </w:tcBorders>
            <w:shd w:val="pct10" w:color="auto" w:fill="auto"/>
            <w:tcMar>
              <w:left w:w="28" w:type="dxa"/>
              <w:right w:w="28" w:type="dxa"/>
            </w:tcMar>
            <w:vAlign w:val="center"/>
          </w:tcPr>
          <w:p>
            <w:pPr>
              <w:jc w:val="center"/>
              <w:rPr>
                <w:noProof/>
                <w:sz w:val="18"/>
                <w:szCs w:val="18"/>
              </w:rPr>
            </w:pPr>
            <w:r>
              <w:rPr>
                <w:noProof/>
                <w:sz w:val="18"/>
              </w:rPr>
              <w:t>Náklady spolu</w:t>
            </w:r>
          </w:p>
        </w:tc>
      </w:tr>
      <w:tr>
        <w:trPr>
          <w:jc w:val="center"/>
        </w:trPr>
        <w:tc>
          <w:tcPr>
            <w:tcW w:w="2844" w:type="dxa"/>
            <w:gridSpan w:val="3"/>
            <w:vAlign w:val="center"/>
          </w:tcPr>
          <w:p>
            <w:pPr>
              <w:spacing w:before="60" w:after="60"/>
              <w:ind w:right="-29"/>
              <w:jc w:val="center"/>
              <w:rPr>
                <w:noProof/>
                <w:sz w:val="18"/>
                <w:szCs w:val="18"/>
              </w:rPr>
            </w:pPr>
            <w:r>
              <w:rPr>
                <w:noProof/>
                <w:sz w:val="18"/>
              </w:rPr>
              <w:t>ŠPECIFICKÝ CIEĽ č. 1</w:t>
            </w:r>
            <w:r>
              <w:rPr>
                <w:rStyle w:val="FootnoteReference"/>
                <w:noProof/>
                <w:sz w:val="18"/>
              </w:rPr>
              <w:footnoteReference w:id="12"/>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Výstup</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Výstup</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Výstup</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val="77"/>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Špecifický cieľ č. 1 medzisúčet</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ŠPECIFICKÝ CIEĽ č.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Výstup</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Špecifický cieľ č. 2 medzisúčet</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SPOLU</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567" w:left="1418" w:header="709" w:footer="709" w:gutter="0"/>
          <w:cols w:space="708"/>
          <w:docGrid w:linePitch="360"/>
        </w:sectPr>
      </w:pPr>
    </w:p>
    <w:p>
      <w:pPr>
        <w:pStyle w:val="ManualHeading3"/>
        <w:rPr>
          <w:noProof/>
        </w:rPr>
      </w:pPr>
      <w:bookmarkStart w:id="47" w:name="_Toc514938055"/>
      <w:bookmarkStart w:id="48" w:name="_Toc520485054"/>
      <w:r>
        <w:t>3.2.3.</w:t>
      </w:r>
      <w:r>
        <w:tab/>
      </w:r>
      <w:r>
        <w:rPr>
          <w:noProof/>
        </w:rPr>
        <w:t>Zhrnutie odhadovaného vplyvu na administratívne rozpočtové prostriedky</w:t>
      </w:r>
      <w:bookmarkEnd w:id="47"/>
      <w:bookmarkEnd w:id="48"/>
    </w:p>
    <w:p>
      <w:pPr>
        <w:pStyle w:val="ListDash1"/>
        <w:rPr>
          <w:noProof/>
        </w:rPr>
      </w:pPr>
      <w:r>
        <w:rPr>
          <w:noProof/>
        </w:rPr>
        <w:sym w:font="Wingdings" w:char="F0A8"/>
      </w:r>
      <w:r>
        <w:rPr>
          <w:noProof/>
        </w:rPr>
        <w:tab/>
        <w:t>Návrh/iniciatíva si nevyžaduje použitie administratívnych rozpočtových prostriedkov</w:t>
      </w:r>
    </w:p>
    <w:p>
      <w:pPr>
        <w:pStyle w:val="ListDash1"/>
        <w:rPr>
          <w:noProof/>
        </w:rPr>
      </w:pPr>
      <w:r>
        <w:rPr>
          <w:noProof/>
        </w:rPr>
        <w:sym w:font="Wingdings" w:char="F0A8"/>
      </w:r>
      <w:r>
        <w:rPr>
          <w:noProof/>
        </w:rPr>
        <w:tab/>
        <w:t>Návrh/iniciatíva si vyžaduje použitie administratívnych rozpočtových prostriedkov, ako je uvedené v nasledujúcej tabuľke:</w:t>
      </w:r>
    </w:p>
    <w:p>
      <w:pPr>
        <w:jc w:val="right"/>
        <w:rPr>
          <w:noProof/>
          <w:sz w:val="20"/>
        </w:rPr>
      </w:pPr>
      <w:r>
        <w:rPr>
          <w:noProof/>
          <w:sz w:val="20"/>
        </w:rPr>
        <w:t>v mil. EUR (zaokrúhlené na 3 desatinné miesta)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Rok</w:t>
            </w:r>
            <w:r>
              <w:rPr>
                <w:noProof/>
                <w:sz w:val="22"/>
              </w:rPr>
              <w:br/>
            </w:r>
            <w:r>
              <w:rPr>
                <w:b/>
                <w:noProof/>
                <w:sz w:val="16"/>
              </w:rPr>
              <w:t>N</w:t>
            </w:r>
            <w:r>
              <w:rPr>
                <w:rStyle w:val="FootnoteReference"/>
                <w:b/>
                <w:noProof/>
                <w:sz w:val="16"/>
              </w:rPr>
              <w:footnoteReference w:id="13"/>
            </w:r>
          </w:p>
        </w:tc>
        <w:tc>
          <w:tcPr>
            <w:tcW w:w="1080" w:type="dxa"/>
            <w:vAlign w:val="center"/>
          </w:tcPr>
          <w:p>
            <w:pPr>
              <w:spacing w:before="60" w:after="60" w:line="200" w:lineRule="exact"/>
              <w:jc w:val="center"/>
              <w:rPr>
                <w:noProof/>
                <w:sz w:val="16"/>
                <w:szCs w:val="16"/>
              </w:rPr>
            </w:pPr>
            <w:r>
              <w:rPr>
                <w:noProof/>
                <w:sz w:val="16"/>
              </w:rPr>
              <w:t>Rok</w:t>
            </w:r>
            <w:r>
              <w:rPr>
                <w:noProof/>
                <w:sz w:val="22"/>
              </w:rPr>
              <w:br/>
            </w:r>
            <w:r>
              <w:rPr>
                <w:b/>
                <w:noProof/>
                <w:sz w:val="16"/>
              </w:rPr>
              <w:t>N + 1</w:t>
            </w:r>
          </w:p>
        </w:tc>
        <w:tc>
          <w:tcPr>
            <w:tcW w:w="1080" w:type="dxa"/>
            <w:vAlign w:val="center"/>
          </w:tcPr>
          <w:p>
            <w:pPr>
              <w:spacing w:before="60" w:after="60" w:line="200" w:lineRule="exact"/>
              <w:jc w:val="center"/>
              <w:rPr>
                <w:noProof/>
                <w:sz w:val="16"/>
                <w:szCs w:val="16"/>
              </w:rPr>
            </w:pPr>
            <w:r>
              <w:rPr>
                <w:noProof/>
                <w:sz w:val="16"/>
              </w:rPr>
              <w:t>Rok</w:t>
            </w:r>
            <w:r>
              <w:rPr>
                <w:noProof/>
                <w:sz w:val="22"/>
              </w:rPr>
              <w:br/>
            </w:r>
            <w:r>
              <w:rPr>
                <w:b/>
                <w:noProof/>
                <w:sz w:val="16"/>
              </w:rPr>
              <w:t>N + 2</w:t>
            </w:r>
          </w:p>
        </w:tc>
        <w:tc>
          <w:tcPr>
            <w:tcW w:w="1080" w:type="dxa"/>
            <w:vAlign w:val="center"/>
          </w:tcPr>
          <w:p>
            <w:pPr>
              <w:spacing w:before="60" w:after="60" w:line="200" w:lineRule="exact"/>
              <w:jc w:val="center"/>
              <w:rPr>
                <w:noProof/>
                <w:sz w:val="16"/>
                <w:szCs w:val="16"/>
              </w:rPr>
            </w:pPr>
            <w:r>
              <w:rPr>
                <w:noProof/>
                <w:sz w:val="16"/>
              </w:rPr>
              <w:t>Rok</w:t>
            </w:r>
            <w:r>
              <w:rPr>
                <w:noProof/>
                <w:sz w:val="22"/>
              </w:rPr>
              <w:br/>
            </w:r>
            <w:r>
              <w:rPr>
                <w:b/>
                <w:noProof/>
                <w:sz w:val="16"/>
              </w:rPr>
              <w:t>N + 3</w:t>
            </w:r>
          </w:p>
        </w:tc>
        <w:tc>
          <w:tcPr>
            <w:tcW w:w="3240" w:type="dxa"/>
            <w:vAlign w:val="center"/>
          </w:tcPr>
          <w:p>
            <w:pPr>
              <w:spacing w:line="200" w:lineRule="exact"/>
              <w:jc w:val="center"/>
              <w:rPr>
                <w:b/>
                <w:noProof/>
                <w:sz w:val="16"/>
                <w:szCs w:val="16"/>
              </w:rPr>
            </w:pPr>
            <w:r>
              <w:rPr>
                <w:noProof/>
                <w:sz w:val="16"/>
              </w:rPr>
              <w:t>Uveďte všetky roky, počas ktorých vplyv trvá (pozri bod 1.6)</w:t>
            </w:r>
          </w:p>
        </w:tc>
        <w:tc>
          <w:tcPr>
            <w:tcW w:w="1080" w:type="dxa"/>
            <w:vAlign w:val="center"/>
          </w:tcPr>
          <w:p>
            <w:pPr>
              <w:spacing w:before="60" w:after="60" w:line="200" w:lineRule="exact"/>
              <w:jc w:val="center"/>
              <w:rPr>
                <w:b/>
                <w:noProof/>
                <w:sz w:val="16"/>
                <w:szCs w:val="16"/>
              </w:rPr>
            </w:pPr>
            <w:r>
              <w:rPr>
                <w:b/>
                <w:noProof/>
                <w:sz w:val="16"/>
              </w:rPr>
              <w:t>SPOLU</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OKRUH 5</w:t>
            </w:r>
            <w:r>
              <w:rPr>
                <w:noProof/>
                <w:sz w:val="22"/>
              </w:rPr>
              <w:br/>
            </w:r>
            <w:r>
              <w:rPr>
                <w:b/>
                <w:noProof/>
                <w:sz w:val="16"/>
              </w:rPr>
              <w:t>viacročného finančného rámca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Ľudské zdroje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Ostatné administratívne výdavky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Medzisúčet OKRUHU 5</w:t>
            </w:r>
            <w:r>
              <w:rPr>
                <w:noProof/>
                <w:sz w:val="22"/>
              </w:rPr>
              <w:br/>
            </w:r>
            <w:r>
              <w:rPr>
                <w:b/>
                <w:noProof/>
                <w:sz w:val="16"/>
              </w:rPr>
              <w:t xml:space="preserve">viacročného finančného rámca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rPr>
            </w:pPr>
            <w:r>
              <w:rPr>
                <w:b/>
                <w:noProof/>
                <w:sz w:val="16"/>
              </w:rPr>
              <w:t>Mimo OKRUHU 5</w:t>
            </w:r>
            <w:r>
              <w:rPr>
                <w:rStyle w:val="FootnoteReference"/>
                <w:b/>
                <w:noProof/>
                <w:sz w:val="16"/>
              </w:rPr>
              <w:footnoteReference w:id="14"/>
            </w:r>
            <w:r>
              <w:rPr>
                <w:noProof/>
                <w:sz w:val="22"/>
              </w:rPr>
              <w:br/>
            </w:r>
            <w:r>
              <w:rPr>
                <w:b/>
                <w:noProof/>
                <w:sz w:val="16"/>
              </w:rPr>
              <w:t>viacročného finančného rámca</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Ľudské zdroje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Ostatné </w:t>
            </w:r>
            <w:r>
              <w:rPr>
                <w:noProof/>
                <w:sz w:val="22"/>
              </w:rPr>
              <w:br/>
            </w:r>
            <w:r>
              <w:rPr>
                <w:noProof/>
                <w:sz w:val="16"/>
              </w:rPr>
              <w:t>administratívne výdavky</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Medzisúčet </w:t>
            </w:r>
            <w:r>
              <w:rPr>
                <w:noProof/>
                <w:sz w:val="22"/>
              </w:rPr>
              <w:br/>
            </w:r>
            <w:r>
              <w:rPr>
                <w:b/>
                <w:noProof/>
                <w:sz w:val="16"/>
              </w:rPr>
              <w:t>mimo OKRUHU 5</w:t>
            </w:r>
            <w:r>
              <w:rPr>
                <w:noProof/>
                <w:sz w:val="22"/>
              </w:rPr>
              <w:br/>
            </w:r>
            <w:r>
              <w:rPr>
                <w:b/>
                <w:noProof/>
                <w:sz w:val="16"/>
              </w:rPr>
              <w:t xml:space="preserve">viacročného finančného rámca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SPOLU</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Rozpočtové prostriedky potrebné na ľudské zdroje a na ostatné administratívne výdavky budú pokryté rozpočtovými prostriedkami GR, ktoré už boli pridelené na riadenie akcie a/alebo boli prerozdelené v rámci GR, a v prípade potreby budú doplnené zdrojmi, ktoré sa môžu prideliť riadiacemu GR v rámci ročného postupu prideľovania zdrojov a v závislosti od rozpočtových obmedzení.</w:t>
      </w:r>
    </w:p>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p>
    <w:p>
      <w:pPr>
        <w:pStyle w:val="ManualHeading4"/>
        <w:rPr>
          <w:noProof/>
        </w:rPr>
      </w:pPr>
      <w:r>
        <w:t>3.2.3.1.</w:t>
      </w:r>
      <w:r>
        <w:tab/>
      </w:r>
      <w:r>
        <w:rPr>
          <w:noProof/>
        </w:rPr>
        <w:t>Odhadované potreby ľudských zdrojov</w:t>
      </w:r>
    </w:p>
    <w:p>
      <w:pPr>
        <w:pStyle w:val="ListDash1"/>
        <w:rPr>
          <w:noProof/>
        </w:rPr>
      </w:pPr>
      <w:r>
        <w:rPr>
          <w:noProof/>
        </w:rPr>
        <w:sym w:font="Wingdings" w:char="F0A8"/>
      </w:r>
      <w:r>
        <w:rPr>
          <w:noProof/>
        </w:rPr>
        <w:tab/>
        <w:t>Návrh/iniciatíva si nevyžaduje použitie ľudských zdrojov.</w:t>
      </w:r>
    </w:p>
    <w:p>
      <w:pPr>
        <w:pStyle w:val="ListDash1"/>
        <w:rPr>
          <w:noProof/>
        </w:rPr>
      </w:pPr>
      <w:r>
        <w:rPr>
          <w:noProof/>
        </w:rPr>
        <w:sym w:font="Wingdings" w:char="F0A8"/>
      </w:r>
      <w:r>
        <w:rPr>
          <w:noProof/>
        </w:rPr>
        <w:tab/>
        <w:t>Návrh/iniciatíva si vyžaduje použitie ľudských zdrojov, ako je uvedené v nasledujúcej tabuľke:</w:t>
      </w:r>
    </w:p>
    <w:p>
      <w:pPr>
        <w:spacing w:after="60"/>
        <w:jc w:val="right"/>
        <w:rPr>
          <w:i/>
          <w:noProof/>
          <w:sz w:val="20"/>
        </w:rPr>
      </w:pPr>
      <w:r>
        <w:rPr>
          <w:i/>
          <w:noProof/>
          <w:sz w:val="20"/>
        </w:rPr>
        <w:t>odhady sa vyjadrujú v jednotkách ekvivalentu plného pracovného času</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3" w:type="dxa"/>
          <w:trHeight w:val="289"/>
          <w:jc w:val="center"/>
        </w:trPr>
        <w:tc>
          <w:tcPr>
            <w:tcW w:w="3906" w:type="dxa"/>
            <w:gridSpan w:val="2"/>
            <w:shd w:val="clear" w:color="auto" w:fill="auto"/>
          </w:tcPr>
          <w:p>
            <w:pPr>
              <w:pStyle w:val="Text1"/>
              <w:spacing w:before="40" w:after="40"/>
              <w:ind w:left="0"/>
              <w:jc w:val="center"/>
              <w:rPr>
                <w:i/>
                <w:noProof/>
                <w:sz w:val="16"/>
                <w:szCs w:val="16"/>
              </w:rPr>
            </w:pPr>
          </w:p>
        </w:tc>
        <w:tc>
          <w:tcPr>
            <w:tcW w:w="600" w:type="dxa"/>
            <w:shd w:val="clear" w:color="auto" w:fill="auto"/>
            <w:vAlign w:val="center"/>
          </w:tcPr>
          <w:p>
            <w:pPr>
              <w:spacing w:before="20" w:after="20"/>
              <w:jc w:val="center"/>
              <w:rPr>
                <w:noProof/>
                <w:sz w:val="16"/>
                <w:szCs w:val="16"/>
              </w:rPr>
            </w:pPr>
            <w:r>
              <w:rPr>
                <w:noProof/>
                <w:sz w:val="16"/>
              </w:rPr>
              <w:t>Rok</w:t>
            </w:r>
            <w:r>
              <w:rPr>
                <w:noProof/>
                <w:sz w:val="22"/>
              </w:rPr>
              <w:br/>
            </w:r>
            <w:r>
              <w:rPr>
                <w:b/>
                <w:noProof/>
                <w:sz w:val="16"/>
              </w:rPr>
              <w:t>N</w:t>
            </w:r>
          </w:p>
        </w:tc>
        <w:tc>
          <w:tcPr>
            <w:tcW w:w="600" w:type="dxa"/>
            <w:shd w:val="clear" w:color="auto" w:fill="auto"/>
            <w:vAlign w:val="center"/>
          </w:tcPr>
          <w:p>
            <w:pPr>
              <w:spacing w:before="20" w:after="20"/>
              <w:jc w:val="center"/>
              <w:rPr>
                <w:noProof/>
                <w:sz w:val="16"/>
                <w:szCs w:val="16"/>
              </w:rPr>
            </w:pPr>
            <w:r>
              <w:rPr>
                <w:noProof/>
                <w:sz w:val="16"/>
              </w:rPr>
              <w:t>Rok</w:t>
            </w:r>
            <w:r>
              <w:rPr>
                <w:noProof/>
                <w:sz w:val="22"/>
              </w:rPr>
              <w:br/>
            </w:r>
            <w:r>
              <w:rPr>
                <w:b/>
                <w:noProof/>
                <w:sz w:val="16"/>
              </w:rPr>
              <w:t>N + 1</w:t>
            </w:r>
          </w:p>
        </w:tc>
        <w:tc>
          <w:tcPr>
            <w:tcW w:w="600" w:type="dxa"/>
            <w:shd w:val="clear" w:color="auto" w:fill="auto"/>
            <w:vAlign w:val="center"/>
          </w:tcPr>
          <w:p>
            <w:pPr>
              <w:spacing w:before="20" w:after="20"/>
              <w:jc w:val="center"/>
              <w:rPr>
                <w:noProof/>
                <w:sz w:val="16"/>
                <w:szCs w:val="16"/>
              </w:rPr>
            </w:pPr>
            <w:r>
              <w:rPr>
                <w:noProof/>
                <w:sz w:val="16"/>
              </w:rPr>
              <w:t xml:space="preserve">Rok </w:t>
            </w:r>
            <w:r>
              <w:rPr>
                <w:b/>
                <w:noProof/>
                <w:sz w:val="16"/>
              </w:rPr>
              <w:t>N+2</w:t>
            </w:r>
          </w:p>
        </w:tc>
        <w:tc>
          <w:tcPr>
            <w:tcW w:w="600" w:type="dxa"/>
            <w:shd w:val="clear" w:color="auto" w:fill="auto"/>
            <w:vAlign w:val="center"/>
          </w:tcPr>
          <w:p>
            <w:pPr>
              <w:spacing w:before="20" w:after="20"/>
              <w:jc w:val="center"/>
              <w:rPr>
                <w:noProof/>
                <w:sz w:val="16"/>
                <w:szCs w:val="16"/>
              </w:rPr>
            </w:pPr>
            <w:r>
              <w:rPr>
                <w:noProof/>
                <w:sz w:val="16"/>
              </w:rPr>
              <w:t xml:space="preserve">Rok </w:t>
            </w:r>
            <w:r>
              <w:rPr>
                <w:b/>
                <w:noProof/>
                <w:sz w:val="16"/>
              </w:rPr>
              <w:t>N+3</w:t>
            </w:r>
          </w:p>
        </w:tc>
        <w:tc>
          <w:tcPr>
            <w:tcW w:w="600" w:type="dxa"/>
            <w:gridSpan w:val="3"/>
            <w:shd w:val="clear" w:color="auto" w:fill="auto"/>
            <w:vAlign w:val="center"/>
          </w:tcPr>
          <w:p>
            <w:pPr>
              <w:jc w:val="center"/>
              <w:rPr>
                <w:b/>
                <w:noProof/>
                <w:sz w:val="16"/>
                <w:szCs w:val="16"/>
              </w:rPr>
            </w:pPr>
            <w:r>
              <w:rPr>
                <w:noProof/>
                <w:sz w:val="16"/>
              </w:rPr>
              <w:t>Uveďte všetky roky, počas ktorých vplyv trvá (pozri bod 1.6)</w:t>
            </w:r>
          </w:p>
        </w:tc>
      </w:tr>
      <w:tr>
        <w:trPr>
          <w:gridBefore w:val="1"/>
          <w:wBefore w:w="13" w:type="dxa"/>
          <w:trHeight w:val="289"/>
          <w:jc w:val="center"/>
        </w:trPr>
        <w:tc>
          <w:tcPr>
            <w:tcW w:w="600" w:type="dxa"/>
            <w:gridSpan w:val="9"/>
            <w:shd w:val="clear" w:color="auto" w:fill="auto"/>
          </w:tcPr>
          <w:p>
            <w:pPr>
              <w:jc w:val="left"/>
              <w:rPr>
                <w:noProof/>
                <w:sz w:val="16"/>
                <w:szCs w:val="16"/>
              </w:rPr>
            </w:pPr>
            <w:r>
              <w:rPr>
                <w:b/>
                <w:noProof/>
                <w:sz w:val="16"/>
              </w:rPr>
              <w:sym w:font="Wingdings" w:char="F09F"/>
            </w:r>
            <w:r>
              <w:rPr>
                <w:b/>
                <w:noProof/>
                <w:sz w:val="16"/>
              </w:rPr>
              <w:t xml:space="preserve"> Plán pracovných miest (úradníci a dočasní zamestnanci)</w:t>
            </w: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(ústredie a zastúpenia Komisie)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(delegácie)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01/11/21 (nepriamy výskum)</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01/11 (priamy výskum)</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trHeight w:val="248"/>
          <w:jc w:val="center"/>
        </w:trPr>
        <w:tc>
          <w:tcPr>
            <w:tcW w:w="600" w:type="dxa"/>
            <w:gridSpan w:val="10"/>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Externí zamestnanci (ekvivalent plného pracovného času )</w:t>
            </w:r>
            <w:r>
              <w:rPr>
                <w:rStyle w:val="FootnoteReference"/>
                <w:b/>
                <w:noProof/>
                <w:sz w:val="16"/>
              </w:rPr>
              <w:footnoteReference w:id="15"/>
            </w:r>
          </w:p>
          <w:p>
            <w:pPr>
              <w:pStyle w:val="Text1"/>
              <w:spacing w:before="0" w:after="0"/>
              <w:ind w:left="0"/>
              <w:jc w:val="left"/>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(ZZ, VNE, DAZ z celkového finančného krytia)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(ZZ, MZ, VNE, DAZ, PED v delegáciách)</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16"/>
            </w:r>
          </w:p>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ústredie</w:t>
            </w:r>
          </w:p>
          <w:p>
            <w:pPr>
              <w:pStyle w:val="Text1"/>
              <w:spacing w:beforeLines="20" w:before="48" w:afterLines="20" w:after="48"/>
              <w:ind w:left="136"/>
              <w:jc w:val="left"/>
              <w:rPr>
                <w:b/>
                <w:noProof/>
                <w:sz w:val="16"/>
                <w:szCs w:val="16"/>
              </w:rPr>
            </w:pP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shd w:val="clear" w:color="auto" w:fill="auto"/>
            <w:vAlign w:val="center"/>
          </w:tcPr>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delegácie </w:t>
            </w: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02/12/22 (ZZ, VNE, DAZ – nepriamy výskum)</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02/12 (ZZ, DAZ, VNE – priamy výskum)</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Iné rozpočtové riadky (uveďte)</w:t>
            </w: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SPOLU</w:t>
            </w: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rPr>
        <w:t xml:space="preserve"> </w:t>
      </w:r>
      <w:r>
        <w:rPr>
          <w:noProof/>
          <w:sz w:val="18"/>
        </w:rPr>
        <w:t>predstavuje príslušnú oblasť politiky alebo rozpočtovú hlavu.</w:t>
      </w:r>
    </w:p>
    <w:p>
      <w:pPr>
        <w:pStyle w:val="Text1"/>
        <w:rPr>
          <w:noProof/>
          <w:sz w:val="18"/>
          <w:szCs w:val="18"/>
        </w:rPr>
      </w:pPr>
      <w:r>
        <w:rPr>
          <w:noProof/>
          <w:sz w:val="18"/>
        </w:rPr>
        <w:t>Potreby ľudských zdrojov budú pokryté úradníkmi GR, ktorí už boli pridelení na riadenie akcie a/alebo boli interne prerozdelení v rámci GR, a v prípade potreby budú doplnené zdrojmi, ktoré sa môžu prideliť riadiacemu GR v rámci ročného postupu prideľovania zdrojov v závislosti od rozpočtových obmedzení.</w:t>
      </w:r>
    </w:p>
    <w:p>
      <w:pPr>
        <w:rPr>
          <w:noProof/>
          <w:sz w:val="20"/>
        </w:rPr>
      </w:pPr>
      <w:r>
        <w:rPr>
          <w:noProof/>
          <w:sz w:val="20"/>
        </w:rPr>
        <w:t>Opis úloh, ktoré sa majú vykonať:</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Úradníci a dočasní zamestnanci</w:t>
            </w:r>
          </w:p>
        </w:tc>
        <w:tc>
          <w:tcPr>
            <w:tcW w:w="7200" w:type="dxa"/>
          </w:tcPr>
          <w:p>
            <w:pPr>
              <w:rPr>
                <w:noProof/>
                <w:sz w:val="20"/>
              </w:rPr>
            </w:pPr>
          </w:p>
        </w:tc>
      </w:tr>
      <w:tr>
        <w:tc>
          <w:tcPr>
            <w:tcW w:w="3240" w:type="dxa"/>
          </w:tcPr>
          <w:p>
            <w:pPr>
              <w:spacing w:before="60" w:after="60"/>
              <w:rPr>
                <w:noProof/>
                <w:sz w:val="20"/>
              </w:rPr>
            </w:pPr>
            <w:r>
              <w:rPr>
                <w:noProof/>
                <w:sz w:val="20"/>
              </w:rPr>
              <w:t>Externí zamestnanci</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noProof/>
        </w:rPr>
      </w:pPr>
      <w:bookmarkStart w:id="49" w:name="_Toc514938056"/>
      <w:bookmarkStart w:id="50" w:name="_Toc520485055"/>
      <w:r>
        <w:t>3.2.4.</w:t>
      </w:r>
      <w:r>
        <w:tab/>
      </w:r>
      <w:r>
        <w:rPr>
          <w:noProof/>
        </w:rPr>
        <w:t>Súlad s platným viacročným finančným rámcom</w:t>
      </w:r>
      <w:bookmarkEnd w:id="49"/>
      <w:bookmarkEnd w:id="50"/>
    </w:p>
    <w:p>
      <w:pPr>
        <w:pStyle w:val="Text1"/>
        <w:rPr>
          <w:noProof/>
        </w:rPr>
      </w:pPr>
      <w:r>
        <w:rPr>
          <w:noProof/>
        </w:rPr>
        <w:t>Návrh/iniciatíva:</w:t>
      </w:r>
    </w:p>
    <w:p>
      <w:pPr>
        <w:pStyle w:val="ListDash1"/>
        <w:rPr>
          <w:noProof/>
        </w:rPr>
      </w:pPr>
      <w:r>
        <w:rPr>
          <w:b/>
          <w:noProof/>
        </w:rPr>
        <w:t>X</w:t>
      </w:r>
      <w:r>
        <w:rPr>
          <w:noProof/>
        </w:rPr>
        <w:tab/>
        <w:t>môže byť v plnej miere financovaná v medziach príslušného okruhu viacročného finančného rámca (VFR).</w:t>
      </w:r>
    </w:p>
    <w:p>
      <w:pPr>
        <w:pStyle w:val="ListDash1"/>
        <w:rPr>
          <w:noProof/>
        </w:rPr>
      </w:pPr>
      <w:r>
        <w:rPr>
          <w:noProof/>
        </w:rPr>
        <w:sym w:font="Wingdings" w:char="F0A8"/>
      </w:r>
      <w:r>
        <w:rPr>
          <w:noProof/>
        </w:rPr>
        <w:tab/>
        <w:t>si vyžaduje použitie nepridelenej rezervy v rámci príslušného okruhu VFR a/alebo použitie osobitných nástrojov vymedzených v nariadení o VFR.</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Vysvetlite potrebu a uveďte príslušné okruhy, rozpočtové riadky, zodpovedajúce sumy a nástroje, ktorých použitie sa navrhuje.</w:t>
      </w:r>
    </w:p>
    <w:p>
      <w:pPr>
        <w:pStyle w:val="ListDash1"/>
        <w:rPr>
          <w:noProof/>
        </w:rPr>
      </w:pPr>
      <w:r>
        <w:rPr>
          <w:noProof/>
        </w:rPr>
        <w:sym w:font="Wingdings" w:char="F0A8"/>
      </w:r>
      <w:r>
        <w:rPr>
          <w:noProof/>
        </w:rPr>
        <w:tab/>
        <w:t>si vyžaduje revíziu VFR.</w:t>
      </w:r>
    </w:p>
    <w:p>
      <w:pPr>
        <w:pStyle w:val="Text1"/>
        <w:pBdr>
          <w:top w:val="single" w:sz="4" w:space="1" w:color="auto"/>
          <w:left w:val="single" w:sz="4" w:space="4" w:color="auto"/>
          <w:bottom w:val="single" w:sz="4" w:space="3" w:color="auto"/>
          <w:right w:val="single" w:sz="4" w:space="4" w:color="auto"/>
        </w:pBdr>
        <w:rPr>
          <w:noProof/>
          <w:sz w:val="20"/>
        </w:rPr>
      </w:pPr>
      <w:r>
        <w:rPr>
          <w:noProof/>
          <w:sz w:val="20"/>
        </w:rPr>
        <w:t>Vysvetlite potrebu a uveďte príslušné okruhy, rozpočtové riadky a zodpovedajúce sumy.</w:t>
      </w:r>
    </w:p>
    <w:p>
      <w:pPr>
        <w:pStyle w:val="ManualHeading3"/>
        <w:rPr>
          <w:noProof/>
        </w:rPr>
      </w:pPr>
      <w:bookmarkStart w:id="51" w:name="_Toc514938058"/>
      <w:bookmarkStart w:id="52" w:name="_Toc520485056"/>
      <w:r>
        <w:t>3.2.5.</w:t>
      </w:r>
      <w:r>
        <w:tab/>
      </w:r>
      <w:r>
        <w:rPr>
          <w:noProof/>
        </w:rPr>
        <w:t>Príspevky od tretích strán</w:t>
      </w:r>
      <w:bookmarkEnd w:id="51"/>
      <w:bookmarkEnd w:id="52"/>
    </w:p>
    <w:p>
      <w:pPr>
        <w:pStyle w:val="Text1"/>
        <w:rPr>
          <w:noProof/>
        </w:rPr>
      </w:pPr>
      <w:r>
        <w:rPr>
          <w:noProof/>
        </w:rPr>
        <w:t>Návrh/iniciatíva:</w:t>
      </w:r>
    </w:p>
    <w:p>
      <w:pPr>
        <w:pStyle w:val="ListDash1"/>
        <w:rPr>
          <w:noProof/>
        </w:rPr>
      </w:pPr>
      <w:r>
        <w:rPr>
          <w:b/>
          <w:noProof/>
        </w:rPr>
        <w:t xml:space="preserve">X </w:t>
      </w:r>
      <w:r>
        <w:rPr>
          <w:noProof/>
        </w:rPr>
        <w:t>nezahŕňa spolufinancovanie tretími stranami</w:t>
      </w:r>
    </w:p>
    <w:p>
      <w:pPr>
        <w:pStyle w:val="ListDash1"/>
        <w:rPr>
          <w:noProof/>
        </w:rPr>
      </w:pPr>
      <w:r>
        <w:rPr>
          <w:noProof/>
        </w:rPr>
        <w:tab/>
        <w:t>zahŕňa spolufinancovanie tretími stranami, ako je odhadnuté v nasledujúcej tabuľke:</w:t>
      </w:r>
    </w:p>
    <w:p>
      <w:pPr>
        <w:jc w:val="right"/>
        <w:rPr>
          <w:noProof/>
          <w:sz w:val="20"/>
        </w:rPr>
      </w:pPr>
      <w:r>
        <w:rPr>
          <w:noProof/>
          <w:sz w:val="20"/>
        </w:rPr>
        <w:t>Rozpočtové prostriedky v EUR</w:t>
      </w:r>
    </w:p>
    <w:p>
      <w:pPr>
        <w:jc w:val="right"/>
        <w:rPr>
          <w:noProof/>
          <w:sz w:val="20"/>
        </w:rPr>
      </w:pPr>
    </w:p>
    <w:p>
      <w:pPr>
        <w:rPr>
          <w:noProof/>
        </w:rPr>
      </w:pPr>
      <w:r>
        <w:rPr>
          <w:noProof/>
        </w:rPr>
        <w:br/>
      </w:r>
    </w:p>
    <w:p>
      <w:pPr>
        <w:pStyle w:val="ManualHeading2"/>
        <w:rPr>
          <w:noProof/>
        </w:rPr>
      </w:pPr>
      <w:r>
        <w:rPr>
          <w:noProof/>
        </w:rPr>
        <w:br w:type="page"/>
      </w:r>
      <w:bookmarkStart w:id="53" w:name="_Toc514938059"/>
      <w:bookmarkStart w:id="54" w:name="_Toc520485057"/>
      <w:r>
        <w:t>3.3.</w:t>
      </w:r>
      <w:r>
        <w:tab/>
      </w:r>
      <w:r>
        <w:rPr>
          <w:noProof/>
        </w:rPr>
        <w:t>Odhadovaný vplyv na príjmy</w:t>
      </w:r>
      <w:bookmarkEnd w:id="53"/>
      <w:bookmarkEnd w:id="54"/>
    </w:p>
    <w:p>
      <w:pPr>
        <w:pStyle w:val="ListDash1"/>
        <w:rPr>
          <w:noProof/>
        </w:rPr>
      </w:pPr>
      <w:r>
        <w:rPr>
          <w:noProof/>
        </w:rPr>
        <w:sym w:font="Wingdings" w:char="F0A8"/>
      </w:r>
      <w:r>
        <w:rPr>
          <w:noProof/>
        </w:rPr>
        <w:tab/>
        <w:t>Návrh/iniciatíva nemá finančný vplyv na príjmy</w:t>
      </w:r>
    </w:p>
    <w:p>
      <w:pPr>
        <w:pStyle w:val="ListDash1"/>
        <w:rPr>
          <w:noProof/>
        </w:rPr>
      </w:pPr>
      <w:r>
        <w:rPr>
          <w:noProof/>
        </w:rPr>
        <w:tab/>
        <w:t>Návrh/iniciatíva má finančný vplyv na príjmy, ako je uvedené v nasledujúcej tabuľke:</w:t>
      </w:r>
    </w:p>
    <w:p>
      <w:pPr>
        <w:pStyle w:val="Text2"/>
        <w:rPr>
          <w:noProof/>
        </w:rPr>
      </w:pPr>
      <w:r>
        <w:rPr>
          <w:noProof/>
        </w:rPr>
        <w:sym w:font="Wingdings" w:char="F0A8"/>
      </w:r>
      <w:r>
        <w:rPr>
          <w:noProof/>
        </w:rPr>
        <w:tab/>
        <w:t>vplyv na vlastné zdroje</w:t>
      </w:r>
    </w:p>
    <w:p>
      <w:pPr>
        <w:pStyle w:val="Text2"/>
        <w:rPr>
          <w:noProof/>
        </w:rPr>
      </w:pPr>
      <w:r>
        <w:rPr>
          <w:noProof/>
        </w:rPr>
        <w:t>X</w:t>
      </w:r>
      <w:r>
        <w:rPr>
          <w:noProof/>
        </w:rPr>
        <w:tab/>
        <w:t>vplyv na iné príjmy</w:t>
      </w:r>
    </w:p>
    <w:p>
      <w:pPr>
        <w:pStyle w:val="Text2"/>
        <w:rPr>
          <w:noProof/>
        </w:rPr>
      </w:pPr>
      <w:r>
        <w:rPr>
          <w:noProof/>
        </w:rPr>
        <w:t>uveďte, či sú príjmy pripísané rozpočtovým riadkom výdavkov X</w:t>
      </w:r>
      <w:r>
        <w:rPr>
          <w:noProof/>
        </w:rPr>
        <w:tab/>
      </w:r>
    </w:p>
    <w:p>
      <w:pPr>
        <w:pStyle w:val="ListNumberLevel3"/>
        <w:tabs>
          <w:tab w:val="clear" w:pos="2126"/>
        </w:tabs>
        <w:ind w:firstLine="0"/>
        <w:rPr>
          <w:noProof/>
        </w:rPr>
      </w:pPr>
    </w:p>
    <w:p>
      <w:pPr>
        <w:ind w:left="4320"/>
        <w:rPr>
          <w:noProof/>
        </w:rPr>
      </w:pPr>
      <w:r>
        <w:rPr>
          <w:noProof/>
        </w:rPr>
        <w:t>EUR</w:t>
      </w:r>
    </w:p>
    <w:p>
      <w:pPr>
        <w:pStyle w:val="Text1"/>
        <w:rPr>
          <w:noProof/>
          <w:sz w:val="20"/>
        </w:rPr>
      </w:pPr>
      <w:r>
        <w:rPr>
          <w:noProof/>
        </w:rPr>
        <w:br/>
      </w:r>
    </w:p>
    <w:p>
      <w:pPr>
        <w:pStyle w:val="Text1"/>
        <w:rPr>
          <w:noProof/>
          <w:sz w:val="20"/>
        </w:rPr>
      </w:pPr>
      <w:r>
        <w:rPr>
          <w:noProof/>
          <w:sz w:val="20"/>
        </w:rPr>
        <w:t>V prípade pripísaných príjmov uveďte príslušné rozpočtové riadky výdavkov.</w:t>
      </w:r>
    </w:p>
    <w:p>
      <w:pPr>
        <w:pStyle w:val="Text1"/>
        <w:pBdr>
          <w:top w:val="single" w:sz="4" w:space="1" w:color="auto"/>
          <w:left w:val="single" w:sz="4" w:space="4" w:color="auto"/>
          <w:bottom w:val="single" w:sz="4" w:space="1" w:color="auto"/>
          <w:right w:val="single" w:sz="4" w:space="4" w:color="auto"/>
        </w:pBdr>
        <w:rPr>
          <w:noProof/>
        </w:rPr>
      </w:pPr>
      <w:r>
        <w:t>Neuvádza sa.</w:t>
      </w:r>
    </w:p>
    <w:p>
      <w:pPr>
        <w:pStyle w:val="Text1"/>
        <w:rPr>
          <w:noProof/>
          <w:sz w:val="20"/>
        </w:rPr>
      </w:pPr>
      <w:r>
        <w:rPr>
          <w:noProof/>
          <w:sz w:val="20"/>
        </w:rPr>
        <w:t>Ďalšie poznámky (napr. spôsob/vzorec použitý na výpočet vplyvu na príjmy alebo akékoľvek ďalšie informácie).</w:t>
      </w:r>
    </w:p>
    <w:p>
      <w:pPr>
        <w:pStyle w:val="Text1"/>
        <w:rPr>
          <w:noProof/>
        </w:rPr>
      </w:pPr>
      <w:r>
        <w:rPr>
          <w:noProof/>
        </w:rPr>
        <w:t>Zvýšenie iných príjmov sa bude rovnať sume vlastných zdrojov, ktoré má sprístupniť Spojené kráľovstvo za obdobie po dátume vystúpenia v súlade s rozpočtom na rok 2019, ktorý schválil Európsky parlament v decembri 2018.</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SK</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tab/>
    </w:r>
    <w:r>
      <w:rPr>
        <w:rFonts w:ascii="Arial" w:hAnsi="Arial" w:cs="Arial"/>
        <w:b/>
        <w:sz w:val="48"/>
      </w:rPr>
      <w:t>SK</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COM(2018) 880 final.</w:t>
      </w:r>
    </w:p>
  </w:footnote>
  <w:footnote w:id="2">
    <w:p>
      <w:pPr>
        <w:pStyle w:val="FootnoteText"/>
      </w:pPr>
      <w:r>
        <w:rPr>
          <w:rStyle w:val="FootnoteReference"/>
        </w:rPr>
        <w:footnoteRef/>
      </w:r>
      <w:r>
        <w:tab/>
        <w:t>Ú. v. EÚ C , , s. .</w:t>
      </w:r>
    </w:p>
  </w:footnote>
  <w:footnote w:id="3">
    <w:p>
      <w:pPr>
        <w:pStyle w:val="FootnoteText"/>
      </w:pPr>
      <w:r>
        <w:rPr>
          <w:rStyle w:val="FootnoteReference"/>
        </w:rPr>
        <w:footnoteRef/>
      </w:r>
      <w:r>
        <w:tab/>
        <w:t>Nariadenie Európskeho parlamentu a Rady (EÚ) 2019/... z ... s cieľom umožniť pokračovanie programov územnej spolupráce PEACE IV (Írsko – Spojené kráľovstvo) a Spojené kráľovstvo – Írsko (Írsko – Severné Írsko – Škótsko) v súvislosti s vystúpením Spojeného kráľovstva z Európskej únie.</w:t>
      </w:r>
    </w:p>
  </w:footnote>
  <w:footnote w:id="4">
    <w:p>
      <w:pPr>
        <w:pStyle w:val="FootnoteText"/>
      </w:pPr>
      <w:r>
        <w:rPr>
          <w:rStyle w:val="FootnoteReference"/>
        </w:rPr>
        <w:footnoteRef/>
      </w:r>
      <w:r>
        <w:tab/>
        <w:t>Nariadenie Európskeho parlamentu a Rady (EÚ) 2019/... z ..., ktorým sa stanovujú ustanovenia týkajúce sa pokračovania v prebiehajúcich činnostiach vzdelávacej mobility v rámci programu Erasmus+ v kontexte vystúpenia Spojeného kráľovstva Veľkej Británie a Severného Írska („Spojené kráľovstvo“) z Európskej únie.</w:t>
      </w:r>
    </w:p>
  </w:footnote>
  <w:footnote w:id="5">
    <w:p>
      <w:pPr>
        <w:pStyle w:val="FootnoteText"/>
      </w:pPr>
      <w:r>
        <w:rPr>
          <w:rStyle w:val="FootnoteReference"/>
        </w:rPr>
        <w:footnoteRef/>
      </w:r>
      <w:r>
        <w:tab/>
        <w:t>Ú. v. EÚ...</w:t>
      </w:r>
    </w:p>
  </w:footnote>
  <w:footnote w:id="6">
    <w:p>
      <w:pPr>
        <w:pStyle w:val="FootnoteText"/>
        <w:jc w:val="left"/>
        <w:rPr>
          <w:szCs w:val="24"/>
        </w:rPr>
      </w:pPr>
      <w:r>
        <w:rPr>
          <w:rStyle w:val="FootnoteReference"/>
        </w:rPr>
        <w:footnoteRef/>
      </w:r>
      <w:r>
        <w:tab/>
        <w:t xml:space="preserve">Vysvetlenie spôsobov riadenia a odkazy na nariadenie o rozpočtových pravidlách sú k dispozícii na webovej stránke BudgWeb: </w:t>
      </w:r>
      <w:hyperlink r:id="rId1">
        <w:r>
          <w:rPr>
            <w:rStyle w:val="Hyperlink"/>
          </w:rPr>
          <w:t>https://myintracomm.ec.europa.eu/budgweb/EN/man/budgmanag/Pages/budgmanag.aspx</w:t>
        </w:r>
      </w:hyperlink>
      <w:r>
        <w:t xml:space="preserve"> </w:t>
      </w:r>
    </w:p>
  </w:footnote>
  <w:footnote w:id="7">
    <w:p>
      <w:pPr>
        <w:pStyle w:val="FootnoteText"/>
        <w:rPr>
          <w:szCs w:val="24"/>
        </w:rPr>
      </w:pPr>
      <w:r>
        <w:rPr>
          <w:rStyle w:val="FootnoteReference"/>
        </w:rPr>
        <w:footnoteRef/>
      </w:r>
      <w:r>
        <w:tab/>
        <w:t>DRP = diferencované rozpočtové prostriedky / NRP = nediferencované rozpočtové prostriedky.</w:t>
      </w:r>
    </w:p>
  </w:footnote>
  <w:footnote w:id="8">
    <w:p>
      <w:pPr>
        <w:pStyle w:val="FootnoteText"/>
        <w:rPr>
          <w:szCs w:val="24"/>
        </w:rPr>
      </w:pPr>
      <w:r>
        <w:rPr>
          <w:rStyle w:val="FootnoteReference"/>
        </w:rPr>
        <w:footnoteRef/>
      </w:r>
      <w:r>
        <w:tab/>
        <w:t xml:space="preserve">EZVO: Európske združenie voľného obchodu. </w:t>
      </w:r>
    </w:p>
  </w:footnote>
  <w:footnote w:id="9">
    <w:p>
      <w:pPr>
        <w:pStyle w:val="FootnoteText"/>
        <w:rPr>
          <w:szCs w:val="24"/>
        </w:rPr>
      </w:pPr>
      <w:r>
        <w:rPr>
          <w:rStyle w:val="FootnoteReference"/>
        </w:rPr>
        <w:footnoteRef/>
      </w:r>
      <w:r>
        <w:tab/>
        <w:t>Kandidátske krajiny a prípadne potenciálni kandidáti zo západného Balkánu.</w:t>
      </w:r>
    </w:p>
  </w:footnote>
  <w:footnote w:id="10">
    <w:p>
      <w:pPr>
        <w:pStyle w:val="FootnoteText"/>
        <w:rPr>
          <w:szCs w:val="24"/>
        </w:rPr>
      </w:pPr>
      <w:r>
        <w:rPr>
          <w:rStyle w:val="FootnoteReference"/>
        </w:rPr>
        <w:footnoteRef/>
      </w:r>
      <w:r>
        <w:tab/>
      </w:r>
      <w:r>
        <w:rPr>
          <w:sz w:val="18"/>
        </w:rPr>
        <w:t>Rok N je rokom, v ktorom sa návrh/iniciatíva začína vykonávať. Nahraďte „N“ očakávaným prvým rokom vykonávania (napríklad: 2021). To isté urobte aj pri nasledujúcich rokoch.</w:t>
      </w:r>
    </w:p>
  </w:footnote>
  <w:footnote w:id="11">
    <w:p>
      <w:pPr>
        <w:pStyle w:val="FootnoteText"/>
        <w:rPr>
          <w:szCs w:val="24"/>
        </w:rPr>
      </w:pPr>
      <w:r>
        <w:rPr>
          <w:rStyle w:val="FootnoteReference"/>
        </w:rPr>
        <w:footnoteRef/>
      </w:r>
      <w:r>
        <w:tab/>
        <w:t>Výstupy sú produkty, ktoré sa majú dodať, a služby, ktoré sa majú poskytnúť (napr.: počet financovaných výmen študentov, vybudované cesty v km atď.).</w:t>
      </w:r>
    </w:p>
  </w:footnote>
  <w:footnote w:id="12">
    <w:p>
      <w:pPr>
        <w:pStyle w:val="FootnoteText"/>
        <w:rPr>
          <w:szCs w:val="24"/>
        </w:rPr>
      </w:pPr>
      <w:r>
        <w:rPr>
          <w:rStyle w:val="FootnoteReference"/>
        </w:rPr>
        <w:footnoteRef/>
      </w:r>
      <w:r>
        <w:tab/>
        <w:t xml:space="preserve">Ako je uvedené v bode 1.4.2. „Špecifické ciele...“. </w:t>
      </w:r>
    </w:p>
  </w:footnote>
  <w:footnote w:id="13">
    <w:p>
      <w:pPr>
        <w:pStyle w:val="FootnoteText"/>
        <w:rPr>
          <w:sz w:val="18"/>
          <w:szCs w:val="18"/>
        </w:rPr>
      </w:pPr>
      <w:r>
        <w:rPr>
          <w:rStyle w:val="FootnoteReference"/>
        </w:rPr>
        <w:footnoteRef/>
      </w:r>
      <w:r>
        <w:tab/>
      </w:r>
      <w:r>
        <w:rPr>
          <w:sz w:val="18"/>
        </w:rPr>
        <w:t>Rok N je rokom, v ktorom sa návrh/iniciatíva začína vykonávať. Nahraďte „N“ očakávaným prvým rokom vykonávania (napríklad: 2021). To isté urobte aj pri nasledujúcich rokoch.</w:t>
      </w:r>
    </w:p>
  </w:footnote>
  <w:footnote w:id="14">
    <w:p>
      <w:pPr>
        <w:pStyle w:val="FootnoteText"/>
        <w:rPr>
          <w:szCs w:val="24"/>
        </w:rPr>
      </w:pPr>
      <w:r>
        <w:rPr>
          <w:rStyle w:val="FootnoteReference"/>
        </w:rPr>
        <w:footnoteRef/>
      </w:r>
      <w:r>
        <w:tab/>
      </w:r>
      <w:r>
        <w:rPr>
          <w:sz w:val="18"/>
        </w:rPr>
        <w:t>Technická a/alebo administratívna pomoc a výdavky určené na financovanie vykonávania programov a/alebo akcií Európskej únie (pôvodné rozpočtové riadky „BA“), nepriamy výskum, priamy výskum.</w:t>
      </w:r>
    </w:p>
  </w:footnote>
  <w:footnote w:id="15">
    <w:p>
      <w:pPr>
        <w:pStyle w:val="FootnoteText"/>
        <w:rPr>
          <w:szCs w:val="24"/>
        </w:rPr>
      </w:pPr>
      <w:r>
        <w:rPr>
          <w:rStyle w:val="FootnoteReference"/>
        </w:rPr>
        <w:footnoteRef/>
      </w:r>
      <w:r>
        <w:tab/>
        <w:t xml:space="preserve">ZZ = zmluvný zamestnanec; MZ = miestny zamestnanec; VNE = vyslaný národný expert; DAZ = dočasný agentúrny zamestnanec; PED = pomocný expert v delegácii. </w:t>
      </w:r>
    </w:p>
  </w:footnote>
  <w:footnote w:id="16">
    <w:p>
      <w:pPr>
        <w:pStyle w:val="FootnoteText"/>
        <w:rPr>
          <w:szCs w:val="24"/>
        </w:rPr>
      </w:pPr>
      <w:r>
        <w:rPr>
          <w:rStyle w:val="FootnoteReference"/>
        </w:rPr>
        <w:footnoteRef/>
      </w:r>
      <w:r>
        <w:tab/>
        <w:t>Čiastkový strop pre externých zamestnancov financovaných z operačných rozpočtových prostriedkov (pôvodné rozpočtové riadky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300CA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B9CE1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1C860B0"/>
    <w:lvl w:ilvl="0">
      <w:start w:val="1"/>
      <w:numFmt w:val="decimal"/>
      <w:pStyle w:val="ListNumber2"/>
      <w:lvlText w:val="%1."/>
      <w:lvlJc w:val="left"/>
      <w:pPr>
        <w:tabs>
          <w:tab w:val="num" w:pos="643"/>
        </w:tabs>
        <w:ind w:left="643" w:hanging="360"/>
      </w:pPr>
    </w:lvl>
  </w:abstractNum>
  <w:abstractNum w:abstractNumId="3">
    <w:nsid w:val="FFFFFF81"/>
    <w:multiLevelType w:val="singleLevel"/>
    <w:tmpl w:val="5ABEB8E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B8633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58062E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83365630"/>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6">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7"/>
  </w:num>
  <w:num w:numId="11">
    <w:abstractNumId w:val="16"/>
  </w:num>
  <w:num w:numId="12">
    <w:abstractNumId w:val="15"/>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2"/>
  </w:num>
  <w:num w:numId="16">
    <w:abstractNumId w:val="22"/>
  </w:num>
  <w:num w:numId="17">
    <w:abstractNumId w:val="11"/>
  </w:num>
  <w:num w:numId="18">
    <w:abstractNumId w:val="13"/>
  </w:num>
  <w:num w:numId="19">
    <w:abstractNumId w:val="9"/>
  </w:num>
  <w:num w:numId="20">
    <w:abstractNumId w:val="21"/>
  </w:num>
  <w:num w:numId="21">
    <w:abstractNumId w:val="8"/>
  </w:num>
  <w:num w:numId="22">
    <w:abstractNumId w:val="14"/>
  </w:num>
  <w:num w:numId="23">
    <w:abstractNumId w:val="18"/>
  </w:num>
  <w:num w:numId="24">
    <w:abstractNumId w:val="19"/>
  </w:num>
  <w:num w:numId="25">
    <w:abstractNumId w:val="10"/>
  </w:num>
  <w:num w:numId="26">
    <w:abstractNumId w:val="17"/>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31 10:01:3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19"/>
    <w:docVar w:name="DQCResult_UnknownFonts" w:val="0;0"/>
    <w:docVar w:name="DQCResult_UnknownStyles" w:val="0;21"/>
    <w:docVar w:name="DQCStatus" w:val="Green"/>
    <w:docVar w:name="DQCVersion" w:val="3"/>
    <w:docVar w:name="DQCWithWarnings" w:val="0"/>
    <w:docVar w:name="LW_CORRIGENDUM" w:val="&lt;UNUSED&gt;"/>
    <w:docVar w:name="LW_COVERPAGE_EXISTS" w:val="True"/>
    <w:docVar w:name="LW_COVERPAGE_GUID" w:val="12EC6523-F19C-4C12-A41B-F1EAC34165B0"/>
    <w:docVar w:name="LW_COVERPAGE_TYPE" w:val="1"/>
    <w:docVar w:name="LW_CROSSREFERENCE" w:val="&lt;UNUSED&gt;"/>
    <w:docVar w:name="LW_DocType" w:val="COM"/>
    <w:docVar w:name="LW_EMISSION" w:val="30. 1. 2019"/>
    <w:docVar w:name="LW_EMISSION_ISODATE" w:val="2019-01-30"/>
    <w:docVar w:name="LW_EMISSION_LOCATION" w:val="BRX"/>
    <w:docVar w:name="LW_EMISSION_PREFIX" w:val="V Bruseli"/>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APP"/>
    <w:docVar w:name="LW_REF.II.NEW.CP_NUMBER" w:val="0031"/>
    <w:docVar w:name="LW_REF.II.NEW.CP_YEAR" w:val="2019"/>
    <w:docVar w:name="LW_REF.INST.NEW" w:val="COM"/>
    <w:docVar w:name="LW_REF.INST.NEW_ADOPTED" w:val="final"/>
    <w:docVar w:name="LW_REF.INST.NEW_TEXT" w:val="(2019) 6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o opatreniach týkajúcich sa plnenia a financovania v\u353?eobecného rozpo\u269?tu Únie v roku 2019 v súvislosti s vystúpením Spojeného krá\u318?ovstva z Únie"/>
    <w:docVar w:name="LW_TYPE.DOC.CP" w:val="NARIADENI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3">
    <w:name w:val="List Bullet 3"/>
    <w:basedOn w:val="Normal"/>
    <w:unhideWhenUsed/>
    <w:pPr>
      <w:numPr>
        <w:numId w:val="1"/>
      </w:numPr>
      <w:contextualSpacing/>
    </w:pPr>
  </w:style>
  <w:style w:type="paragraph" w:styleId="ListNumber">
    <w:name w:val="List Number"/>
    <w:basedOn w:val="Normal"/>
    <w:unhideWhenUsed/>
    <w:p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2">
    <w:name w:val="List Number 2"/>
    <w:basedOn w:val="Normal"/>
    <w:uiPriority w:val="99"/>
    <w:semiHidden/>
    <w:unhideWhenUsed/>
    <w:pPr>
      <w:numPr>
        <w:numId w:val="5"/>
      </w:numPr>
      <w:contextualSpacing/>
    </w:pPr>
  </w:style>
  <w:style w:type="paragraph" w:styleId="ListNumber3">
    <w:name w:val="List Number 3"/>
    <w:basedOn w:val="Normal"/>
    <w:uiPriority w:val="99"/>
    <w:semiHidden/>
    <w:unhideWhenUsed/>
    <w:pPr>
      <w:numPr>
        <w:numId w:val="6"/>
      </w:numPr>
      <w:contextualSpacing/>
    </w:pPr>
  </w:style>
  <w:style w:type="paragraph" w:styleId="ListNumber4">
    <w:name w:val="List Number 4"/>
    <w:basedOn w:val="Normal"/>
    <w:uiPriority w:val="99"/>
    <w:semiHidden/>
    <w:unhideWhenUsed/>
    <w:pPr>
      <w:numPr>
        <w:numId w:val="7"/>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ListBullet1">
    <w:name w:val="List Bullet 1"/>
    <w:basedOn w:val="Normal"/>
    <w:pPr>
      <w:numPr>
        <w:numId w:val="10"/>
      </w:numPr>
    </w:pPr>
  </w:style>
  <w:style w:type="paragraph" w:customStyle="1" w:styleId="ListDash1">
    <w:name w:val="List Dash 1"/>
    <w:basedOn w:val="Normal"/>
    <w:pPr>
      <w:numPr>
        <w:numId w:val="11"/>
      </w:numPr>
    </w:pPr>
  </w:style>
  <w:style w:type="paragraph" w:customStyle="1" w:styleId="ListDash2">
    <w:name w:val="List Dash 2"/>
    <w:basedOn w:val="Normal"/>
    <w:pPr>
      <w:numPr>
        <w:numId w:val="12"/>
      </w:numPr>
    </w:pPr>
  </w:style>
  <w:style w:type="paragraph" w:customStyle="1" w:styleId="ListNumberLevel3">
    <w:name w:val="List Number (Level 3)"/>
    <w:basedOn w:val="Normal"/>
    <w:pPr>
      <w:tabs>
        <w:tab w:val="num" w:pos="2126"/>
      </w:tabs>
      <w:ind w:left="2126" w:hanging="709"/>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3">
    <w:name w:val="List Bullet 3"/>
    <w:basedOn w:val="Normal"/>
    <w:unhideWhenUsed/>
    <w:pPr>
      <w:numPr>
        <w:numId w:val="1"/>
      </w:numPr>
      <w:contextualSpacing/>
    </w:pPr>
  </w:style>
  <w:style w:type="paragraph" w:styleId="ListNumber">
    <w:name w:val="List Number"/>
    <w:basedOn w:val="Normal"/>
    <w:unhideWhenUsed/>
    <w:p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2">
    <w:name w:val="List Number 2"/>
    <w:basedOn w:val="Normal"/>
    <w:uiPriority w:val="99"/>
    <w:semiHidden/>
    <w:unhideWhenUsed/>
    <w:pPr>
      <w:numPr>
        <w:numId w:val="5"/>
      </w:numPr>
      <w:contextualSpacing/>
    </w:pPr>
  </w:style>
  <w:style w:type="paragraph" w:styleId="ListNumber3">
    <w:name w:val="List Number 3"/>
    <w:basedOn w:val="Normal"/>
    <w:uiPriority w:val="99"/>
    <w:semiHidden/>
    <w:unhideWhenUsed/>
    <w:pPr>
      <w:numPr>
        <w:numId w:val="6"/>
      </w:numPr>
      <w:contextualSpacing/>
    </w:pPr>
  </w:style>
  <w:style w:type="paragraph" w:styleId="ListNumber4">
    <w:name w:val="List Number 4"/>
    <w:basedOn w:val="Normal"/>
    <w:uiPriority w:val="99"/>
    <w:semiHidden/>
    <w:unhideWhenUsed/>
    <w:pPr>
      <w:numPr>
        <w:numId w:val="7"/>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ListBullet1">
    <w:name w:val="List Bullet 1"/>
    <w:basedOn w:val="Normal"/>
    <w:pPr>
      <w:numPr>
        <w:numId w:val="10"/>
      </w:numPr>
    </w:pPr>
  </w:style>
  <w:style w:type="paragraph" w:customStyle="1" w:styleId="ListDash1">
    <w:name w:val="List Dash 1"/>
    <w:basedOn w:val="Normal"/>
    <w:pPr>
      <w:numPr>
        <w:numId w:val="11"/>
      </w:numPr>
    </w:pPr>
  </w:style>
  <w:style w:type="paragraph" w:customStyle="1" w:styleId="ListDash2">
    <w:name w:val="List Dash 2"/>
    <w:basedOn w:val="Normal"/>
    <w:pPr>
      <w:numPr>
        <w:numId w:val="12"/>
      </w:numPr>
    </w:pPr>
  </w:style>
  <w:style w:type="paragraph" w:customStyle="1" w:styleId="ListNumberLevel3">
    <w:name w:val="List Number (Level 3)"/>
    <w:basedOn w:val="Normal"/>
    <w:pPr>
      <w:tabs>
        <w:tab w:val="num" w:pos="2126"/>
      </w:tabs>
      <w:ind w:left="2126" w:hanging="709"/>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myintracomm.ec.europa.eu/budgweb/EN/leg/internal/Documents/2016-5-legislative-financial-statement-ann-en.docx" TargetMode="Externa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5</TotalTime>
  <Pages>24</Pages>
  <Words>5917</Words>
  <Characters>34676</Characters>
  <Application>Microsoft Office Word</Application>
  <DocSecurity>0</DocSecurity>
  <Lines>1387</Lines>
  <Paragraphs>436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20</cp:revision>
  <dcterms:created xsi:type="dcterms:W3CDTF">2019-01-30T16:17:00Z</dcterms:created>
  <dcterms:modified xsi:type="dcterms:W3CDTF">2019-01-31T09:01:00Z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