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06CE2C8-089A-4D6E-BE2D-2E28621CCDED" style="width:450.75pt;height:450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/>
        <w:rPr>
          <w:noProof/>
        </w:rPr>
      </w:pPr>
      <w:r>
        <w:rPr>
          <w:noProof/>
        </w:rPr>
        <w:t>Nacrtom odluke Zajedničkog odbora EGP-a (priloženim predloženoj odluci Vijeća) želi se izmijeniti Prilog IX. (Financijske usluge) Sporazumu o EGP-u kako bi se u njega uključile Uredba o tržištima financijskih instrumenata (MiFiR) i Direktiva MiFID II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</w:t>
      </w:r>
    </w:p>
    <w:p>
      <w:pPr>
        <w:pStyle w:val="Text1"/>
        <w:ind w:left="720"/>
        <w:rPr>
          <w:noProof/>
        </w:rPr>
      </w:pPr>
      <w:r>
        <w:rPr>
          <w:noProof/>
        </w:rPr>
        <w:t>Prilagodbe u nacrtima priloženih odluka Zajedničkog odbora EGP-a nadilaze puke tehničke prilagodbe u smislu Uredbe Vijeća br. 2894/94. Stoga Vijeće utvrđuje stajalište Unije.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s postojećim odredbama politike u određenom području</w:t>
      </w:r>
    </w:p>
    <w:p>
      <w:pPr>
        <w:pStyle w:val="Text1"/>
        <w:ind w:left="720"/>
        <w:rPr>
          <w:rFonts w:eastAsia="Arial Unicode MS"/>
          <w:noProof/>
        </w:rPr>
      </w:pPr>
      <w:r>
        <w:rPr>
          <w:noProof/>
        </w:rPr>
        <w:t>Priloženim nacrtom odluke Zajedničkog odbora EGP-a proširuje se već postojeća politika EU-a na države EFTA-e koje su članice EGP-a (Norveška, Island i Lihtenštajn).</w:t>
      </w:r>
      <w:r>
        <w:t xml:space="preserve">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u odnosu na druge politike Unije</w:t>
      </w:r>
    </w:p>
    <w:p>
      <w:pPr>
        <w:pStyle w:val="Text1"/>
        <w:ind w:left="720"/>
        <w:rPr>
          <w:rFonts w:eastAsia="Arial Unicode MS"/>
          <w:noProof/>
        </w:rPr>
      </w:pPr>
      <w:r>
        <w:rPr>
          <w:noProof/>
        </w:rPr>
        <w:t xml:space="preserve">Proširenje pravne stečevine EU-a na države EFTA-e koje su članice EGP-a uključivanjem u Sporazum o EGP-u provodi se u skladu s ciljevima i načelima tog sporazuma čiji je cilj uspostaviti dinamičan i homogen Europski gospodarski prostor utemeljen na zajedničkim pravilima i jednakim uvjetima tržišnog natjecanja.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>
      <w:pPr>
        <w:pStyle w:val="Text1"/>
        <w:rPr>
          <w:noProof/>
        </w:rPr>
      </w:pPr>
      <w:r>
        <w:rPr>
          <w:noProof/>
        </w:rPr>
        <w:t>Zakonodavstvo koje se treba uključiti u Sporazum o EGP-u temelji se na članku 114. Ugovora o funkcioniranju Europske unije.</w:t>
      </w:r>
    </w:p>
    <w:p>
      <w:pPr>
        <w:pStyle w:val="Text1"/>
        <w:rPr>
          <w:noProof/>
        </w:rPr>
      </w:pPr>
      <w:r>
        <w:rPr>
          <w:noProof/>
        </w:rPr>
        <w:t>Člankom 1. stavkom 3. Uredbe Vijeća (EZ) br. 2894/94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o rješenjima za provedbu Sporazuma o EGP-u predviđa se da Vijeće na prijedlog Komisije utvrđuje stajalište o takvim odlukama koje treba zauzeti u ime Unije. </w:t>
      </w:r>
    </w:p>
    <w:p>
      <w:pPr>
        <w:pStyle w:val="Text1"/>
        <w:rPr>
          <w:noProof/>
        </w:rPr>
      </w:pPr>
      <w:r>
        <w:rPr>
          <w:noProof/>
        </w:rPr>
        <w:t>Europska služba za vanjsko djelovanje (ESVD) u suradnji sa službama Komisije Vijeću na donošenje podnosi nacrte odluka Zajedničkog odbora EGP-a koji predstavljaju stajalište Unije. ESVD se nada da će ga moći što prije iznijeti u Zajedničkom odboru EGP-a.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Supsidijarnost (za neisključivu nadležnost) </w:t>
      </w:r>
    </w:p>
    <w:p>
      <w:pPr>
        <w:pStyle w:val="Text1"/>
        <w:rPr>
          <w:noProof/>
        </w:rPr>
      </w:pPr>
      <w:r>
        <w:rPr>
          <w:noProof/>
        </w:rPr>
        <w:t xml:space="preserve">Prijedlog je u skladu s načelom supsidijarnosti iz sljedećeg razloga: </w:t>
      </w:r>
    </w:p>
    <w:p>
      <w:pPr>
        <w:pStyle w:val="Text1"/>
        <w:rPr>
          <w:noProof/>
        </w:rPr>
      </w:pPr>
      <w:r>
        <w:rPr>
          <w:noProof/>
        </w:rPr>
        <w:t xml:space="preserve">cilj ovog prijedloga, to jest osiguravanje homogenosti unutarnjeg tržišta, ne mogu u dovoljnoj mjeri ostvariti države članice i stoga se, zbog svojih učinaka, može bolje ostvariti na razini Unije. </w:t>
      </w:r>
    </w:p>
    <w:p>
      <w:pPr>
        <w:pStyle w:val="Text1"/>
        <w:rPr>
          <w:noProof/>
        </w:rPr>
      </w:pPr>
      <w:r>
        <w:rPr>
          <w:noProof/>
        </w:rPr>
        <w:t xml:space="preserve">Postupak uključivanja pravne stečevine EU-a u Sporazum o EGP-u provodi se u skladu s Uredbom Vijeća (EZ) br. 2894/94 od 28. studenoga 1994. o rješenjima za provedbu Sporazuma o Europskom gospodarskom prostoru, kojom se potvrđuje zauzeti pristup.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Proporcionalnost</w:t>
      </w:r>
    </w:p>
    <w:p>
      <w:pPr>
        <w:pStyle w:val="Text1"/>
        <w:rPr>
          <w:noProof/>
        </w:rPr>
      </w:pPr>
      <w:r>
        <w:rPr>
          <w:noProof/>
        </w:rPr>
        <w:t>U skladu s načelom proporcionalnosti ovaj prijedlog ne prelazi ono što je potrebno za ostvarivanje njegova cilja.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Odabir instrumenta</w:t>
      </w:r>
    </w:p>
    <w:p>
      <w:pPr>
        <w:pStyle w:val="Text1"/>
        <w:rPr>
          <w:noProof/>
        </w:rPr>
      </w:pPr>
      <w:r>
        <w:rPr>
          <w:noProof/>
        </w:rPr>
        <w:t xml:space="preserve">U skladu s člankom 98. Sporazuma o EGP-u, odabrani je instrument odluka Zajedničkog odbora EGP-a. Zajednički odbor EGP-a osigurava učinkovitu provedbu i primjenu Sporazuma o EGP-u. U tu svrhu on donosi odluke u slučajevima koji su predviđeni u Sporazumu o EGP-u.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PROCJENE UČINAKA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ab/>
      </w:r>
      <w:r>
        <w:rPr>
          <w:b w:val="0"/>
          <w:noProof/>
        </w:rPr>
        <w:t xml:space="preserve">Nije primjenjivo.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Style w:val="Text1"/>
        <w:rPr>
          <w:noProof/>
        </w:rPr>
      </w:pPr>
      <w:r>
        <w:rPr>
          <w:noProof/>
        </w:rPr>
        <w:t>Ne očekuje se da će uključivanje navedene uredbe u Sporazum o EGP-u utjecati na proračun.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DIJELOVI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Detaljno obrazloženje posebnih odredbi prijedloga</w:t>
      </w:r>
    </w:p>
    <w:p>
      <w:pPr>
        <w:rPr>
          <w:i/>
          <w:noProof/>
          <w:u w:val="single"/>
        </w:rPr>
      </w:pPr>
      <w:r>
        <w:rPr>
          <w:i/>
          <w:noProof/>
          <w:u w:val="single"/>
        </w:rPr>
        <w:t>Članci 11.–13., članak 41. stavak 2. – Bonitetna ocjena nerezidenata namjeravanih stjecatelja (Zajednička izjava uz Odluku Zajedničkog odbora EGP-a) i najpovoljniji tretman za društva unutar EGP-a (prilagodba (f) u odnosu na Direktivu 2014/65/EU)</w:t>
      </w:r>
    </w:p>
    <w:p>
      <w:pPr>
        <w:rPr>
          <w:noProof/>
        </w:rPr>
      </w:pPr>
      <w:r>
        <w:rPr>
          <w:noProof/>
        </w:rPr>
        <w:t>Cilj Sporazuma o EGP-u načelno nije uređivanje odnosa između ugovornih stranaka i trećih zemalja (vidjeti posebno uvodnu izjavu 16. u preambuli Sporazuma o EGP-u). Sporazumom o EGP-u nije predviđena liberalizacija tokova kapitala niti davanje prava u pogledu slobode poslovnog nastana ili sudjelovanja u kapitalu društava u pogledu nerezidenata (vidjeti članke 31. i 34., 40. i 124. Sporazuma o EGP-u).</w:t>
      </w:r>
    </w:p>
    <w:p>
      <w:pPr>
        <w:rPr>
          <w:noProof/>
        </w:rPr>
      </w:pPr>
      <w:r>
        <w:rPr>
          <w:noProof/>
        </w:rPr>
        <w:t>U Zajedničkoj izjavi uz Odluku Zajedničkog odbora EGP-a stoga je navedeno da su ugovorne stranke suglasne da se uključivanjem Direktive 2014/65/EU u Sporazum o EGP-u ne dovodi u pitanje opće nacionalno zakonodavstvo o provjeri izravnih stranih ulaganja u pogledu sigurnosti ili javnog poretka.</w:t>
      </w:r>
    </w:p>
    <w:p>
      <w:pPr>
        <w:rPr>
          <w:i/>
          <w:noProof/>
        </w:rPr>
      </w:pPr>
      <w:r>
        <w:rPr>
          <w:noProof/>
        </w:rPr>
        <w:t>Nadalje, prilagodbom (f) pojašnjava se da se društva iz trećih zemalja koje ovlasti nacionalno nadležno ili sektorsko tijelo (NCA) možda ne stavljaju u povoljniji položaj od društava iz Europskoga gospodarskog prostora.</w:t>
      </w:r>
      <w:r>
        <w:rPr>
          <w:i/>
          <w:noProof/>
          <w:u w:val="single"/>
        </w:rPr>
        <w:t>Izuzeća u pogledu vlasničkih instrumenata (prilagodba (g) u odnosu na Uredbu (EU) br. 600/2014</w:t>
      </w:r>
      <w:r>
        <w:rPr>
          <w:i/>
          <w:noProof/>
        </w:rPr>
        <w:t>)</w:t>
      </w:r>
    </w:p>
    <w:p>
      <w:pPr>
        <w:rPr>
          <w:noProof/>
        </w:rPr>
      </w:pPr>
      <w:r>
        <w:rPr>
          <w:noProof/>
        </w:rPr>
        <w:t>Člankom 4. stavkom 4. MiFIR-a predviđa se da ESMA prati primjenu izuzeća koja su odobrili NCA-i i podnese godišnje izvješće Komisiji. Budući da će ESMA isto tako biti nadležna za praćenje primjene izuzeća u državama EFTA-e koje su članice EGP-a, prilagodbom (g) i. osigurava se da ESMA isto tako svoje godišnje izvješće podnosi Nadzornom tijelu EFTA-e kako bi mu omogućila da izvršava svoju nadzornu funkciju na temelju članka 109. Sporazuma o EGP-u.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Nadalje, prilagodbom (g) ii. mijenja se krajnji datum za izuzeća koja odobre NCA-i države EFTA-e koje su članice EGP-a na temelju zakonodavstva koje je bilo na snazi prije stupanja na snagu MiFIR-a i koja ESMA treba preispitati do 3. siječnja 2019. u skladu s člankom 4. stavkom 7. MiFIR-a kako bi se uzeo u obzir datum stupanja na snagu MiFIR-a u kontekstu EGP-a.</w:t>
      </w:r>
    </w:p>
    <w:p>
      <w:pPr>
        <w:rPr>
          <w:i/>
          <w:noProof/>
          <w:u w:val="single"/>
        </w:rPr>
      </w:pPr>
      <w:r>
        <w:rPr>
          <w:i/>
          <w:noProof/>
          <w:u w:val="single"/>
        </w:rPr>
        <w:t>Obavijesti mjesta trgovanja o izuzeću (prilagodba (i) u odnosu na Uredbu (EU) br. 600/2014)</w:t>
      </w:r>
    </w:p>
    <w:p>
      <w:pPr>
        <w:rPr>
          <w:noProof/>
        </w:rPr>
      </w:pPr>
      <w:r>
        <w:rPr>
          <w:noProof/>
        </w:rPr>
        <w:t>Na temelju članka 36. stavka 5. MiFIR-a, mjesto trgovanja obavješćuje ESMA-u i svoj NCA ako ne želi biti obvezano člankom 36. u pogledu izvedenica kojima se trguje na burzi.</w:t>
      </w:r>
    </w:p>
    <w:p>
      <w:pPr>
        <w:rPr>
          <w:noProof/>
        </w:rPr>
      </w:pPr>
      <w:r>
        <w:rPr>
          <w:noProof/>
        </w:rPr>
        <w:t>U pogledu mjesta trgovanja u državama EFTA-e koje su članice EGP-a, Nadzorno tijelo EFTA-e nadležno je nadzorno tijelo i od njih prima obavijesti. Prilagodbom (i) i. stoga se mijenja tekst članka 36. stavka 5. MiFIR-a u tu svrhu.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Kako bi se jamčila transparentnost informacija o proširenom unutarnjem tržištu svim subjektima iz EGP-a, prilagodbom (i) ii. predviđa se da i ESMA obavijesti koje primi Nadzorno tijelo EFTA-e uključi u popis za objavu.</w:t>
      </w:r>
    </w:p>
    <w:p>
      <w:pPr>
        <w:rPr>
          <w:i/>
          <w:noProof/>
          <w:u w:val="single"/>
        </w:rPr>
      </w:pPr>
      <w:r>
        <w:rPr>
          <w:i/>
          <w:noProof/>
          <w:u w:val="single"/>
        </w:rPr>
        <w:t>Obveza licenciranja novih referentnih vrijednosti (prilagodba (j) u odnosu na Uredbu (EU) br. 600/2014)</w:t>
      </w:r>
    </w:p>
    <w:p>
      <w:pPr>
        <w:rPr>
          <w:noProof/>
        </w:rPr>
      </w:pPr>
      <w:r>
        <w:rPr>
          <w:noProof/>
        </w:rPr>
        <w:t>U skladu s člankom 7. Sporazuma o EGP-u, samo su akti koji su uključeni u Sporazum o EGP-u obvezujući za države EFTA-e koje su članice EGP-a. Obveza licenciranja novih referentnih vrijednosti utvrđenih nakon stupanja na snagu MiFIR-a može se stoga primjenjivati tek od stupanja na snagu Odluke Zajedničkog odbora kojim se on uključuje u Sporazum o EGP-u.  Prilagodbom (j) i. mijenja se tekst članka 37. stavka 2. u tu svrhu.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  <w:r>
        <w:rPr>
          <w:noProof/>
        </w:rPr>
        <w:t>Osim toga, prilagodbom (j) ii. usklađuju se upućivanja na članke 101. i 102. UFEU-a u pogledu pravila tržišnog natjecanja kako bi upućivala na članke 53. i 54. Sporazuma o EGP-u, koji čine zajednički referentni pravni okvir među ugovornim strankama Sporazuma o EGP-u.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2019/0022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 xml:space="preserve">o stajalištu koje treba zauzeti, u ime Europske unije, u zajedničkom odboru EGP-a o izmjeni Priloga IX. (Financijske usluge) </w:t>
      </w:r>
      <w:r>
        <w:rPr>
          <w:noProof/>
        </w:rPr>
        <w:br/>
        <w:t>Sporazumu o EGP-u</w:t>
      </w:r>
      <w:r>
        <w:rPr>
          <w:noProof/>
        </w:rPr>
        <w:br/>
      </w:r>
      <w:r>
        <w:rPr>
          <w:noProof/>
        </w:rPr>
        <w:br/>
        <w:t>(Uredba o tržištima financijskih instrumenata (MiFiR) i Direktiva MiFID II)</w:t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(Tekst značajan za EGP)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114. u vezi s člankom 218. stavkom 9.,</w:t>
      </w:r>
    </w:p>
    <w:p>
      <w:pPr>
        <w:rPr>
          <w:noProof/>
        </w:rPr>
      </w:pPr>
      <w:r>
        <w:rPr>
          <w:noProof/>
        </w:rPr>
        <w:t>uzimajući u obzir Uredbu Vijeća (EZ) br. 2894/94 od 28. studenoga 1994. o rješenjima za provedbu Sporazuma o Europskom gospodarskom prostoru</w:t>
      </w:r>
      <w:r>
        <w:rPr>
          <w:rStyle w:val="FootnoteReference"/>
          <w:noProof/>
        </w:rPr>
        <w:footnoteReference w:id="3"/>
      </w:r>
      <w:r>
        <w:rPr>
          <w:noProof/>
        </w:rPr>
        <w:t>, a posebno njezin članak 1. stavak 3.,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Sporazum o Europskom gospodarskom prostoru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(„Sporazum o EGP-u”) stupio je na snagu 1. siječnja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Na temelju članka 98. Sporazuma o EGP-u, Zajednički odbor EGP-a može odlučiti izmijeniti, među ostalim, Prilog IX. Sporazumu o EGP-u, koji sadržava odredbe o financijskim uslugama.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Uredba (EU) br. 600/2014 Europskog parlamenta i Vijeća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i Direktiva 2014/65/EU Europskog parlamenta i Vijeća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trebaju se uključiti u Sporazum o EGP-u.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Prilog IX. Sporazumu o EGP-u trebalo bi stoga na odgovarajući način izmijeniti.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Stajalište Unije u zajedničkom odboru EGP-a trebalo bi se stoga temeljiti na priloženom nacrtu odluke,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 1.</w:t>
      </w:r>
    </w:p>
    <w:p>
      <w:pPr>
        <w:rPr>
          <w:noProof/>
        </w:rPr>
      </w:pPr>
      <w:r>
        <w:rPr>
          <w:noProof/>
        </w:rPr>
        <w:t>Stajalište koje treba zauzeti, u ime Unije, u zajedničkom odboru EGP-a o predloženoj izmjeni Priloga IX. (Financijske usluge) Sporazumu o EGP-u temelji se na nacrtima odluka Zajedničkog odbora EGP-a priloženima ovoj Odluci.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Članak 2.</w:t>
      </w:r>
    </w:p>
    <w:p>
      <w:pPr>
        <w:keepLines/>
        <w:rPr>
          <w:noProof/>
        </w:rPr>
      </w:pPr>
      <w:r>
        <w:rPr>
          <w:noProof/>
        </w:rPr>
        <w:t>Ova Odluka stupa na snagu na dan donošenja.</w:t>
      </w:r>
    </w:p>
    <w:p>
      <w:pPr>
        <w:keepNext/>
        <w:keepLines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Uredba (EU) br. 600/2014 Europskog parlamenta i Vijeća od 15. svibnja 2014. o tržištima financijskih instrumenata i izmjeni Uredbe (EU) br. 648/2012, kako je ispravljena u SL L 270, 15.10.2015., str. 4., SL L 187, 12.7.2016., str. 30. i SL L 278, 27.10.2017., str. 54.</w:t>
      </w:r>
    </w:p>
    <w:p>
      <w:pPr>
        <w:pStyle w:val="FootnoteText"/>
        <w:ind w:firstLine="0"/>
      </w:pPr>
    </w:p>
    <w:p>
      <w:pPr>
        <w:pStyle w:val="FootnoteText"/>
        <w:ind w:firstLine="0"/>
      </w:pPr>
      <w:r>
        <w:t>Direktiva 2014/65/EU Europskog parlamenta i Vijeća od 15. svibnja 2014. o tržištu financijskih instrumenata i izmjeni Direktive 2002/92/EZ i Direktive 2011/61/EU, kako je ispravljena u SL L 188, 13.7.2016., str. 28., SL L 273, 8.10.2016., str. 35. i SL L 64, 10.3.2017., str. 116.</w:t>
      </w:r>
    </w:p>
  </w:footnote>
  <w:footnote w:id="2">
    <w:p>
      <w:pPr>
        <w:pStyle w:val="FootnoteText"/>
        <w:rPr>
          <w:iCs/>
          <w:lang w:val="pl-PL"/>
        </w:rPr>
      </w:pPr>
      <w:r>
        <w:rPr>
          <w:rStyle w:val="FootnoteReference"/>
        </w:rPr>
        <w:footnoteRef/>
      </w:r>
      <w:r>
        <w:tab/>
        <w:t>SL L 305, 30.11.1994., str. 6.–8.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SL L 305, 30.11.1994., str. 6.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 xml:space="preserve">SL L 1, 3.1.1994., str. 3. </w:t>
      </w:r>
    </w:p>
  </w:footnote>
  <w:footnote w:id="5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Uredba (EU) br. 600/2014 Europskog parlamenta i Vijeća od 15. svibnja 2014. o tržištima financijskih instrumenata i izmjeni Uredbe (EU) br. 648/2012, kako je ispravljena u SL L 270, 15.10.2015., str. 4., SL L 187, 12.7.2016., str. 30. i SL L 278, 27.10.2017., str. 54. </w:t>
      </w:r>
    </w:p>
  </w:footnote>
  <w:footnote w:id="6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Direktiva 2014/65/EU Europskog parlamenta i Vijeća od 15. svibnja 2014. o tržištu financijskih instrumenata i izmjeni Direktive 2002/92/EZ i Direktive 2011/61/EU, kako je ispravljena u SL L 188, 13.7.2016., str. 28., SL L 273, 8.10.2016., str. 35. i SL L 64, 10.3.2017., str. 116.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7EF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61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8769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19818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148C0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2426B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F528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9AE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53:0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06CE2C8-089A-4D6E-BE2D-2E28621CCDED"/>
    <w:docVar w:name="LW_COVERPAGE_TYPE" w:val="1"/>
    <w:docVar w:name="LW_CROSSREFERENCE" w:val="&lt;UNUSED&gt;"/>
    <w:docVar w:name="LW_DocType" w:val="COM"/>
    <w:docVar w:name="LW_EMISSION" w:val="31.1.2019."/>
    <w:docVar w:name="LW_EMISSION_ISODATE" w:val="2019-01-31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kst zna\u269?ajan za EGP)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2"/>
    <w:docVar w:name="LW_REF.II.NEW.CP_YEAR" w:val="2019"/>
    <w:docVar w:name="LW_REF.INST.NEW" w:val="COM"/>
    <w:docVar w:name="LW_REF.INST.NEW_ADOPTED" w:val="final"/>
    <w:docVar w:name="LW_REF.INST.NEW_TEXT" w:val="(2019) 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stajali\u353?tu koje treba zauzeti, u ime Europske unije, u zajedni\u269?kom odboru EGP-a o izmjeni Priloga IX. (Financijske usluge) _x000b_Sporazumu o EGP-u_x000b__x000b_(Uredba o tr\u382?i\u353?tima financijskih instrumenata (MiFiR) i Direktiva MiFID II)_x000b_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6</Pages>
  <Words>1240</Words>
  <Characters>7034</Characters>
  <Application>Microsoft Office Word</Application>
  <DocSecurity>0</DocSecurity>
  <Lines>146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2019-01-17T15:00:00Z</dcterms:created>
  <dcterms:modified xsi:type="dcterms:W3CDTF">2019-01-28T12:53:00Z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