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8A497CC0-54A7-4580-9CF0-7F3ED6C8F911" style="width:450.4pt;height:397.6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LISA </w:t>
      </w:r>
    </w:p>
    <w:p>
      <w:pPr>
        <w:spacing w:before="360" w:after="0"/>
        <w:jc w:val="center"/>
        <w:rPr>
          <w:b/>
          <w:noProof/>
          <w:szCs w:val="24"/>
        </w:rPr>
      </w:pPr>
      <w:r>
        <w:rPr>
          <w:b/>
          <w:noProof/>
        </w:rPr>
        <w:t>EMP ÜHISKOMITEE OTSUS</w:t>
      </w:r>
    </w:p>
    <w:p>
      <w:pPr>
        <w:spacing w:after="0"/>
        <w:jc w:val="center"/>
        <w:rPr>
          <w:b/>
          <w:noProof/>
          <w:color w:val="0000FF"/>
          <w:szCs w:val="24"/>
        </w:rPr>
      </w:pPr>
      <w:r>
        <w:rPr>
          <w:b/>
          <w:noProof/>
        </w:rPr>
        <w:t xml:space="preserve">nr ..., </w:t>
      </w:r>
    </w:p>
    <w:p>
      <w:pPr>
        <w:spacing w:before="360" w:after="0"/>
        <w:jc w:val="center"/>
        <w:rPr>
          <w:b/>
          <w:noProof/>
          <w:color w:val="0000FF"/>
          <w:szCs w:val="24"/>
        </w:rPr>
      </w:pPr>
      <w:r>
        <w:rPr>
          <w:b/>
          <w:noProof/>
          <w:color w:val="000000" w:themeColor="text1"/>
        </w:rPr>
        <w:t xml:space="preserve">[kuupäev], </w:t>
      </w:r>
    </w:p>
    <w:p>
      <w:pPr>
        <w:spacing w:before="360" w:after="360"/>
        <w:jc w:val="center"/>
        <w:rPr>
          <w:b/>
          <w:noProof/>
          <w:color w:val="000000" w:themeColor="text1"/>
          <w:szCs w:val="24"/>
        </w:rPr>
      </w:pPr>
      <w:r>
        <w:rPr>
          <w:b/>
          <w:noProof/>
          <w:color w:val="000000" w:themeColor="text1"/>
        </w:rPr>
        <w:t>millega muudetakse EMP lepingu II lisa („Tehnilised normid, standardid, katsetamine ja sertifitseerimine“) ja XI lisa („Elektrooniline side, audiovisuaalteenused ja infoühiskond“)</w:t>
      </w:r>
    </w:p>
    <w:p>
      <w:pPr>
        <w:spacing w:before="600"/>
        <w:rPr>
          <w:noProof/>
          <w:color w:val="000000" w:themeColor="text1"/>
          <w:szCs w:val="24"/>
        </w:rPr>
      </w:pPr>
      <w:r>
        <w:rPr>
          <w:noProof/>
          <w:color w:val="000000" w:themeColor="text1"/>
        </w:rPr>
        <w:t>EMP ÜHISKOMITEE,</w:t>
      </w:r>
    </w:p>
    <w:p>
      <w:pPr>
        <w:rPr>
          <w:noProof/>
          <w:color w:val="000000" w:themeColor="text1"/>
          <w:szCs w:val="24"/>
        </w:rPr>
      </w:pPr>
      <w:r>
        <w:rPr>
          <w:noProof/>
          <w:color w:val="000000" w:themeColor="text1"/>
        </w:rPr>
        <w:t>võttes arvesse Euroopa Majanduspiirkonna lepingut (edaspidi „EMP leping“), eriti selle artiklit 98,</w:t>
      </w:r>
    </w:p>
    <w:p>
      <w:pPr>
        <w:rPr>
          <w:noProof/>
          <w:color w:val="000000" w:themeColor="text1"/>
          <w:szCs w:val="24"/>
        </w:rPr>
      </w:pPr>
      <w:r>
        <w:rPr>
          <w:noProof/>
          <w:color w:val="000000" w:themeColor="text1"/>
        </w:rPr>
        <w:t>ning arvestades järgmist:</w:t>
      </w:r>
    </w:p>
    <w:p>
      <w:pPr>
        <w:pStyle w:val="Considrant"/>
        <w:numPr>
          <w:ilvl w:val="0"/>
          <w:numId w:val="9"/>
        </w:numPr>
        <w:rPr>
          <w:noProof/>
        </w:rPr>
      </w:pPr>
      <w:r>
        <w:rPr>
          <w:noProof/>
        </w:rPr>
        <w:t>EMP lepingusse tuleb inkorporeerida Euroopa Parlamendi ja nõukogu 9. septembri 2015. aasta direktiiv (EL) 2015/1535, millega nähakse ette tehnilistest eeskirjadest ning infoühiskonna teenuste eeskirjadest teatamise kord</w:t>
      </w:r>
      <w:r>
        <w:rPr>
          <w:rStyle w:val="FootnoteReference"/>
          <w:noProof/>
        </w:rPr>
        <w:footnoteReference w:id="1"/>
      </w:r>
      <w:r>
        <w:rPr>
          <w:noProof/>
        </w:rPr>
        <w:t>.</w:t>
      </w:r>
    </w:p>
    <w:p>
      <w:pPr>
        <w:pStyle w:val="Considrant"/>
        <w:rPr>
          <w:noProof/>
          <w:szCs w:val="24"/>
        </w:rPr>
      </w:pPr>
      <w:r>
        <w:rPr>
          <w:noProof/>
        </w:rPr>
        <w:t>Direktiiviga (EL) 2015/1535 tunnistatakse kehtetuks Euroopa Parlamendi ja nõukogu direktiiv 98/34/EÜ,</w:t>
      </w:r>
      <w:r>
        <w:rPr>
          <w:rStyle w:val="FootnoteReference"/>
          <w:noProof/>
        </w:rPr>
        <w:footnoteReference w:id="2"/>
      </w:r>
      <w:r>
        <w:rPr>
          <w:noProof/>
        </w:rPr>
        <w:t xml:space="preserve"> mida on muudetud Euroopa Parlamendi ja nõukogu direktiiviga 98/48/EÜ,</w:t>
      </w:r>
      <w:r>
        <w:rPr>
          <w:rStyle w:val="FootnoteReference"/>
          <w:noProof/>
        </w:rPr>
        <w:footnoteReference w:id="3"/>
      </w:r>
      <w:r>
        <w:rPr>
          <w:noProof/>
        </w:rPr>
        <w:t xml:space="preserve"> mis on EMP lepingusse inkorporeeritud ja mis tuleb sellest tulenevalt EMP lepingust välja jätta.</w:t>
      </w:r>
    </w:p>
    <w:p>
      <w:pPr>
        <w:pStyle w:val="Considrant"/>
        <w:rPr>
          <w:noProof/>
          <w:szCs w:val="24"/>
        </w:rPr>
      </w:pPr>
      <w:r>
        <w:rPr>
          <w:noProof/>
        </w:rPr>
        <w:t>Kuigi EFTA riigid võivad esitada märkusi ja üksikasjalikke arvamusi teiste EFTA riikide teavitatud tehniliste eeskirjade eelnõu kohta, võivad nad esitada liidu liikmesriikide teavitatud tehniliste eeskirjade eelnõu kohta üksnes märkusi, ja vastupidi.</w:t>
      </w:r>
    </w:p>
    <w:p>
      <w:pPr>
        <w:pStyle w:val="Considrant"/>
        <w:rPr>
          <w:noProof/>
          <w:color w:val="000000" w:themeColor="text1"/>
          <w:szCs w:val="24"/>
        </w:rPr>
      </w:pPr>
      <w:r>
        <w:rPr>
          <w:noProof/>
        </w:rPr>
        <w:t>Seetõttu tuleks EMP lepingu II ja XI lisa vastavalt muuta,</w:t>
      </w:r>
    </w:p>
    <w:p>
      <w:pPr>
        <w:keepNext/>
        <w:tabs>
          <w:tab w:val="left" w:pos="709"/>
        </w:tabs>
        <w:rPr>
          <w:noProof/>
          <w:color w:val="000000" w:themeColor="text1"/>
          <w:szCs w:val="24"/>
        </w:rPr>
      </w:pPr>
      <w:r>
        <w:rPr>
          <w:noProof/>
          <w:color w:val="000000" w:themeColor="text1"/>
        </w:rPr>
        <w:t>ON VASTU VÕTNUD KÄESOLEVA OTSUSE:</w:t>
      </w:r>
    </w:p>
    <w:p>
      <w:pPr>
        <w:pStyle w:val="Articleheading"/>
        <w:rPr>
          <w:noProof/>
        </w:rPr>
      </w:pPr>
      <w:r>
        <w:rPr>
          <w:noProof/>
        </w:rPr>
        <w:t>Artikkel 1</w:t>
      </w:r>
    </w:p>
    <w:p>
      <w:pPr>
        <w:rPr>
          <w:noProof/>
        </w:rPr>
      </w:pPr>
      <w:r>
        <w:rPr>
          <w:noProof/>
        </w:rPr>
        <w:t>EMP lepingu II lisa XIX peatüki punkti 1 (Euroopa Parlamendi ja nõukogu direktiiv 98/34/EÜ) tekst asendatakse järgmise tekstiga:</w:t>
      </w:r>
    </w:p>
    <w:p>
      <w:pPr>
        <w:rPr>
          <w:noProof/>
        </w:rPr>
      </w:pPr>
      <w:r>
        <w:rPr>
          <w:noProof/>
        </w:rPr>
        <w:t>„</w:t>
      </w:r>
      <w:r>
        <w:rPr>
          <w:b/>
          <w:noProof/>
        </w:rPr>
        <w:t>32015 L 1535</w:t>
      </w:r>
      <w:r>
        <w:rPr>
          <w:noProof/>
        </w:rPr>
        <w:t>: Euroopa Parlamendi ja nõukogu 9. septembri 2015. aasta direktiiv (EL) 2015/1535, millega nähakse ette tehnilistest eeskirjadest ning infoühiskonna teenuste eeskirjadest teatamise kord (ELT L 241, 17.9.2015, lk 1).</w:t>
      </w:r>
    </w:p>
    <w:p>
      <w:pPr>
        <w:rPr>
          <w:noProof/>
        </w:rPr>
      </w:pPr>
      <w:r>
        <w:rPr>
          <w:noProof/>
        </w:rPr>
        <w:t>Käesolevas lepingus loetakse direktiivi sätteid järgmises kohanduses:</w:t>
      </w:r>
    </w:p>
    <w:p>
      <w:pPr>
        <w:pStyle w:val="Point0letter"/>
        <w:numPr>
          <w:ilvl w:val="1"/>
          <w:numId w:val="10"/>
        </w:numPr>
        <w:rPr>
          <w:noProof/>
        </w:rPr>
      </w:pPr>
      <w:r>
        <w:rPr>
          <w:noProof/>
        </w:rPr>
        <w:t>artikli 1 lõike 1 punktis c asendatakse teine lõik järgmisega:</w:t>
      </w:r>
    </w:p>
    <w:p>
      <w:pPr>
        <w:pStyle w:val="Text1"/>
        <w:rPr>
          <w:noProof/>
        </w:rPr>
      </w:pPr>
      <w:r>
        <w:rPr>
          <w:noProof/>
        </w:rPr>
        <w:t>„Termin „tehniline spetsifikatsioon“ hõlmab ka tootmismeetodeid ja -protsesse, mida kasutatakse inim- ja loomtoiduks mõeldud toodete puhul ning direktiivi 2001/83/EÜ (mis on EMP ühiskomitee 25. juuni 2002. aasta otsusega nr 82/2002</w:t>
      </w:r>
      <w:r>
        <w:rPr>
          <w:rStyle w:val="FootnoteReference"/>
          <w:noProof/>
        </w:rPr>
        <w:footnoteReference w:id="4"/>
      </w:r>
      <w:r>
        <w:rPr>
          <w:noProof/>
        </w:rPr>
        <w:t xml:space="preserve"> inkorporeeritud lepingu II lisa XIII peatüki punkti 15 q) artiklis 1 määratletud ravimites, ning muude toodete tootmismeetodeid ja -protsesse, kui need mõjutavad toodete omadusi.“;</w:t>
      </w:r>
    </w:p>
    <w:p>
      <w:pPr>
        <w:pStyle w:val="Point0letter"/>
        <w:rPr>
          <w:noProof/>
        </w:rPr>
      </w:pPr>
      <w:r>
        <w:rPr>
          <w:noProof/>
        </w:rPr>
        <w:t>artikli 5 lõike 1 esimesele lõigule lisatakse järgmine lause:</w:t>
      </w:r>
    </w:p>
    <w:p>
      <w:pPr>
        <w:pStyle w:val="Text1"/>
        <w:rPr>
          <w:noProof/>
        </w:rPr>
      </w:pPr>
      <w:r>
        <w:rPr>
          <w:noProof/>
        </w:rPr>
        <w:t>„Teatatud tehniliste eeskirjade eelnõu terviktekst tehakse kättesaadavaks nii originaalkeeles kui ka tõlkes ühte liidu ametlikku keelde.“;</w:t>
      </w:r>
    </w:p>
    <w:p>
      <w:pPr>
        <w:pStyle w:val="Point0letter"/>
        <w:rPr>
          <w:noProof/>
        </w:rPr>
      </w:pPr>
      <w:r>
        <w:rPr>
          <w:noProof/>
        </w:rPr>
        <w:t>artikli 5 lõikele 1 lisatakse järgmine lõik:</w:t>
      </w:r>
    </w:p>
    <w:p>
      <w:pPr>
        <w:pStyle w:val="Text1"/>
        <w:rPr>
          <w:noProof/>
        </w:rPr>
      </w:pPr>
      <w:r>
        <w:rPr>
          <w:noProof/>
        </w:rPr>
        <w:t>„Ühelt poolt liidu nimel komisjon ja teiselt poolt EFTA järelevalveamet või EFTA riigid EFTA järelevalveameti kaudu võivad paluda teatatud tehniliste eeskirjade eelnõu kohta lisateavet.“;</w:t>
      </w:r>
    </w:p>
    <w:p>
      <w:pPr>
        <w:pStyle w:val="Point0letter"/>
        <w:rPr>
          <w:noProof/>
        </w:rPr>
      </w:pPr>
      <w:r>
        <w:rPr>
          <w:noProof/>
        </w:rPr>
        <w:t>artikli 5 lõikele 2 lisatakse järgmine lõik:</w:t>
      </w:r>
    </w:p>
    <w:p>
      <w:pPr>
        <w:pStyle w:val="Text1"/>
        <w:rPr>
          <w:noProof/>
        </w:rPr>
      </w:pPr>
      <w:r>
        <w:rPr>
          <w:noProof/>
        </w:rPr>
        <w:t>„EFTA järelevalveamet edastab EFTA riikide arvamused komisjonile ühekordse kooskõlastatud teatise kujul ja komisjon edastab liidu arvamused EFTA järelevalveametile.“;</w:t>
      </w:r>
    </w:p>
    <w:p>
      <w:pPr>
        <w:pStyle w:val="Point0letter"/>
        <w:rPr>
          <w:noProof/>
        </w:rPr>
      </w:pPr>
      <w:r>
        <w:rPr>
          <w:noProof/>
        </w:rPr>
        <w:t>artikli 6 lõigetes 1, 2 ja 7 asendatakse terminid „liikmesriik“ ja „komisjon“ vastavalt terminitega „EFTA riik“ ja „EFTA järelevalveamet“;</w:t>
      </w:r>
    </w:p>
    <w:p>
      <w:pPr>
        <w:pStyle w:val="Point0letter"/>
        <w:rPr>
          <w:noProof/>
        </w:rPr>
      </w:pPr>
      <w:r>
        <w:rPr>
          <w:noProof/>
        </w:rPr>
        <w:t>artikli 6 lõikeid 3, 4, 5 ja 6 ei kohaldata.“</w:t>
      </w:r>
    </w:p>
    <w:p>
      <w:pPr>
        <w:pStyle w:val="Articleheading"/>
        <w:rPr>
          <w:noProof/>
        </w:rPr>
      </w:pPr>
      <w:r>
        <w:rPr>
          <w:noProof/>
        </w:rPr>
        <w:t>Artikkel 2</w:t>
      </w:r>
    </w:p>
    <w:p>
      <w:pPr>
        <w:rPr>
          <w:noProof/>
        </w:rPr>
      </w:pPr>
      <w:r>
        <w:rPr>
          <w:noProof/>
        </w:rPr>
        <w:t>EMP lepingu XI lisa punkti 5i (Euroopa Parlamendi ja nõukogu direktiiv 98/34/EÜ) tekst asendatakse järgmisega:</w:t>
      </w:r>
    </w:p>
    <w:p>
      <w:pPr>
        <w:rPr>
          <w:noProof/>
        </w:rPr>
      </w:pPr>
      <w:r>
        <w:rPr>
          <w:noProof/>
        </w:rPr>
        <w:t>„</w:t>
      </w:r>
      <w:r>
        <w:rPr>
          <w:b/>
          <w:noProof/>
        </w:rPr>
        <w:t>32015 L 1535</w:t>
      </w:r>
      <w:r>
        <w:rPr>
          <w:noProof/>
        </w:rPr>
        <w:t>: Euroopa Parlamendi ja nõukogu 9. septembri 2015. aasta direktiiv (EL) 2015/1535, millega nähakse ette tehnilistest eeskirjadest ning infoühiskonna teenuste eeskirjadest teatamise kord (ELT L 241, 17.9.2015, lk 1).</w:t>
      </w:r>
    </w:p>
    <w:p>
      <w:pPr>
        <w:rPr>
          <w:noProof/>
        </w:rPr>
      </w:pPr>
      <w:r>
        <w:rPr>
          <w:noProof/>
        </w:rPr>
        <w:t>Käesolevas lepingus loetakse direktiivi sätteid järgmises kohanduses:</w:t>
      </w:r>
    </w:p>
    <w:p>
      <w:pPr>
        <w:pStyle w:val="Point0"/>
        <w:rPr>
          <w:noProof/>
        </w:rPr>
      </w:pPr>
      <w:r>
        <w:rPr>
          <w:noProof/>
        </w:rPr>
        <w:t>(a)</w:t>
      </w:r>
      <w:r>
        <w:rPr>
          <w:noProof/>
        </w:rPr>
        <w:tab/>
        <w:t>artikli 1 lõike 1 punktis c asendatakse teine lõik järgmisega:</w:t>
      </w:r>
    </w:p>
    <w:p>
      <w:pPr>
        <w:pStyle w:val="Point0"/>
        <w:ind w:firstLine="0"/>
        <w:rPr>
          <w:noProof/>
        </w:rPr>
      </w:pPr>
      <w:r>
        <w:rPr>
          <w:noProof/>
        </w:rPr>
        <w:t>„Termin „tehniline spetsifikatsioon“ hõlmab ka tootmismeetodeid ja -protsesse, mida kasutatakse inim- ja loomtoiduks mõeldud toodete puhul ning direktiivi 2001/83/EÜ (mis on EMP ühiskomitee 25. juuni 2002. aasta otsusega nr 82/2002</w:t>
      </w:r>
      <w:r>
        <w:rPr>
          <w:rStyle w:val="FootnoteReference"/>
          <w:noProof/>
        </w:rPr>
        <w:footnoteReference w:id="5"/>
      </w:r>
      <w:r>
        <w:rPr>
          <w:noProof/>
        </w:rPr>
        <w:t xml:space="preserve"> inkorporeeritud lepingu II lisa XIII peatüki punkti 15 q) artiklis 1 määratletud ravimites, ning muude toodete tootmismeetodeid ja -protsesse, kui need mõjutavad toodete omadusi.“;</w:t>
      </w:r>
    </w:p>
    <w:p>
      <w:pPr>
        <w:pStyle w:val="Point0"/>
        <w:rPr>
          <w:noProof/>
        </w:rPr>
      </w:pPr>
      <w:r>
        <w:rPr>
          <w:noProof/>
        </w:rPr>
        <w:t>(b)</w:t>
      </w:r>
      <w:r>
        <w:rPr>
          <w:noProof/>
        </w:rPr>
        <w:tab/>
        <w:t>artikli 5 lõike 1 esimesele lõigule lisatakse järgmine lause:</w:t>
      </w:r>
    </w:p>
    <w:p>
      <w:pPr>
        <w:pStyle w:val="Point0"/>
        <w:rPr>
          <w:noProof/>
        </w:rPr>
      </w:pPr>
      <w:r>
        <w:rPr>
          <w:noProof/>
        </w:rPr>
        <w:tab/>
        <w:t>„Teatatud tehniliste eeskirjade eelnõu terviktekst tehakse kättesaadavaks nii originaalkeeles kui ka tõlkes ühte liidu ametlikku keelde.“;</w:t>
      </w:r>
    </w:p>
    <w:p>
      <w:pPr>
        <w:pStyle w:val="Point0"/>
        <w:rPr>
          <w:noProof/>
        </w:rPr>
      </w:pPr>
      <w:r>
        <w:rPr>
          <w:noProof/>
        </w:rPr>
        <w:t>(c)</w:t>
      </w:r>
      <w:r>
        <w:rPr>
          <w:noProof/>
        </w:rPr>
        <w:tab/>
        <w:t>artikli 5 lõikele 1 lisatakse järgmine lõik:</w:t>
      </w:r>
    </w:p>
    <w:p>
      <w:pPr>
        <w:pStyle w:val="Point0"/>
        <w:rPr>
          <w:noProof/>
        </w:rPr>
      </w:pPr>
      <w:r>
        <w:rPr>
          <w:noProof/>
        </w:rPr>
        <w:tab/>
        <w:t>„Ühelt poolt liidu nimel komisjon ja teiselt poolt EFTA järelevalveamet või EFTA riigid EFTA järelevalveameti kaudu võivad paluda teatatud tehniliste eeskirjade eelnõu kohta lisateavet.“;</w:t>
      </w:r>
    </w:p>
    <w:p>
      <w:pPr>
        <w:pStyle w:val="Point0"/>
        <w:rPr>
          <w:noProof/>
        </w:rPr>
      </w:pPr>
      <w:r>
        <w:rPr>
          <w:noProof/>
        </w:rPr>
        <w:t>(d)</w:t>
      </w:r>
      <w:r>
        <w:rPr>
          <w:noProof/>
        </w:rPr>
        <w:tab/>
        <w:t>artikli 5 lõikele 2 lisatakse järgmine lõik:</w:t>
      </w:r>
    </w:p>
    <w:p>
      <w:pPr>
        <w:pStyle w:val="Point0"/>
        <w:ind w:firstLine="0"/>
        <w:rPr>
          <w:noProof/>
        </w:rPr>
      </w:pPr>
      <w:r>
        <w:rPr>
          <w:noProof/>
        </w:rPr>
        <w:t>„EFTA järelevalveamet edastab EFTA riikide arvamused komisjonile ühekordse kooskõlastatud teatise kujul ja komisjon edastab liidu arvamused EFTA järelevalveametile.“;</w:t>
      </w:r>
    </w:p>
    <w:p>
      <w:pPr>
        <w:pStyle w:val="Point0"/>
        <w:rPr>
          <w:noProof/>
        </w:rPr>
      </w:pPr>
      <w:r>
        <w:rPr>
          <w:noProof/>
        </w:rPr>
        <w:t>(e)</w:t>
      </w:r>
      <w:r>
        <w:rPr>
          <w:noProof/>
        </w:rPr>
        <w:tab/>
        <w:t>artikli 6 lõigetes 1, 2 ja 7 asendatakse terminid „liikmesriik“ ja „komisjon“ vastavalt terminitega „EFTA riik“ ja „EFTA järelevalveamet“;</w:t>
      </w:r>
    </w:p>
    <w:p>
      <w:pPr>
        <w:pStyle w:val="Point0"/>
        <w:rPr>
          <w:noProof/>
        </w:rPr>
      </w:pPr>
      <w:r>
        <w:rPr>
          <w:noProof/>
        </w:rPr>
        <w:t>(f)</w:t>
      </w:r>
      <w:r>
        <w:rPr>
          <w:noProof/>
        </w:rPr>
        <w:tab/>
        <w:t>artikli 6 lõikeid 3, 4, 5 ja 6 ei kohaldata.“</w:t>
      </w:r>
    </w:p>
    <w:p>
      <w:pPr>
        <w:pStyle w:val="Articleheading"/>
        <w:rPr>
          <w:noProof/>
        </w:rPr>
      </w:pPr>
      <w:r>
        <w:rPr>
          <w:noProof/>
        </w:rPr>
        <w:t>Artikkel 3</w:t>
      </w:r>
    </w:p>
    <w:p>
      <w:pPr>
        <w:rPr>
          <w:noProof/>
        </w:rPr>
      </w:pPr>
      <w:r>
        <w:rPr>
          <w:noProof/>
        </w:rPr>
        <w:t xml:space="preserve">Direktiivi (EL) 2015/1535 islandi- ja norrakeelne tekst, mis avaldatakse </w:t>
      </w:r>
      <w:r>
        <w:rPr>
          <w:i/>
          <w:noProof/>
        </w:rPr>
        <w:t>Euroopa Liidu Teataja</w:t>
      </w:r>
      <w:r>
        <w:rPr>
          <w:noProof/>
        </w:rPr>
        <w:t xml:space="preserve"> EMP kaasandes, on autentsed.</w:t>
      </w:r>
    </w:p>
    <w:p>
      <w:pPr>
        <w:pStyle w:val="Articleheading"/>
        <w:rPr>
          <w:noProof/>
        </w:rPr>
      </w:pPr>
      <w:r>
        <w:rPr>
          <w:noProof/>
        </w:rPr>
        <w:t>Artikkel 4</w:t>
      </w:r>
    </w:p>
    <w:p>
      <w:pPr>
        <w:rPr>
          <w:noProof/>
        </w:rPr>
      </w:pPr>
      <w:r>
        <w:rPr>
          <w:noProof/>
        </w:rPr>
        <w:t xml:space="preserve">Käesolev otsus jõustub </w:t>
      </w:r>
      <w:r>
        <w:rPr>
          <w:rStyle w:val="Marker"/>
          <w:noProof/>
        </w:rPr>
        <w:t>[…]</w:t>
      </w:r>
      <w:r>
        <w:rPr>
          <w:noProof/>
        </w:rPr>
        <w:t>, tingimusel et kõik EMP lepingu artikli 103 lõike 1 kohased teated on edastatud</w:t>
      </w:r>
      <w:r>
        <w:rPr>
          <w:rStyle w:val="FootnoteReference"/>
          <w:b/>
          <w:noProof/>
        </w:rPr>
        <w:footnoteReference w:customMarkFollows="1" w:id="6"/>
        <w:t>, O</w:t>
      </w:r>
      <w:r>
        <w:rPr>
          <w:rStyle w:val="FootnoteReference"/>
          <w:b/>
          <w:noProof/>
        </w:rPr>
        <w:sym w:font="Symbol" w:char="F02A"/>
      </w:r>
      <w:r>
        <w:rPr>
          <w:noProof/>
        </w:rPr>
        <w:t>.</w:t>
      </w:r>
    </w:p>
    <w:p>
      <w:pPr>
        <w:pStyle w:val="Articleheading"/>
        <w:rPr>
          <w:noProof/>
        </w:rPr>
      </w:pPr>
      <w:r>
        <w:rPr>
          <w:noProof/>
        </w:rPr>
        <w:t>Artikkel 5</w:t>
      </w:r>
    </w:p>
    <w:p>
      <w:pPr>
        <w:rPr>
          <w:noProof/>
        </w:rPr>
      </w:pPr>
      <w:r>
        <w:rPr>
          <w:noProof/>
        </w:rPr>
        <w:t xml:space="preserve">Käesolev otsus avaldatakse </w:t>
      </w:r>
      <w:r>
        <w:rPr>
          <w:i/>
          <w:noProof/>
        </w:rPr>
        <w:t>Euroopa Liidu Teataja</w:t>
      </w:r>
      <w:r>
        <w:rPr>
          <w:noProof/>
        </w:rPr>
        <w:t xml:space="preserve"> EMP osas ja EMP kaasandes.</w:t>
      </w:r>
    </w:p>
    <w:p>
      <w:pPr>
        <w:spacing w:after="0"/>
        <w:rPr>
          <w:noProof/>
          <w:szCs w:val="24"/>
        </w:rPr>
      </w:pPr>
      <w:r>
        <w:rPr>
          <w:noProof/>
        </w:rPr>
        <w:t xml:space="preserve">Brüssel, </w:t>
      </w:r>
      <w:r>
        <w:rPr>
          <w:rStyle w:val="Marker"/>
          <w:noProof/>
        </w:rPr>
        <w:t>[…]</w:t>
      </w:r>
      <w:r>
        <w:rPr>
          <w:noProof/>
        </w:rPr>
        <w:t>.</w:t>
      </w:r>
    </w:p>
    <w:p>
      <w:pPr>
        <w:tabs>
          <w:tab w:val="left" w:pos="4253"/>
        </w:tabs>
        <w:spacing w:before="720" w:after="0"/>
        <w:rPr>
          <w:i/>
          <w:noProof/>
          <w:szCs w:val="24"/>
        </w:rPr>
      </w:pPr>
      <w:r>
        <w:rPr>
          <w:noProof/>
        </w:rPr>
        <w:tab/>
      </w:r>
      <w:r>
        <w:rPr>
          <w:i/>
          <w:noProof/>
        </w:rPr>
        <w:t>EMP ühiskomitee nimel</w:t>
      </w:r>
    </w:p>
    <w:p>
      <w:pPr>
        <w:tabs>
          <w:tab w:val="left" w:pos="4253"/>
        </w:tabs>
        <w:spacing w:after="0"/>
        <w:rPr>
          <w:i/>
          <w:noProof/>
          <w:szCs w:val="24"/>
        </w:rPr>
      </w:pPr>
      <w:r>
        <w:rPr>
          <w:noProof/>
        </w:rPr>
        <w:tab/>
      </w:r>
      <w:r>
        <w:rPr>
          <w:i/>
          <w:noProof/>
        </w:rPr>
        <w:t>eesistuja</w:t>
      </w:r>
    </w:p>
    <w:p>
      <w:pPr>
        <w:tabs>
          <w:tab w:val="left" w:pos="4253"/>
        </w:tabs>
        <w:spacing w:after="0"/>
        <w:rPr>
          <w:i/>
          <w:noProof/>
          <w:szCs w:val="24"/>
        </w:rPr>
      </w:pPr>
      <w:r>
        <w:rPr>
          <w:noProof/>
        </w:rPr>
        <w:tab/>
      </w:r>
      <w:r>
        <w:rPr>
          <w:rStyle w:val="Marker"/>
          <w:i/>
          <w:noProof/>
        </w:rPr>
        <w:t>[…]</w:t>
      </w:r>
    </w:p>
    <w:p>
      <w:pPr>
        <w:pStyle w:val="ListParagraph"/>
        <w:ind w:left="0"/>
        <w:rPr>
          <w:rStyle w:val="Marker"/>
          <w:noProof/>
        </w:rPr>
      </w:pPr>
    </w:p>
    <w:p>
      <w:pPr>
        <w:pStyle w:val="ListParagraph"/>
        <w:tabs>
          <w:tab w:val="left" w:pos="4253"/>
        </w:tabs>
        <w:ind w:left="0"/>
        <w:rPr>
          <w:rFonts w:cs="Times New Roman"/>
          <w:i/>
          <w:noProof/>
          <w:sz w:val="24"/>
          <w:szCs w:val="24"/>
        </w:rPr>
      </w:pPr>
      <w:r>
        <w:rPr>
          <w:noProof/>
        </w:rPr>
        <w:tab/>
      </w:r>
      <w:r>
        <w:rPr>
          <w:i/>
          <w:noProof/>
          <w:sz w:val="24"/>
        </w:rPr>
        <w:t>EMP ühiskomitee</w:t>
      </w:r>
    </w:p>
    <w:p>
      <w:pPr>
        <w:pStyle w:val="ListParagraph"/>
        <w:tabs>
          <w:tab w:val="left" w:pos="4253"/>
        </w:tabs>
        <w:ind w:left="0"/>
        <w:rPr>
          <w:rFonts w:cs="Times New Roman"/>
          <w:i/>
          <w:noProof/>
          <w:sz w:val="24"/>
          <w:szCs w:val="24"/>
        </w:rPr>
      </w:pPr>
      <w:r>
        <w:rPr>
          <w:noProof/>
        </w:rPr>
        <w:tab/>
      </w:r>
      <w:r>
        <w:rPr>
          <w:i/>
          <w:noProof/>
          <w:sz w:val="24"/>
        </w:rPr>
        <w:t>sekretärid</w:t>
      </w:r>
    </w:p>
    <w:p>
      <w:pPr>
        <w:pStyle w:val="ListParagraph"/>
        <w:tabs>
          <w:tab w:val="left" w:pos="4253"/>
        </w:tabs>
        <w:ind w:left="0"/>
        <w:rPr>
          <w:rStyle w:val="Marker"/>
          <w:rFonts w:cs="Times New Roman"/>
          <w:i/>
          <w:noProof/>
          <w:sz w:val="24"/>
          <w:szCs w:val="24"/>
        </w:rPr>
      </w:pPr>
      <w:r>
        <w:rPr>
          <w:noProof/>
        </w:rPr>
        <w:tab/>
      </w:r>
      <w:r>
        <w:rPr>
          <w:rStyle w:val="Marker"/>
          <w:i/>
          <w:noProof/>
          <w:sz w:val="24"/>
        </w:rPr>
        <w:t>[…]</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color w:val="0000FF"/>
          <w:lang w:val="pl-PL"/>
        </w:rPr>
      </w:pPr>
      <w:r>
        <w:rPr>
          <w:rStyle w:val="FootnoteReference"/>
        </w:rPr>
        <w:footnoteRef/>
      </w:r>
      <w:r>
        <w:tab/>
        <w:t>ELT L 241, 17.9.2015, lk 1.</w:t>
      </w:r>
    </w:p>
  </w:footnote>
  <w:footnote w:id="2">
    <w:p>
      <w:pPr>
        <w:pStyle w:val="FootnoteText"/>
        <w:rPr>
          <w:lang w:val="pl-PL"/>
        </w:rPr>
      </w:pPr>
      <w:r>
        <w:rPr>
          <w:rStyle w:val="FootnoteReference"/>
        </w:rPr>
        <w:footnoteRef/>
      </w:r>
      <w:r>
        <w:tab/>
        <w:t>EÜT L 204, 21.7.1998, lk 37.</w:t>
      </w:r>
    </w:p>
  </w:footnote>
  <w:footnote w:id="3">
    <w:p>
      <w:pPr>
        <w:pStyle w:val="FootnoteText"/>
        <w:rPr>
          <w:lang w:val="pl-PL"/>
        </w:rPr>
      </w:pPr>
      <w:r>
        <w:rPr>
          <w:rStyle w:val="FootnoteReference"/>
        </w:rPr>
        <w:footnoteRef/>
      </w:r>
      <w:r>
        <w:tab/>
        <w:t>EÜT L 217, 5.8.1998, lk 18.</w:t>
      </w:r>
    </w:p>
  </w:footnote>
  <w:footnote w:id="4">
    <w:p>
      <w:pPr>
        <w:pStyle w:val="FootnoteText"/>
      </w:pPr>
      <w:r>
        <w:rPr>
          <w:rStyle w:val="FootnoteReference"/>
        </w:rPr>
        <w:footnoteRef/>
      </w:r>
      <w:r>
        <w:tab/>
        <w:t>EÜT L 266, 3.1.2002, lk 32, ja EMP lisa nr 49, 3.10.2002, lk 22.</w:t>
      </w:r>
    </w:p>
  </w:footnote>
  <w:footnote w:id="5">
    <w:p>
      <w:pPr>
        <w:pStyle w:val="FootnoteText"/>
      </w:pPr>
      <w:r>
        <w:rPr>
          <w:rStyle w:val="FootnoteReference"/>
        </w:rPr>
        <w:footnoteRef/>
      </w:r>
      <w:r>
        <w:tab/>
        <w:t>EÜT L 266, 3.1.2002, lk 32, ja EMP lisa nr 49, 3.10.2002, lk 22.</w:t>
      </w:r>
    </w:p>
  </w:footnote>
  <w:footnote w:id="6">
    <w:p>
      <w:pPr>
        <w:pStyle w:val="FootnoteText"/>
      </w:pPr>
      <w:r>
        <w:rPr>
          <w:rStyle w:val="FootnoteReference"/>
        </w:rPr>
        <w:t>, O</w:t>
      </w:r>
      <w:r>
        <w:rPr>
          <w:rStyle w:val="FootnoteReference"/>
        </w:rPr>
        <w:sym w:font="Symbol" w:char="F02A"/>
      </w:r>
      <w:r>
        <w:tab/>
        <w:t>[Põhiseadusest tulenevaid nõudeid ei ole nimetatud.] [Põhiseadusest tulenevad nõuded on nimetatud.]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2E34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EBE04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98F6B4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52A4EA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C24B2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3565A1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814CCF6"/>
    <w:lvl w:ilvl="0">
      <w:start w:val="1"/>
      <w:numFmt w:val="decimal"/>
      <w:pStyle w:val="ListNumber"/>
      <w:lvlText w:val="%1."/>
      <w:lvlJc w:val="left"/>
      <w:pPr>
        <w:tabs>
          <w:tab w:val="num" w:pos="360"/>
        </w:tabs>
        <w:ind w:left="360" w:hanging="360"/>
      </w:pPr>
    </w:lvl>
  </w:abstractNum>
  <w:abstractNum w:abstractNumId="7">
    <w:nsid w:val="FFFFFF89"/>
    <w:multiLevelType w:val="singleLevel"/>
    <w:tmpl w:val="458C74A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NANDEZ ANTUNEZ Maria Aranzazu (GROW)">
    <w15:presenceInfo w15:providerId="None" w15:userId="HERNANDEZ ANTUNEZ Maria Aranzazu (G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3:47:43"/>
    <w:docVar w:name="DQCResult_Distribution" w:val="0;1"/>
    <w:docVar w:name="DQCResult_DocumentContent" w:val="0;0"/>
    <w:docVar w:name="DQCResult_DocumentSize" w:val="0;0"/>
    <w:docVar w:name="DQCResult_DocumentVersions" w:val="0;0"/>
    <w:docVar w:name="DQCResult_InvalidFootnotes" w:val="0;1"/>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9"/>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8A497CC0-54A7-4580-9CF0-7F3ED6C8F911"/>
    <w:docVar w:name="LW_COVERPAGE_TYPE" w:val="1"/>
    <w:docVar w:name="LW_CROSSREFERENCE" w:val="&lt;UNUSED&gt;"/>
    <w:docVar w:name="LW_DocType" w:val="ANNEX"/>
    <w:docVar w:name="LW_EMISSION" w:val="31.1.2019"/>
    <w:docVar w:name="LW_EMISSION_ISODATE" w:val="2019-01-31"/>
    <w:docVar w:name="LW_EMISSION_LOCATION" w:val="BRX"/>
    <w:docVar w:name="LW_EMISSION_PREFIX" w:val="Brüssel,"/>
    <w:docVar w:name="LW_EMISSION_SUFFIX" w:val=" "/>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seisukoha kohta, mis võetakse Euroopa Liidu nimel EMP ühiskomitees seoses EMP&lt;LWCR:NBS&gt;lepingu II&lt;LWCR:NBS&gt;lisa (\u8222?Tehnilised normid, standardid, katsetamine ja sertifitseerimine\u8220?) ja XI&lt;LWCR:NBS&gt;lisa (\u8222?Elektrooniline side, audiovisuaalteenused ja infoühiskond\u8220?) muutmisega"/>
    <w:docVar w:name="LW_OBJETACTEPRINCIPAL.CP" w:val="seisukoha kohta, mis võetakse Euroopa Liidu nimel EMP ühiskomitees seoses EMP lepingu II lisa (\u8222?Tehnilised normid, standardid, katsetamine ja sertifitseerimine\u8220?) ja XI lisa (\u8222?Elektrooniline side, audiovisuaalteenused ja infoühiskond\u8220?) muutmisega"/>
    <w:docVar w:name="LW_PART_NBR" w:val="1"/>
    <w:docVar w:name="LW_PART_NBR_TOTAL" w:val="1"/>
    <w:docVar w:name="LW_REF.INST.NEW" w:val="COM"/>
    <w:docVar w:name="LW_REF.INST.NEW_ADOPTED" w:val="final"/>
    <w:docVar w:name="LW_REF.INST.NEW_TEXT" w:val="(2019) 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SA"/>
    <w:docVar w:name="LW_TYPE.DOC.CP" w:val="LISA"/>
    <w:docVar w:name="LW_TYPEACTEPRINCIPAL" w:val="Ettepanek: Nõukogu otsus"/>
    <w:docVar w:name="LW_TYPEACTEPRINCIPAL.CP" w:val="Ettepanek: 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cstheme="minorBidi"/>
      <w:sz w:val="20"/>
      <w:szCs w:val="20"/>
    </w:rPr>
  </w:style>
  <w:style w:type="paragraph" w:customStyle="1" w:styleId="Articleheading">
    <w:name w:val="Article heading"/>
    <w:basedOn w:val="Normal"/>
    <w:link w:val="ArticleheadingChar"/>
    <w:qFormat/>
    <w:pPr>
      <w:keepNext/>
      <w:tabs>
        <w:tab w:val="left" w:pos="709"/>
      </w:tabs>
      <w:spacing w:before="360"/>
      <w:jc w:val="center"/>
    </w:pPr>
    <w:rPr>
      <w:i/>
      <w:color w:val="000000" w:themeColor="text1"/>
      <w:szCs w:val="24"/>
    </w:rPr>
  </w:style>
  <w:style w:type="paragraph" w:customStyle="1" w:styleId="Articletext">
    <w:name w:val="Article text"/>
    <w:basedOn w:val="Articleheading"/>
    <w:link w:val="ArticletextChar"/>
    <w:qFormat/>
    <w:pPr>
      <w:keepNext w:val="0"/>
      <w:spacing w:before="120"/>
      <w:jc w:val="both"/>
    </w:pPr>
    <w:rPr>
      <w:i w:val="0"/>
    </w:rPr>
  </w:style>
  <w:style w:type="character" w:customStyle="1" w:styleId="ArticleheadingChar">
    <w:name w:val="Article heading Char"/>
    <w:basedOn w:val="DefaultParagraphFont"/>
    <w:link w:val="Articleheading"/>
    <w:rPr>
      <w:rFonts w:ascii="Times New Roman" w:hAnsi="Times New Roman" w:cs="Times New Roman"/>
      <w:i/>
      <w:color w:val="000000" w:themeColor="text1"/>
      <w:sz w:val="24"/>
      <w:szCs w:val="24"/>
    </w:rPr>
  </w:style>
  <w:style w:type="character" w:customStyle="1" w:styleId="ArticletextChar">
    <w:name w:val="Article text Char"/>
    <w:basedOn w:val="ArticleheadingChar"/>
    <w:link w:val="Articletext"/>
    <w:rPr>
      <w:rFonts w:ascii="Times New Roman" w:hAnsi="Times New Roman" w:cs="Times New Roman"/>
      <w:i w:val="0"/>
      <w:color w:val="000000" w:themeColor="text1"/>
      <w:sz w:val="24"/>
      <w:szCs w:val="24"/>
    </w:rPr>
  </w:style>
  <w:style w:type="character" w:customStyle="1" w:styleId="Point0Char">
    <w:name w:val="Point 0 Char"/>
    <w:basedOn w:val="DefaultParagraphFont"/>
    <w:rPr>
      <w:rFonts w:ascii="Times New Roman" w:hAnsi="Times New Roman" w:cs="Times New Roman"/>
      <w:sz w:val="24"/>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cstheme="minorBidi"/>
      <w:sz w:val="20"/>
      <w:szCs w:val="20"/>
    </w:rPr>
  </w:style>
  <w:style w:type="paragraph" w:customStyle="1" w:styleId="Articleheading">
    <w:name w:val="Article heading"/>
    <w:basedOn w:val="Normal"/>
    <w:link w:val="ArticleheadingChar"/>
    <w:qFormat/>
    <w:pPr>
      <w:keepNext/>
      <w:tabs>
        <w:tab w:val="left" w:pos="709"/>
      </w:tabs>
      <w:spacing w:before="360"/>
      <w:jc w:val="center"/>
    </w:pPr>
    <w:rPr>
      <w:i/>
      <w:color w:val="000000" w:themeColor="text1"/>
      <w:szCs w:val="24"/>
    </w:rPr>
  </w:style>
  <w:style w:type="paragraph" w:customStyle="1" w:styleId="Articletext">
    <w:name w:val="Article text"/>
    <w:basedOn w:val="Articleheading"/>
    <w:link w:val="ArticletextChar"/>
    <w:qFormat/>
    <w:pPr>
      <w:keepNext w:val="0"/>
      <w:spacing w:before="120"/>
      <w:jc w:val="both"/>
    </w:pPr>
    <w:rPr>
      <w:i w:val="0"/>
    </w:rPr>
  </w:style>
  <w:style w:type="character" w:customStyle="1" w:styleId="ArticleheadingChar">
    <w:name w:val="Article heading Char"/>
    <w:basedOn w:val="DefaultParagraphFont"/>
    <w:link w:val="Articleheading"/>
    <w:rPr>
      <w:rFonts w:ascii="Times New Roman" w:hAnsi="Times New Roman" w:cs="Times New Roman"/>
      <w:i/>
      <w:color w:val="000000" w:themeColor="text1"/>
      <w:sz w:val="24"/>
      <w:szCs w:val="24"/>
    </w:rPr>
  </w:style>
  <w:style w:type="character" w:customStyle="1" w:styleId="ArticletextChar">
    <w:name w:val="Article text Char"/>
    <w:basedOn w:val="ArticleheadingChar"/>
    <w:link w:val="Articletext"/>
    <w:rPr>
      <w:rFonts w:ascii="Times New Roman" w:hAnsi="Times New Roman" w:cs="Times New Roman"/>
      <w:i w:val="0"/>
      <w:color w:val="000000" w:themeColor="text1"/>
      <w:sz w:val="24"/>
      <w:szCs w:val="24"/>
    </w:rPr>
  </w:style>
  <w:style w:type="character" w:customStyle="1" w:styleId="Point0Char">
    <w:name w:val="Point 0 Char"/>
    <w:basedOn w:val="DefaultParagraphFont"/>
    <w:rPr>
      <w:rFonts w:ascii="Times New Roman" w:hAnsi="Times New Roman" w:cs="Times New Roman"/>
      <w:sz w:val="24"/>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4</Pages>
  <Words>687</Words>
  <Characters>4460</Characters>
  <Application>Microsoft Office Word</Application>
  <DocSecurity>0</DocSecurity>
  <Lines>96</Lines>
  <Paragraphs>61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KARLOWSKI Mikolaj</dc:creator>
  <cp:lastModifiedBy>WES PDFC Administrator</cp:lastModifiedBy>
  <cp:revision>8</cp:revision>
  <dcterms:created xsi:type="dcterms:W3CDTF">2019-01-16T08:34:00Z</dcterms:created>
  <dcterms:modified xsi:type="dcterms:W3CDTF">2019-01-28T12:47:00Z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