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384CBC42-1570-402E-AC21-89332E16EA51" style="width:450.8pt;height:424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BILAG </w:t>
      </w:r>
    </w:p>
    <w:p>
      <w:pPr>
        <w:spacing w:before="360" w:after="0"/>
        <w:jc w:val="center"/>
        <w:rPr>
          <w:b/>
          <w:noProof/>
          <w:szCs w:val="24"/>
        </w:rPr>
      </w:pPr>
      <w:r>
        <w:rPr>
          <w:b/>
          <w:noProof/>
        </w:rPr>
        <w:t>DET BLANDEDE EØS-UDVALGS AFGØRELSE</w:t>
      </w:r>
    </w:p>
    <w:p>
      <w:pPr>
        <w:spacing w:after="0"/>
        <w:jc w:val="center"/>
        <w:rPr>
          <w:b/>
          <w:noProof/>
          <w:color w:val="0000FF"/>
          <w:szCs w:val="24"/>
        </w:rPr>
      </w:pPr>
      <w:r>
        <w:rPr>
          <w:b/>
          <w:noProof/>
        </w:rPr>
        <w:t xml:space="preserve">Nr. </w:t>
      </w:r>
    </w:p>
    <w:p>
      <w:pPr>
        <w:spacing w:before="360" w:after="0"/>
        <w:jc w:val="center"/>
        <w:rPr>
          <w:b/>
          <w:noProof/>
          <w:color w:val="0000FF"/>
          <w:szCs w:val="24"/>
        </w:rPr>
      </w:pPr>
      <w:r>
        <w:rPr>
          <w:b/>
          <w:noProof/>
          <w:color w:val="000000" w:themeColor="text1"/>
        </w:rPr>
        <w:t>af</w:t>
      </w:r>
    </w:p>
    <w:p>
      <w:pPr>
        <w:spacing w:before="360" w:after="360"/>
        <w:jc w:val="center"/>
        <w:rPr>
          <w:b/>
          <w:noProof/>
          <w:color w:val="000000" w:themeColor="text1"/>
          <w:szCs w:val="24"/>
        </w:rPr>
      </w:pPr>
      <w:r>
        <w:rPr>
          <w:b/>
          <w:noProof/>
          <w:color w:val="000000" w:themeColor="text1"/>
        </w:rPr>
        <w:t>om ændring af bilag II (Tekniske forskrifter, standarder, prøvning og certificering) og bilag XI (Elektronisk kommunikation, audiovisuelle tjenesteydelser og informationssamfund) til EØS-aftalen</w:t>
      </w:r>
    </w:p>
    <w:p>
      <w:pPr>
        <w:spacing w:before="60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DET BLANDEDE EØS-UDVALG HAR —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under henvisning til aftalen om Det Europæiske Økonomiske Samarbejdsområde ("EØS-aftalen"), særlig artikel 98, og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ud fra følgende betragtninger:</w:t>
      </w:r>
    </w:p>
    <w:p>
      <w:pPr>
        <w:pStyle w:val="Considrant"/>
        <w:numPr>
          <w:ilvl w:val="0"/>
          <w:numId w:val="9"/>
        </w:numPr>
        <w:rPr>
          <w:noProof/>
        </w:rPr>
      </w:pPr>
      <w:r>
        <w:rPr>
          <w:noProof/>
        </w:rPr>
        <w:t>Europa-Parlamentets og Rådets direktiv (EU) 2015/1535 af 9. september 2015 om en informationsprocedure med hensyn til tekniske forskrifter samt forskrifter for informationssamfundets tjenester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skal indarbejdes i EØS-aftalen.</w:t>
      </w:r>
    </w:p>
    <w:p>
      <w:pPr>
        <w:pStyle w:val="Considrant"/>
        <w:rPr>
          <w:noProof/>
          <w:szCs w:val="24"/>
        </w:rPr>
      </w:pPr>
      <w:r>
        <w:rPr>
          <w:noProof/>
        </w:rPr>
        <w:t>Direktiv (EU) 2015/1535 ophæver Europa-Parlamentets og Rådets direktiv 98/34/EF</w:t>
      </w:r>
      <w:r>
        <w:rPr>
          <w:rStyle w:val="FootnoteReference"/>
          <w:noProof/>
        </w:rPr>
        <w:footnoteReference w:id="2"/>
      </w:r>
      <w:r>
        <w:rPr>
          <w:noProof/>
        </w:rPr>
        <w:t>, som ændret ved Europa-Parlamentets og Rådets direktiv 98/48/EF</w:t>
      </w:r>
      <w:r>
        <w:rPr>
          <w:rStyle w:val="FootnoteReference"/>
          <w:noProof/>
        </w:rPr>
        <w:footnoteReference w:id="3"/>
      </w:r>
      <w:r>
        <w:rPr>
          <w:noProof/>
        </w:rPr>
        <w:t>, som er indarbejdet i EØS-aftalen, og som derfor skal udgå af EØS-aftalen.</w:t>
      </w:r>
    </w:p>
    <w:p>
      <w:pPr>
        <w:pStyle w:val="Considrant"/>
        <w:rPr>
          <w:noProof/>
          <w:szCs w:val="24"/>
        </w:rPr>
      </w:pPr>
      <w:r>
        <w:rPr>
          <w:noProof/>
        </w:rPr>
        <w:t>Selv om EFTA-staterne kan komme med bemærkninger og detaljerede udtalelser i forbindelse med udkast til en teknisk forskrift, der er meddelt af andre EFTA-stater, kan de kun fremsætte bemærkninger i forbindelse med udkast til en teknisk forskrift, der er meddelt af EU-medlemsstater og vice versa.</w:t>
      </w:r>
    </w:p>
    <w:p>
      <w:pPr>
        <w:pStyle w:val="Considrant"/>
        <w:rPr>
          <w:noProof/>
          <w:color w:val="000000" w:themeColor="text1"/>
          <w:szCs w:val="24"/>
        </w:rPr>
      </w:pPr>
      <w:r>
        <w:rPr>
          <w:noProof/>
        </w:rPr>
        <w:t>Bilag II og XI til EØS-aftalen bør derfor ændres —</w:t>
      </w:r>
    </w:p>
    <w:p>
      <w:pPr>
        <w:keepNext/>
        <w:tabs>
          <w:tab w:val="left" w:pos="709"/>
        </w:tabs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VEDTAGET DENNE AFGØRELSE:</w:t>
      </w:r>
    </w:p>
    <w:p>
      <w:pPr>
        <w:rPr>
          <w:noProof/>
        </w:rPr>
      </w:pPr>
      <w:r>
        <w:rPr>
          <w:noProof/>
        </w:rPr>
        <w:t>Artikel 1</w:t>
      </w:r>
    </w:p>
    <w:p>
      <w:pPr>
        <w:rPr>
          <w:noProof/>
        </w:rPr>
      </w:pPr>
      <w:r>
        <w:rPr>
          <w:noProof/>
        </w:rPr>
        <w:t>Teksten i punkt 1 (Europa-Parlamentets og Rådets direktiv 98/34/EF)</w:t>
      </w:r>
      <w:r>
        <w:rPr>
          <w:noProof/>
          <w:sz w:val="18"/>
        </w:rPr>
        <w:t xml:space="preserve"> </w:t>
      </w:r>
      <w:r>
        <w:rPr>
          <w:noProof/>
        </w:rPr>
        <w:t>i kapitel XIX i bilag II til EØS-aftalen affattes således:</w:t>
      </w:r>
    </w:p>
    <w:p>
      <w:pPr>
        <w:rPr>
          <w:noProof/>
        </w:rPr>
      </w:pPr>
      <w:r>
        <w:rPr>
          <w:noProof/>
        </w:rPr>
        <w:t>"</w:t>
      </w:r>
      <w:r>
        <w:rPr>
          <w:b/>
          <w:noProof/>
        </w:rPr>
        <w:t>32015 L 1535</w:t>
      </w:r>
      <w:r>
        <w:rPr>
          <w:noProof/>
        </w:rPr>
        <w:t>: Europa-Parlamentets og Rådets direktiv (EU) 2015/1535 af 9. september 2015 om en informationsprocedure med hensyn til tekniske forskrifter samt forskrifter for informationssamfundets tjenester (EUT L 241 af 17.9.2015, s. 1).</w:t>
      </w:r>
    </w:p>
    <w:p>
      <w:pPr>
        <w:rPr>
          <w:noProof/>
        </w:rPr>
      </w:pPr>
      <w:r>
        <w:rPr>
          <w:noProof/>
        </w:rPr>
        <w:t xml:space="preserve">Direktivets bestemmelser gælder med henblik på denne aftale med følgende tilpasninger: </w:t>
      </w:r>
    </w:p>
    <w:p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 xml:space="preserve">Artikel 1, stk. 1, litra c), andet afsnit affattes således: </w:t>
      </w:r>
    </w:p>
    <w:p>
      <w:pPr>
        <w:pStyle w:val="Text1"/>
        <w:rPr>
          <w:noProof/>
        </w:rPr>
      </w:pPr>
      <w:r>
        <w:rPr>
          <w:noProof/>
        </w:rPr>
        <w:t>"Udtrykket "teknisk specifikation" dækker ligeledes fremstillingsmetoder og processer vedrørende produkter beregnet til konsum og dyrefoder samt lægemidler som defineret i artikel 1 i direktiv 2001/83/EF (som indarbejdet i punkt 15q i kapitel XIII i bilag II til aftalen ved Det Blandede EØS-Udvalgs afgørelse nr. 82/2002 af 25. juni 2002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), samt fremstillingsmetoder og processer vedrørende de øvrige produkter, når de har indvirkning på produkternes karakteristika." </w:t>
      </w:r>
    </w:p>
    <w:p>
      <w:pPr>
        <w:pStyle w:val="Point0letter"/>
        <w:rPr>
          <w:noProof/>
        </w:rPr>
      </w:pPr>
      <w:r>
        <w:rPr>
          <w:noProof/>
        </w:rPr>
        <w:t xml:space="preserve">Følgende tilføjes i artikel 5, nr. 1, første afsnit: </w:t>
      </w:r>
    </w:p>
    <w:p>
      <w:pPr>
        <w:pStyle w:val="Text1"/>
        <w:rPr>
          <w:noProof/>
        </w:rPr>
      </w:pPr>
      <w:r>
        <w:rPr>
          <w:noProof/>
        </w:rPr>
        <w:t xml:space="preserve">"Det meddelte udkast til teknisk forskrift stilles til rådighed i sin fulde længde både på originalsproget og fuldstændigt oversat til et af Unionens officielle sprog." </w:t>
      </w:r>
    </w:p>
    <w:p>
      <w:pPr>
        <w:pStyle w:val="Point0letter"/>
        <w:rPr>
          <w:noProof/>
        </w:rPr>
      </w:pPr>
      <w:r>
        <w:rPr>
          <w:noProof/>
        </w:rPr>
        <w:t xml:space="preserve">Følgende afsnit tilføjes i artikel 5, stk. 1: </w:t>
      </w:r>
    </w:p>
    <w:p>
      <w:pPr>
        <w:pStyle w:val="Text1"/>
        <w:rPr>
          <w:noProof/>
        </w:rPr>
      </w:pPr>
      <w:r>
        <w:rPr>
          <w:noProof/>
        </w:rPr>
        <w:t xml:space="preserve">"Kommissionen på Unionens vegne på den ene side og EFTA-Tilsynsmyndigheden eller EFTA-staterne via EFTA-Tilsynsmyndigheden på den anden side kan anmode om yderligere oplysninger om et meddelt udkast til teknisk forskrift." </w:t>
      </w:r>
    </w:p>
    <w:p>
      <w:pPr>
        <w:pStyle w:val="Point0letter"/>
        <w:rPr>
          <w:noProof/>
        </w:rPr>
      </w:pPr>
      <w:r>
        <w:rPr>
          <w:noProof/>
        </w:rPr>
        <w:t xml:space="preserve">Følgende afsnit tilføjes i artikel 5, stk. 2: </w:t>
      </w:r>
    </w:p>
    <w:p>
      <w:pPr>
        <w:pStyle w:val="Text1"/>
        <w:rPr>
          <w:noProof/>
        </w:rPr>
      </w:pPr>
      <w:r>
        <w:rPr>
          <w:noProof/>
        </w:rPr>
        <w:t>"EFTA-Tilsynsmyndigheden fremsender EFTA-staternes bemærkninger til Kommissionen i form af en samlet, koordineret meddelelse, og Kommissionen fremsender Unionens bemærkninger til EFTA-tilsynsmyndigheden."</w:t>
      </w:r>
    </w:p>
    <w:p>
      <w:pPr>
        <w:pStyle w:val="Point0letter"/>
        <w:rPr>
          <w:noProof/>
        </w:rPr>
      </w:pPr>
      <w:r>
        <w:rPr>
          <w:noProof/>
        </w:rPr>
        <w:t xml:space="preserve">Udtrykkene "medlemsstat" og "Kommissionen" i artikel 6, stk. 1, 2 og 7, erstattes af henholdsvis "EFTA-stat" og "EFTA-tilsynsmyndighed". </w:t>
      </w:r>
    </w:p>
    <w:p>
      <w:pPr>
        <w:pStyle w:val="Point0letter"/>
        <w:rPr>
          <w:noProof/>
        </w:rPr>
      </w:pPr>
      <w:r>
        <w:rPr>
          <w:noProof/>
        </w:rPr>
        <w:t xml:space="preserve">Artikel 6, stk. 3, 4, 5 og 6, finder ikke anvendelse." </w:t>
      </w:r>
    </w:p>
    <w:p>
      <w:pPr>
        <w:rPr>
          <w:noProof/>
        </w:rPr>
      </w:pPr>
      <w:r>
        <w:rPr>
          <w:noProof/>
        </w:rPr>
        <w:t>Artikel 2</w:t>
      </w:r>
    </w:p>
    <w:p>
      <w:pPr>
        <w:rPr>
          <w:noProof/>
        </w:rPr>
      </w:pPr>
      <w:r>
        <w:rPr>
          <w:noProof/>
        </w:rPr>
        <w:t>Teksten til punkt 5i (Europa-Parlamentets og Rådets direktiv 98/34/EF)</w:t>
      </w:r>
      <w:r>
        <w:rPr>
          <w:noProof/>
          <w:sz w:val="18"/>
        </w:rPr>
        <w:t xml:space="preserve"> </w:t>
      </w:r>
      <w:r>
        <w:rPr>
          <w:noProof/>
        </w:rPr>
        <w:t>i bilag XI til EØS-aftalen affattes således:</w:t>
      </w:r>
    </w:p>
    <w:p>
      <w:pPr>
        <w:rPr>
          <w:noProof/>
        </w:rPr>
      </w:pPr>
      <w:r>
        <w:rPr>
          <w:noProof/>
        </w:rPr>
        <w:t>"</w:t>
      </w:r>
      <w:r>
        <w:rPr>
          <w:b/>
          <w:noProof/>
        </w:rPr>
        <w:t>32015 L 1535</w:t>
      </w:r>
      <w:r>
        <w:rPr>
          <w:noProof/>
        </w:rPr>
        <w:t>: Europa-Parlamentets og Rådets direktiv (EU) 2015/1535 af 9. september 2015 om en informationsprocedure med hensyn til tekniske forskrifter samt forskrifter for informationssamfundets tjenester (EUT L 241 af 17.9.2015, s. 1).</w:t>
      </w:r>
    </w:p>
    <w:p>
      <w:pPr>
        <w:rPr>
          <w:noProof/>
        </w:rPr>
      </w:pPr>
      <w:r>
        <w:rPr>
          <w:noProof/>
        </w:rPr>
        <w:t xml:space="preserve">Direktivets bestemmelser gælder med henblik på denne aftale med følgende tilpasninger: 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Artikel 1, stk. 1, litra c), andet afsnit affattes således: </w:t>
      </w:r>
    </w:p>
    <w:p>
      <w:pPr>
        <w:pStyle w:val="Point0"/>
        <w:rPr>
          <w:noProof/>
        </w:rPr>
      </w:pPr>
      <w:r>
        <w:rPr>
          <w:noProof/>
        </w:rPr>
        <w:t>"Udtrykket "teknisk specifikation" dækker ligeledes fremstillingsmetoder og processer vedrørende produkter beregnet til konsum og dyrefoder samt lægemidler som defineret i artikel 1 i direktiv 2001/83/EF (som indarbejdet i punkt 15q i kapitel XIII i bilag II til aftalen ved Det Blandede EØS-Udvalgs afgørelse nr. 82/2002 af 25. juni 2002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), samt fremstillingsmetoder og processer vedrørende de øvrige produkter, når de har indvirkning på produkternes karakteristik." 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Følgende tilføjes i artikel 5, nr. 1, første afsnit: </w:t>
      </w:r>
    </w:p>
    <w:p>
      <w:pPr>
        <w:pStyle w:val="Point0"/>
        <w:rPr>
          <w:noProof/>
        </w:rPr>
      </w:pPr>
      <w:r>
        <w:rPr>
          <w:noProof/>
        </w:rPr>
        <w:tab/>
        <w:t xml:space="preserve">"Det meddelte udkast til teknisk forskrift stilles til rådighed i sin fulde længde både på originalsproget og fuldstændigt oversat til et af Unionens officielle sprog." 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Følgende afsnit tilføjes i artikel 5, stk. 1: </w:t>
      </w:r>
    </w:p>
    <w:p>
      <w:pPr>
        <w:pStyle w:val="Point0"/>
        <w:rPr>
          <w:noProof/>
        </w:rPr>
      </w:pPr>
      <w:r>
        <w:rPr>
          <w:noProof/>
        </w:rPr>
        <w:tab/>
        <w:t xml:space="preserve">"Kommissionen på Unionens vegne på den ene side og EFTA-Tilsynsmyndigheden eller EFTA-staterne via EFTA-Tilsynsmyndigheden på den anden side kan anmode om yderligere oplysninger om et meddelt udkast til teknisk forskrift." 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Følgende afsnit tilføjes i artikel 5, stk. 2: </w:t>
      </w:r>
    </w:p>
    <w:p>
      <w:pPr>
        <w:pStyle w:val="Point0"/>
        <w:rPr>
          <w:noProof/>
        </w:rPr>
      </w:pPr>
      <w:r>
        <w:rPr>
          <w:noProof/>
        </w:rPr>
        <w:t>"EFTA-Tilsynsmyndigheden fremsender EFTA-staternes bemærkninger til Kommissionen i form af en samlet, koordineret meddelelse, og Kommissionen fremsender Unionens bemærkninger til EFTA-tilsynsmyndigheden."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 xml:space="preserve">Udtrykkene "medlemsstat" og "Kommissionen" i artikel 6, stk. 1, 2 og 7, erstattes af henholdsvis "EFTA-stat" og "EFTA-tilsynsmyndighed". 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 xml:space="preserve">Artikel 6, stk. 3, 4, 5 og 6, finder ikke anvendelse." </w:t>
      </w:r>
    </w:p>
    <w:p>
      <w:pPr>
        <w:rPr>
          <w:noProof/>
        </w:rPr>
      </w:pPr>
      <w:r>
        <w:rPr>
          <w:noProof/>
        </w:rPr>
        <w:t>Artikel 3</w:t>
      </w:r>
    </w:p>
    <w:p>
      <w:pPr>
        <w:rPr>
          <w:noProof/>
        </w:rPr>
      </w:pPr>
      <w:r>
        <w:rPr>
          <w:noProof/>
        </w:rPr>
        <w:t xml:space="preserve">Den islandske og den norske udgave af direktiv (EU) 2015/1535, der offentliggøres i </w:t>
      </w:r>
      <w:r>
        <w:rPr>
          <w:i/>
          <w:noProof/>
        </w:rPr>
        <w:t>Den Europæiske Unions Tidendes</w:t>
      </w:r>
      <w:r>
        <w:rPr>
          <w:noProof/>
        </w:rPr>
        <w:t xml:space="preserve"> EØS-tillæg, er begge autentiske.</w:t>
      </w:r>
    </w:p>
    <w:p>
      <w:pPr>
        <w:rPr>
          <w:noProof/>
        </w:rPr>
      </w:pPr>
      <w:r>
        <w:rPr>
          <w:noProof/>
        </w:rPr>
        <w:t>Artikel 4</w:t>
      </w:r>
    </w:p>
    <w:p>
      <w:pPr>
        <w:rPr>
          <w:noProof/>
        </w:rPr>
      </w:pPr>
      <w:r>
        <w:rPr>
          <w:noProof/>
        </w:rPr>
        <w:t>Denne afgørelse træder i kraft den [...], forudsat at alle meddelelser er indgivet, jf. EØS-aftalens artikel 103, stk. 1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Artikel 5</w:t>
      </w:r>
    </w:p>
    <w:p>
      <w:pPr>
        <w:rPr>
          <w:noProof/>
        </w:rPr>
      </w:pPr>
      <w:r>
        <w:rPr>
          <w:noProof/>
        </w:rPr>
        <w:t xml:space="preserve">Denne afgørelse offentliggøres i </w:t>
      </w:r>
      <w:r>
        <w:rPr>
          <w:i/>
          <w:noProof/>
        </w:rPr>
        <w:t>Den Europæiske Unions Tidendes</w:t>
      </w:r>
      <w:r>
        <w:rPr>
          <w:noProof/>
        </w:rPr>
        <w:t xml:space="preserve"> EØS-afsnit og EØS-tillæg.</w:t>
      </w:r>
    </w:p>
    <w:p>
      <w:pPr>
        <w:spacing w:after="0"/>
        <w:rPr>
          <w:noProof/>
          <w:szCs w:val="24"/>
        </w:rPr>
      </w:pPr>
      <w:r>
        <w:rPr>
          <w:noProof/>
        </w:rPr>
        <w:t>Udfærdiget i Bruxelles, den [...].</w:t>
      </w:r>
    </w:p>
    <w:p>
      <w:pPr>
        <w:pStyle w:val="Institutionquisigne"/>
        <w:rPr>
          <w:noProof/>
        </w:rPr>
      </w:pPr>
      <w:r>
        <w:rPr>
          <w:noProof/>
        </w:rPr>
        <w:tab/>
        <w:t>På Det Blandede EØS-Udvalgs vegne</w:t>
      </w:r>
    </w:p>
    <w:p>
      <w:pPr>
        <w:pStyle w:val="Personnequisigne"/>
        <w:rPr>
          <w:noProof/>
          <w:color w:val="008000"/>
        </w:rPr>
      </w:pPr>
      <w:r>
        <w:rPr>
          <w:noProof/>
        </w:rPr>
        <w:tab/>
      </w:r>
    </w:p>
    <w:p>
      <w:pPr>
        <w:pStyle w:val="Personnequisigne"/>
        <w:rPr>
          <w:noProof/>
          <w:color w:val="008000"/>
        </w:rPr>
      </w:pPr>
      <w:r>
        <w:rPr>
          <w:noProof/>
        </w:rPr>
        <w:tab/>
        <w:t>Formand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</w:r>
    </w:p>
    <w:p>
      <w:pPr>
        <w:pStyle w:val="Personnequisigne"/>
        <w:rPr>
          <w:noProof/>
        </w:rPr>
      </w:pPr>
      <w:r>
        <w:rPr>
          <w:noProof/>
        </w:rPr>
        <w:tab/>
        <w:t>Sekretærer for</w:t>
      </w:r>
      <w:r>
        <w:rPr>
          <w:noProof/>
        </w:rPr>
        <w:br/>
      </w:r>
      <w:r>
        <w:rPr>
          <w:noProof/>
        </w:rPr>
        <w:tab/>
        <w:t>Det Blandede EØS-Udvalg</w:t>
      </w:r>
    </w:p>
    <w:sectPr>
      <w:footerReference w:type="default" r:id="rId16"/>
      <w:footerReference w:type="first" r:id="rId17"/>
      <w:endnotePr>
        <w:numFmt w:val="chicago"/>
      </w:endnote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color w:val="0000FF"/>
        </w:rPr>
      </w:pPr>
      <w:r>
        <w:rPr>
          <w:rStyle w:val="FootnoteReference"/>
        </w:rPr>
        <w:footnoteRef/>
      </w:r>
      <w:r>
        <w:tab/>
        <w:t>EUT L 241 af 17.9.2015, s. 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EFT L 204 af 21.7.1998, s. 37.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EFT L 217 af 5.8.1998, s. 18.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EFT L 266 af 3.1.2002, s. 32 og EØS-tillæg nr. 49 af 3.10.2002, s. 22.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EFT L 266 af 3.1.2002, s. 32 og EØS-tillæg nr. 49 af 3.10.2002, s. 22.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24"/>
        </w:rPr>
        <w:t>[Ingen forfatningsmæssige krav angivet.] [Forfatningsmæssige krav angivet.]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62E34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EBE04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8F6B4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52A4E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C24B2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3565A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814CC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58C7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RNANDEZ ANTUNEZ Maria Aranzazu (GROW)">
    <w15:presenceInfo w15:providerId="None" w15:userId="HERNANDEZ ANTUNEZ Maria Aranzazu (GROW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8 13:48:4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" w:val="til"/>
    <w:docVar w:name="LW_ACCOMPAGNANT.CP" w:val="ti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84CBC42-1570-402E-AC21-89332E16EA51"/>
    <w:docVar w:name="LW_COVERPAGE_TYPE" w:val="1"/>
    <w:docVar w:name="LW_CROSSREFERENCE" w:val="&lt;UNUSED&gt;"/>
    <w:docVar w:name="LW_DocType" w:val="ANNEX"/>
    <w:docVar w:name="LW_EMISSION" w:val="31.1.2019"/>
    <w:docVar w:name="LW_EMISSION_ISODATE" w:val="2019-01-31"/>
    <w:docVar w:name="LW_EMISSION_LOCATION" w:val="BRX"/>
    <w:docVar w:name="LW_EMISSION_PREFIX" w:val="Bruxelles, den "/>
    <w:docVar w:name="LW_EMISSION_SUFFIX" w:val=" "/>
    <w:docVar w:name="LW_ID_DOCSTRUCTURE" w:val="COM/ANNEX"/>
    <w:docVar w:name="LW_ID_DOCTYPE" w:val="SG-017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" w:val="om den holdning, der skal indtages på Den Europæiske Unions vegne i Det Blandede EØS-Udvalg til en ændring af bilag II&lt;LWCR:NBS&gt;(Tekniske forskrifter, standarder, prøvning og certificering) og bilag&lt;LWCR:NBS&gt;XI (Elektronisk kommunikation, audiovisuelle tjenesteydelser og informationssamfund) til EØS-aftalen_x000b_"/>
    <w:docVar w:name="LW_OBJETACTEPRINCIPAL.CP" w:val="om den holdning, der skal indtages på Den Europæiske Unions vegne i Det Blandede EØS-Udvalg til en ændring af bilag II (Tekniske forskrifter, standarder, prøvning og certificering) og bilag XI (Elektronisk kommunikation, audiovisuelle tjenesteydelser og informationssamfund) til EØS-aftalen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3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LAG"/>
    <w:docVar w:name="LW_TYPE.DOC.CP" w:val="BILAG"/>
    <w:docVar w:name="LW_TYPEACTEPRINCIPAL" w:val="Forslag til Rådets afgørelse"/>
    <w:docVar w:name="LW_TYPEACTEPRINCIPAL.CP" w:val="Forslag til Rådets afgørels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ind w:left="3332" w:hanging="708"/>
      <w:outlineLvl w:val="4"/>
    </w:pPr>
    <w:rPr>
      <w:rFonts w:ascii="Arial" w:eastAsia="Times New Roman" w:hAnsi="Arial"/>
      <w:sz w:val="22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ind w:left="4040" w:hanging="708"/>
      <w:outlineLvl w:val="5"/>
    </w:pPr>
    <w:rPr>
      <w:rFonts w:ascii="Arial" w:eastAsia="Times New Roman" w:hAnsi="Arial"/>
      <w:i/>
      <w:sz w:val="22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ind w:left="4748" w:hanging="708"/>
      <w:outlineLvl w:val="6"/>
    </w:pPr>
    <w:rPr>
      <w:rFonts w:ascii="Arial" w:eastAsia="Times New Roman" w:hAnsi="Arial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ind w:left="5456" w:hanging="708"/>
      <w:outlineLvl w:val="7"/>
    </w:pPr>
    <w:rPr>
      <w:rFonts w:ascii="Arial" w:eastAsia="Times New Roman" w:hAnsi="Arial"/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ind w:left="6164" w:hanging="708"/>
      <w:outlineLvl w:val="8"/>
    </w:pPr>
    <w:rPr>
      <w:rFonts w:ascii="Arial" w:eastAsia="Times New Roman" w:hAnsi="Arial"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  <w:szCs w:val="20"/>
    </w:rPr>
  </w:style>
  <w:style w:type="paragraph" w:customStyle="1" w:styleId="Articleheading">
    <w:name w:val="Article heading"/>
    <w:basedOn w:val="Normal"/>
    <w:link w:val="ArticleheadingChar"/>
    <w:qFormat/>
    <w:pPr>
      <w:keepNext/>
      <w:tabs>
        <w:tab w:val="left" w:pos="709"/>
      </w:tabs>
      <w:spacing w:before="360"/>
      <w:jc w:val="center"/>
    </w:pPr>
    <w:rPr>
      <w:i/>
      <w:color w:val="000000" w:themeColor="text1"/>
      <w:szCs w:val="24"/>
    </w:rPr>
  </w:style>
  <w:style w:type="paragraph" w:customStyle="1" w:styleId="Articletext">
    <w:name w:val="Article text"/>
    <w:basedOn w:val="Articleheading"/>
    <w:link w:val="ArticletextChar"/>
    <w:qFormat/>
    <w:pPr>
      <w:keepNext w:val="0"/>
      <w:spacing w:before="120"/>
      <w:jc w:val="both"/>
    </w:pPr>
    <w:rPr>
      <w:i w:val="0"/>
    </w:rPr>
  </w:style>
  <w:style w:type="character" w:customStyle="1" w:styleId="ArticleheadingChar">
    <w:name w:val="Article heading Char"/>
    <w:basedOn w:val="DefaultParagraphFont"/>
    <w:link w:val="Articleheading"/>
    <w:rPr>
      <w:rFonts w:ascii="Times New Roman" w:hAnsi="Times New Roman" w:cs="Times New Roman"/>
      <w:i/>
      <w:color w:val="000000" w:themeColor="text1"/>
      <w:sz w:val="24"/>
      <w:szCs w:val="24"/>
    </w:rPr>
  </w:style>
  <w:style w:type="character" w:customStyle="1" w:styleId="ArticletextChar">
    <w:name w:val="Article text Char"/>
    <w:basedOn w:val="ArticleheadingChar"/>
    <w:link w:val="Articletext"/>
    <w:rPr>
      <w:rFonts w:ascii="Times New Roman" w:hAnsi="Times New Roman" w:cs="Times New Roman"/>
      <w:i w:val="0"/>
      <w:color w:val="000000" w:themeColor="text1"/>
      <w:sz w:val="24"/>
      <w:szCs w:val="24"/>
    </w:rPr>
  </w:style>
  <w:style w:type="character" w:customStyle="1" w:styleId="Point0Char">
    <w:name w:val="Point 0 Char"/>
    <w:basedOn w:val="DefaultParagraphFont"/>
    <w:rPr>
      <w:rFonts w:ascii="Times New Roman" w:hAnsi="Times New Roman" w:cs="Times New Roman"/>
      <w:sz w:val="24"/>
      <w:lang w:val="da-D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szCs w:val="20"/>
      <w:lang w:val="da-DK" w:eastAsia="en-GB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i/>
      <w:szCs w:val="20"/>
      <w:lang w:val="da-DK" w:eastAsia="en-GB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sz w:val="20"/>
      <w:szCs w:val="20"/>
      <w:lang w:val="da-DK" w:eastAsia="en-GB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  <w:i/>
      <w:sz w:val="20"/>
      <w:szCs w:val="20"/>
      <w:lang w:val="da-DK" w:eastAsia="en-GB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Times New Roman"/>
      <w:i/>
      <w:sz w:val="18"/>
      <w:szCs w:val="20"/>
      <w:lang w:val="da-DK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ind w:left="3332" w:hanging="708"/>
      <w:outlineLvl w:val="4"/>
    </w:pPr>
    <w:rPr>
      <w:rFonts w:ascii="Arial" w:eastAsia="Times New Roman" w:hAnsi="Arial"/>
      <w:sz w:val="22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ind w:left="4040" w:hanging="708"/>
      <w:outlineLvl w:val="5"/>
    </w:pPr>
    <w:rPr>
      <w:rFonts w:ascii="Arial" w:eastAsia="Times New Roman" w:hAnsi="Arial"/>
      <w:i/>
      <w:sz w:val="22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ind w:left="4748" w:hanging="708"/>
      <w:outlineLvl w:val="6"/>
    </w:pPr>
    <w:rPr>
      <w:rFonts w:ascii="Arial" w:eastAsia="Times New Roman" w:hAnsi="Arial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ind w:left="5456" w:hanging="708"/>
      <w:outlineLvl w:val="7"/>
    </w:pPr>
    <w:rPr>
      <w:rFonts w:ascii="Arial" w:eastAsia="Times New Roman" w:hAnsi="Arial"/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ind w:left="6164" w:hanging="708"/>
      <w:outlineLvl w:val="8"/>
    </w:pPr>
    <w:rPr>
      <w:rFonts w:ascii="Arial" w:eastAsia="Times New Roman" w:hAnsi="Arial"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  <w:szCs w:val="20"/>
    </w:rPr>
  </w:style>
  <w:style w:type="paragraph" w:customStyle="1" w:styleId="Articleheading">
    <w:name w:val="Article heading"/>
    <w:basedOn w:val="Normal"/>
    <w:link w:val="ArticleheadingChar"/>
    <w:qFormat/>
    <w:pPr>
      <w:keepNext/>
      <w:tabs>
        <w:tab w:val="left" w:pos="709"/>
      </w:tabs>
      <w:spacing w:before="360"/>
      <w:jc w:val="center"/>
    </w:pPr>
    <w:rPr>
      <w:i/>
      <w:color w:val="000000" w:themeColor="text1"/>
      <w:szCs w:val="24"/>
    </w:rPr>
  </w:style>
  <w:style w:type="paragraph" w:customStyle="1" w:styleId="Articletext">
    <w:name w:val="Article text"/>
    <w:basedOn w:val="Articleheading"/>
    <w:link w:val="ArticletextChar"/>
    <w:qFormat/>
    <w:pPr>
      <w:keepNext w:val="0"/>
      <w:spacing w:before="120"/>
      <w:jc w:val="both"/>
    </w:pPr>
    <w:rPr>
      <w:i w:val="0"/>
    </w:rPr>
  </w:style>
  <w:style w:type="character" w:customStyle="1" w:styleId="ArticleheadingChar">
    <w:name w:val="Article heading Char"/>
    <w:basedOn w:val="DefaultParagraphFont"/>
    <w:link w:val="Articleheading"/>
    <w:rPr>
      <w:rFonts w:ascii="Times New Roman" w:hAnsi="Times New Roman" w:cs="Times New Roman"/>
      <w:i/>
      <w:color w:val="000000" w:themeColor="text1"/>
      <w:sz w:val="24"/>
      <w:szCs w:val="24"/>
    </w:rPr>
  </w:style>
  <w:style w:type="character" w:customStyle="1" w:styleId="ArticletextChar">
    <w:name w:val="Article text Char"/>
    <w:basedOn w:val="ArticleheadingChar"/>
    <w:link w:val="Articletext"/>
    <w:rPr>
      <w:rFonts w:ascii="Times New Roman" w:hAnsi="Times New Roman" w:cs="Times New Roman"/>
      <w:i w:val="0"/>
      <w:color w:val="000000" w:themeColor="text1"/>
      <w:sz w:val="24"/>
      <w:szCs w:val="24"/>
    </w:rPr>
  </w:style>
  <w:style w:type="character" w:customStyle="1" w:styleId="Point0Char">
    <w:name w:val="Point 0 Char"/>
    <w:basedOn w:val="DefaultParagraphFont"/>
    <w:rPr>
      <w:rFonts w:ascii="Times New Roman" w:hAnsi="Times New Roman" w:cs="Times New Roman"/>
      <w:sz w:val="24"/>
      <w:lang w:val="da-D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szCs w:val="20"/>
      <w:lang w:val="da-DK" w:eastAsia="en-GB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i/>
      <w:szCs w:val="20"/>
      <w:lang w:val="da-DK" w:eastAsia="en-GB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sz w:val="20"/>
      <w:szCs w:val="20"/>
      <w:lang w:val="da-DK" w:eastAsia="en-GB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  <w:i/>
      <w:sz w:val="20"/>
      <w:szCs w:val="20"/>
      <w:lang w:val="da-DK" w:eastAsia="en-GB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Times New Roman"/>
      <w:i/>
      <w:sz w:val="18"/>
      <w:szCs w:val="20"/>
      <w:lang w:val="da-DK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C26C-8E4B-413F-A61E-F1ECF027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4</Pages>
  <Words>790</Words>
  <Characters>4855</Characters>
  <Application>Microsoft Office Word</Application>
  <DocSecurity>0</DocSecurity>
  <Lines>99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KARLOWSKI Mikolaj</dc:creator>
  <cp:lastModifiedBy>WES PDFC Administrator</cp:lastModifiedBy>
  <cp:revision>8</cp:revision>
  <dcterms:created xsi:type="dcterms:W3CDTF">2019-01-15T16:19:00Z</dcterms:created>
  <dcterms:modified xsi:type="dcterms:W3CDTF">2019-01-28T12:48:00Z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