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67C3F6-3FBE-4196-AE08-62AF67BC0079" style="width:450.75pt;height:42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t>1.</w:t>
      </w:r>
      <w:r>
        <w:tab/>
      </w:r>
      <w:r>
        <w:rPr>
          <w:noProof/>
        </w:rPr>
        <w:t>ΠΛΑΙΣΙΟ ΤΗΣ ΠΡΟΤΑΣΗΣ</w:t>
      </w:r>
    </w:p>
    <w:p>
      <w:pPr>
        <w:pStyle w:val="Point0"/>
        <w:rPr>
          <w:b/>
          <w:noProof/>
        </w:rPr>
      </w:pPr>
      <w:r>
        <w:rPr>
          <w:b/>
          <w:noProof/>
          <w:color w:val="000000"/>
          <w:u w:color="000000"/>
          <w:bdr w:val="nil"/>
        </w:rPr>
        <w:t>•</w:t>
      </w:r>
      <w:r>
        <w:rPr>
          <w:noProof/>
        </w:rPr>
        <w:tab/>
      </w:r>
      <w:r>
        <w:rPr>
          <w:b/>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Το σχέδιο απόφασης της Μεικτής Επιτροπής του ΕΟΧ (που προσαρτάται στην πρόταση απόφασης του Συμβουλίου) αποσκοπεί στην τροποποίηση του παραρτήματος IX (Χρηματοπιστωτικές υπηρεσίες) και του παραρτήματος XIX (Προστασία των καταναλωτών) της συμφωνίας ΕΟΧ προκειμένου να ενσωματωθεί η οδηγία 2014/17/ΕΕ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Το προσαρτώμενο σχέδιο απόφασης της Μεικτής Επιτροπής επεκτείνει την ήδη υφιστάμενη πολιτική της ΕΕ στα κράτη ΕΖΕΣ του ΕΟΧ (Νορβηγία, Ισλανδία και Λιχτενστάιν).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Συνέπεια με άλλες πολιτικές της Ένωσης</w:t>
      </w:r>
    </w:p>
    <w:p>
      <w:pPr>
        <w:rPr>
          <w:noProof/>
        </w:rPr>
      </w:pPr>
      <w:r>
        <w:rPr>
          <w:noProof/>
        </w:rPr>
        <w:t xml:space="preserve">Η επέκταση του κεκτημένου της ΕΕ στα κράτη ΕΖΕΣ του ΕΟΧ, με την ενσωμάτωσή του στη συμφωνία ΕΟΧ πραγματοποιείται σύμφωνα με τους στόχους και τις αρχές της εν λόγω συμφωνίας με στόχο την επίτευξη ενός δυναμικού και ομοιογενούς Ευρωπαϊκού Οικονομικού Χώρου, με βάση κοινούς κανόνες και ισότιμους όρους ανταγωνισμού. </w:t>
      </w:r>
    </w:p>
    <w:p>
      <w:pPr>
        <w:pStyle w:val="ManualHeading1"/>
        <w:rPr>
          <w:noProof/>
        </w:rPr>
      </w:pPr>
      <w:r>
        <w:t>2.</w:t>
      </w:r>
      <w:r>
        <w:tab/>
      </w:r>
      <w:r>
        <w:rPr>
          <w:noProof/>
        </w:rPr>
        <w:t>ΝΟΜΙΚΗ ΒΑΣΗ, ΕΠΙΚΟΥΡΙΚΟΤΗΤΑ ΚΑΙ ΑΝΑΛΟΓΙΚΟΤΗΤΑ</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Νομική βάση</w:t>
      </w:r>
    </w:p>
    <w:p>
      <w:pPr>
        <w:rPr>
          <w:noProof/>
        </w:rPr>
      </w:pPr>
      <w:r>
        <w:rPr>
          <w:noProof/>
        </w:rPr>
        <w:t>Η νομοθεσία που πρέπει να ενσωματωθεί στη συμφωνία ΕΟΧ βασίζεται στο άρθρο 114 της Συνθήκης για τη λειτουργία της Ευρωπαϊκής Ένωσης.</w:t>
      </w:r>
    </w:p>
    <w:p>
      <w:pPr>
        <w:rPr>
          <w:noProof/>
        </w:rPr>
      </w:pPr>
      <w:r>
        <w:rPr>
          <w:noProof/>
        </w:rPr>
        <w:t>Το άρθρο 1 παράγραφος 3 του κανονισμού (ΕΚ) αριθ. 2894/94 του Συμβουλίου</w:t>
      </w:r>
      <w:r>
        <w:rPr>
          <w:rStyle w:val="FootnoteReference"/>
          <w:noProof/>
        </w:rPr>
        <w:footnoteReference w:id="1"/>
      </w:r>
      <w:r>
        <w:rPr>
          <w:noProof/>
        </w:rPr>
        <w:t xml:space="preserve"> σχετικά με ορισμένες λεπτομέρειες εφαρμογής της συμφωνίας ΕΟΧ προβλέπει ότι το Συμβούλιο καθορίζει τη θέση που πρέπει να ληφθεί εξ ονόματος της Ένωσης όσον αφορά τις αποφάσεις αυτές, κατόπιν πρότασης της Επιτροπής. </w:t>
      </w:r>
    </w:p>
    <w:p>
      <w:pPr>
        <w:rPr>
          <w:noProof/>
        </w:rPr>
      </w:pPr>
      <w:r>
        <w:rPr>
          <w:noProof/>
        </w:rPr>
        <w:t>Η Επιτροπή, σε συνεργασία με την ΕΥΕΔ, υποβάλλει το σχέδιο απόφασης της Μεικτής Επιτροπής του ΕΟΧ προκειμένου να εγκριθεί από το Συμβούλιο ως θέση της Ένωσης. Η Επιτροπή ελπίζει ότι θα μπορέσει να το υποβάλει στη Μεικτή Επιτροπή του ΕΟΧ το συντομότερο δυνατό.</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 xml:space="preserve">Επικουρικότητα (σε περίπτωση μη αποκλειστικής αρμοδιότητας) </w:t>
      </w:r>
    </w:p>
    <w:p>
      <w:pPr>
        <w:rPr>
          <w:noProof/>
        </w:rPr>
      </w:pPr>
      <w:r>
        <w:rPr>
          <w:noProof/>
        </w:rPr>
        <w:t xml:space="preserve">Η πρόταση συνάδει με την αρχή της επικουρικότητας για τον ακόλουθο λόγο. </w:t>
      </w:r>
    </w:p>
    <w:p>
      <w:pPr>
        <w:rPr>
          <w:noProof/>
        </w:rPr>
      </w:pPr>
      <w:r>
        <w:rPr>
          <w:noProof/>
        </w:rPr>
        <w:t xml:space="preserve">Ο στόχος της παρούσας πρότασης, δηλαδή η διασφάλιση της ομοιογένειας της εσωτερικής αγοράς, δεν μπορεί να υλοποιηθεί επαρκώς από τα κράτη μέλη και δύναται, συνεπώς, λόγω των αποτελεσμάτων, να επιτευχθεί καλύτερα σε ενωσιακό επίπεδο. </w:t>
      </w:r>
    </w:p>
    <w:p>
      <w:pPr>
        <w:rPr>
          <w:noProof/>
        </w:rPr>
      </w:pPr>
      <w:r>
        <w:rPr>
          <w:noProof/>
        </w:rPr>
        <w:t xml:space="preserve">Η διαδικασία ενσωμάτωσης του κεκτημένου της ΕΕ στη συμφωνία ΕΟΧ πραγματοποιείται σύμφωνα με τον κανονισμό (ΕΚ) αριθ. 2894/94 του Συμβουλίου, της 28ης Νοεμβρίου 1994, σχετικά με ορισμένες λεπτομέρειες εφαρμογής της συμφωνίας για τον Ευρωπαϊκό Οικονομικό Χώρο, που επιβεβαιώνει την υιοθετηθείσα προσέγγιση.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Αναλογικότητα</w:t>
      </w:r>
    </w:p>
    <w:p>
      <w:pPr>
        <w:rPr>
          <w:noProof/>
        </w:rPr>
      </w:pPr>
      <w:r>
        <w:rPr>
          <w:noProof/>
        </w:rPr>
        <w:t>Σύμφωνα με την αρχή της αναλογικότητας, η παρούσα πρόταση δεν υπερβαίνει τα αναγκαία όρια για την επίτευξη αυτού του στόχου.</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Επιλογή της νομικής πράξης</w:t>
      </w:r>
    </w:p>
    <w:p>
      <w:pPr>
        <w:rPr>
          <w:noProof/>
        </w:rPr>
      </w:pPr>
      <w:r>
        <w:rPr>
          <w:noProof/>
        </w:rPr>
        <w:t xml:space="preserve">Σύμφωνα με το άρθρο 98 της συμφωνίας ΕΟΧ, η πράξη που επιλέγεται είναι η απόφαση της Μεικτής Επιτροπής του ΕΟΧ. Η Μεικτή Επιτροπή του ΕΟΧ διασφαλίζει την αποτελεσματική εφαρμογή και λειτουργία της συμφωνίας ΕΟΧ. Για τον σκοπό αυτό, λαμβάνει αποφάσεις στις περιπτώσεις που προβλέπονται στην συμφωνία ΕΟΧ. </w:t>
      </w:r>
    </w:p>
    <w:p>
      <w:pPr>
        <w:pStyle w:val="ManualHeading1"/>
        <w:rPr>
          <w:noProof/>
        </w:rPr>
      </w:pPr>
      <w:r>
        <w:t>3.</w:t>
      </w:r>
      <w:r>
        <w:tab/>
      </w:r>
      <w:r>
        <w:rPr>
          <w:noProof/>
        </w:rPr>
        <w:t>ΑΠΟΤΕΛΕΣΜΑΤΑ ΤΩΝ ΕΚ ΤΩΝ ΥΣΤΕΡΩΝ ΑΞΙΟΛΟΓΗΣΕΩΝ, ΤΩΝ ΔΙΑΒΟΥΛΕΥΣΕΩΝ ΜΕ ΤΑ ΕΝΔΙΑΦΕΡΟΜΕΝΑ ΜΕΡΗ ΚΑΙ ΤΩΝ ΕΚΤΙΜΗΣΕΩΝ ΕΠΙΠΤΩΣΕΩΝ</w:t>
      </w:r>
    </w:p>
    <w:p>
      <w:pPr>
        <w:rPr>
          <w:noProof/>
        </w:rPr>
      </w:pPr>
      <w:r>
        <w:rPr>
          <w:noProof/>
        </w:rPr>
        <w:t>Άνευ αντικειμένου.</w:t>
      </w:r>
    </w:p>
    <w:p>
      <w:pPr>
        <w:pStyle w:val="ManualHeading1"/>
        <w:rPr>
          <w:noProof/>
        </w:rPr>
      </w:pPr>
      <w:r>
        <w:t>4.</w:t>
      </w:r>
      <w:r>
        <w:tab/>
      </w:r>
      <w:r>
        <w:rPr>
          <w:noProof/>
        </w:rPr>
        <w:t>ΔΗΜΟΣΙΟΝΟΜΙΚΕΣ ΕΠΙΠΤΩΣΕΙΣ</w:t>
      </w:r>
    </w:p>
    <w:p>
      <w:pPr>
        <w:rPr>
          <w:noProof/>
        </w:rPr>
      </w:pPr>
      <w:r>
        <w:rPr>
          <w:noProof/>
        </w:rPr>
        <w:t>Δεν αναμένονται δημοσιονομικές επιπτώσεις ως αποτέλεσμα της ενσωμάτωσης της οδηγίας 2014/17/ΕΕ στη συμφωνία ΕΟΧ.</w:t>
      </w:r>
    </w:p>
    <w:p>
      <w:pPr>
        <w:pStyle w:val="ManualHeading1"/>
        <w:rPr>
          <w:noProof/>
        </w:rPr>
      </w:pPr>
      <w:r>
        <w:t>5.</w:t>
      </w:r>
      <w:r>
        <w:tab/>
      </w:r>
      <w:r>
        <w:rPr>
          <w:noProof/>
        </w:rPr>
        <w:t>ΛΟΙΠΑ ΣΤΟΙΧΕΙΑ</w:t>
      </w:r>
    </w:p>
    <w:p>
      <w:pPr>
        <w:rPr>
          <w:b/>
          <w:noProof/>
          <w:u w:val="single"/>
        </w:rPr>
      </w:pPr>
      <w:r>
        <w:rPr>
          <w:b/>
          <w:noProof/>
          <w:u w:val="single"/>
        </w:rPr>
        <w:t xml:space="preserve">Οι κύριες προσαρμογές που ζητήθηκαν από την ΕΖΕΣ </w:t>
      </w:r>
    </w:p>
    <w:p>
      <w:pPr>
        <w:rPr>
          <w:noProof/>
        </w:rPr>
      </w:pPr>
      <w:r>
        <w:rPr>
          <w:noProof/>
        </w:rPr>
        <w:t>Αιτιολόγηση και προτεινόμενη λύση:</w:t>
      </w:r>
    </w:p>
    <w:p>
      <w:pPr>
        <w:rPr>
          <w:noProof/>
          <w:u w:val="single"/>
        </w:rPr>
      </w:pPr>
      <w:r>
        <w:rPr>
          <w:noProof/>
          <w:u w:val="single"/>
        </w:rPr>
        <w:t>Προσαρμογή στο άρθρο 5 παράγραφος 3 στοιχείο β) - προσαρμογή β)</w:t>
      </w:r>
    </w:p>
    <w:p>
      <w:pPr>
        <w:rPr>
          <w:noProof/>
        </w:rPr>
      </w:pPr>
      <w:r>
        <w:rPr>
          <w:noProof/>
        </w:rPr>
        <w:t>Ως συνέπεια της κατανομής των αρμοδιοτήτων μεταξύ της Ευρωπαϊκής Αρχής Τραπεζών (ΕΑΤ) και της Εποπτεύουσας Αρχής της ΕΖΕΣ, εισήχθη προσαρμογή για να συμπεριληφθεί η Εποπτεύουσα Αρχή της ΕΖΕΣ στον κατάλογο των αρχών με τις οποίες συνεργάζονται οι εθνικές αρχές.</w:t>
      </w:r>
    </w:p>
    <w:p>
      <w:pPr>
        <w:rPr>
          <w:noProof/>
          <w:u w:val="single"/>
        </w:rPr>
      </w:pPr>
      <w:r>
        <w:rPr>
          <w:noProof/>
          <w:u w:val="single"/>
        </w:rPr>
        <w:t>Προσαρμογή στο άρθρο 12 παράγραφος 3 και στο άρθρο 27 παράγραφος 3 - προσαρμογή γ)</w:t>
      </w:r>
    </w:p>
    <w:p>
      <w:pPr>
        <w:rPr>
          <w:noProof/>
        </w:rPr>
      </w:pPr>
      <w:r>
        <w:rPr>
          <w:noProof/>
        </w:rPr>
        <w:t xml:space="preserve">Σύμφωνα με το άρθρο 7 της συμφωνίας ΕΟΧ, μόνο πράξεις που έχουν ενσωματωθεί στη συμφωνία ΕΟΧ είναι δεσμευτικές για τα κράτη ΕΖΕΣ του ΕΟΧ. Ως εκ τούτου, ορισμένες υποχρεώσεις που περιλαμβάνονται στην οδηγία μπορεί να εφαρμόζονται μόνο από την ημερομηνία έναρξης ισχύος της απόφασης της Μεικτής Επιτροπής που τις ενσωματώνει στη συμφωνία ΕΟΧ. Η προσαρμογή γ) εξασφαλίζει ότι η σχετική ημερομηνία για την εφαρμογή των άρθρων 12 παράγραφος 3 και 27 παράγραφος 3 είναι η ημερομηνία έναρξης ισχύος της οδηγίας στον ΕΟΧ. </w:t>
      </w:r>
    </w:p>
    <w:p>
      <w:pPr>
        <w:rPr>
          <w:noProof/>
        </w:rPr>
      </w:pPr>
      <w:r>
        <w:rPr>
          <w:noProof/>
          <w:u w:val="single"/>
        </w:rPr>
        <w:t>Προσαρμογή στο άρθρο 14 παράγραφος 5 - προσαρμογή δ)</w:t>
      </w:r>
    </w:p>
    <w:p>
      <w:pPr>
        <w:rPr>
          <w:noProof/>
        </w:rPr>
      </w:pPr>
      <w:r>
        <w:rPr>
          <w:noProof/>
        </w:rPr>
        <w:t xml:space="preserve">Σύμφωνα με το άρθρο 7 της συμφωνίας ΕΟΧ, μόνο πράξεις που έχουν ενσωματωθεί στη συμφωνία ΕΟΧ είναι δεσμευτικές για τα κράτη ΕΖΕΣ του ΕΟΧ. Ως εκ τούτου, ορισμένες υποχρεώσεις που περιλαμβάνονται στην οδηγία μπορεί να εφαρμόζονται μόνο από την ημερομηνία έναρξης ισχύος της απόφασης της Μεικτής Επιτροπής που τις ενσωματώνει στη συμφωνία ΕΟΧ. Η προσαρμογή δ) εξασφαλίζει ότι οι μεταβατικές περίοδοι όσον αφορά τους υφιστάμενους εθνικούς κανόνες που ίσχυαν πριν από την έναρξη ισχύος της οδηγίας, νοείται, στο πλαίσιο του ΕΟΧ, ότι εφαρμόζονται σε σχέση με την έναρξη ισχύος της οδηγίας στον ΕΟΧ. </w:t>
      </w:r>
    </w:p>
    <w:p>
      <w:pPr>
        <w:rPr>
          <w:noProof/>
        </w:rPr>
      </w:pPr>
      <w:r>
        <w:rPr>
          <w:noProof/>
          <w:u w:val="single"/>
        </w:rPr>
        <w:t>Προσαρμογή στο άρθρο 26 παράγραφος 2 - προσαρμογή ε)</w:t>
      </w:r>
    </w:p>
    <w:p>
      <w:pPr>
        <w:rPr>
          <w:noProof/>
        </w:rPr>
      </w:pPr>
      <w:r>
        <w:rPr>
          <w:noProof/>
        </w:rPr>
        <w:t>Στο Λιχτενστάιν, σύμφωνα με τα στοιχεία της φορολογικής του διοίκησης, πραγματοποιούνται μόνο 50 έως 100 συναλλαγές επί ακινήτων κάθε χρόνο. Θα χρειαστούν πολύ περισσότερες συναλλαγές επί ακινήτων για αξιόπιστα και ουσιαστικά στατιστικά αποτελέσματα στην αγορά ακινήτων που προορίζονται για κατοικία, όπως προβλέπεται στο άρθρο 26 παράγραφος 2 της οδηγίας.</w:t>
      </w:r>
    </w:p>
    <w:p>
      <w:pPr>
        <w:rPr>
          <w:noProof/>
        </w:rPr>
      </w:pPr>
      <w:r>
        <w:rPr>
          <w:noProof/>
        </w:rPr>
        <w:t>Στη δεδομένη περίπτωση, η στατιστική παρακολούθηση θα ερχόταν σε αντίθεση με τις ακόλουθες αρχές του κώδικα ορθής πρακτικής για τις ευρωπαϊκές στατιστικές:</w:t>
      </w:r>
    </w:p>
    <w:p>
      <w:pPr>
        <w:pStyle w:val="Point0"/>
        <w:rPr>
          <w:noProof/>
        </w:rPr>
      </w:pPr>
      <w:r>
        <w:rPr>
          <w:noProof/>
        </w:rPr>
        <w:t>•</w:t>
      </w:r>
      <w:r>
        <w:rPr>
          <w:noProof/>
        </w:rPr>
        <w:tab/>
        <w:t>Αρχή 4: Οι στατιστικές αρχές δεσμεύονται για την ποιότητα,</w:t>
      </w:r>
    </w:p>
    <w:p>
      <w:pPr>
        <w:pStyle w:val="Point0"/>
        <w:rPr>
          <w:noProof/>
        </w:rPr>
      </w:pPr>
      <w:r>
        <w:rPr>
          <w:noProof/>
        </w:rPr>
        <w:t>•</w:t>
      </w:r>
      <w:r>
        <w:rPr>
          <w:noProof/>
        </w:rPr>
        <w:tab/>
        <w:t>Αρχή 7: Η ορθή μεθοδολογία είναι θεμελιώδης για στατιστικές καλής ποιότητας,</w:t>
      </w:r>
    </w:p>
    <w:p>
      <w:pPr>
        <w:pStyle w:val="Point0"/>
        <w:rPr>
          <w:noProof/>
        </w:rPr>
      </w:pPr>
      <w:r>
        <w:rPr>
          <w:noProof/>
        </w:rPr>
        <w:t>•</w:t>
      </w:r>
      <w:r>
        <w:rPr>
          <w:noProof/>
        </w:rPr>
        <w:tab/>
        <w:t>Αρχή 12: Οι ευρωπαϊκές στατιστικές αποτυπώνουν την πραγματικότητα με ακρίβεια και αξιοπιστία.</w:t>
      </w:r>
    </w:p>
    <w:p>
      <w:pPr>
        <w:rPr>
          <w:noProof/>
        </w:rPr>
      </w:pPr>
      <w:r>
        <w:rPr>
          <w:noProof/>
        </w:rPr>
        <w:t xml:space="preserve">Κατά συνέπεια, η προσαρμογή ε) απαλλάσσει το Λιχτενστάιν από την υποχρέωση να διασφαλίσει κατάλληλη στατιστική παρακολούθηση της αγοράς ακινήτων που προορίζονται για κατοικία στο έδαφός του, σύμφωνα με το άρθρο 26 παράγραφος 2 της οδηγίας. </w:t>
      </w:r>
    </w:p>
    <w:p>
      <w:pPr>
        <w:rPr>
          <w:noProof/>
        </w:rPr>
      </w:pPr>
      <w:r>
        <w:rPr>
          <w:noProof/>
          <w:u w:val="single"/>
        </w:rPr>
        <w:t>Προσαρμογή στο άρθρο 34 παράγραφοι 2 και 4 και στο άρθρο 37 - προσαρμογές στ) και ζ)</w:t>
      </w:r>
    </w:p>
    <w:p>
      <w:pPr>
        <w:rPr>
          <w:noProof/>
        </w:rPr>
      </w:pPr>
      <w:r>
        <w:rPr>
          <w:noProof/>
        </w:rPr>
        <w:t>Βάσει του συστήματος που καθορίζεται στο σημείο 31ζ του παραρτήματος IX της συμφωνίας ΕΟΧ, η αρμοδιότητα έκδοσης αποφάσεων που είναι δεσμευτικές για τον πυλώνα ΕΖΕΣ δυνάμει του άρθρου 19 του κανονισμού ΕΑΤ ανήκει στην Εποπτεύουσα Αρχή της ΕΖΕΣ, ενώ οι περισσότερες από τις τεχνικές πτυχές της εποπτείας θα ασκούνται από την ΕΑΤ για θέματα που αφορούν τα κράτη της ΕΖΕΣ. Η ΕΑΤ θα είναι επίσης αρμόδια για τη διεξαγωγή μη δεσμευτικής διαμεσολάβησης δυνάμει του άρθρου 19 παράγραφος 2 του κανονισμού ΕΑΤ.</w:t>
      </w:r>
    </w:p>
    <w:p>
      <w:pPr>
        <w:rPr>
          <w:noProof/>
        </w:rPr>
      </w:pPr>
      <w:r>
        <w:rPr>
          <w:noProof/>
        </w:rPr>
        <w:t xml:space="preserve">Οι προσαρμογές στ) και ζ) αποσαφηνίζουν ότι οι παραπομπές στις εξουσίες της ΕΑΤ δυνάμει του άρθρου 19 του κανονισμού ΕΑΤ στο άρθρο 34 παράγραφοι 2 και 4 και στο άρθρο 37 της οδηγίας, αντίστοιχα, θα πρέπει να νοούνται, κατά περίπτωση, ως παραπομπές στις εξουσίες της Εποπτεύουσας Αρχής της ΕΖΕΣ. </w:t>
      </w:r>
    </w:p>
    <w:p>
      <w:pPr>
        <w:rPr>
          <w:noProof/>
        </w:rPr>
      </w:pPr>
      <w:r>
        <w:rPr>
          <w:noProof/>
          <w:u w:val="single"/>
        </w:rPr>
        <w:t>Προσαρμογή στο άρθρο 43 - προσαρμογή η)</w:t>
      </w:r>
    </w:p>
    <w:p>
      <w:pPr>
        <w:rPr>
          <w:noProof/>
        </w:rPr>
      </w:pPr>
      <w:r>
        <w:rPr>
          <w:noProof/>
        </w:rPr>
        <w:t xml:space="preserve">Σύμφωνα με το άρθρο 7 της συμφωνίας ΕΟΧ, μόνο πράξεις που έχουν ενσωματωθεί στη συμφωνία ΕΟΧ είναι δεσμευτικές για τα κράτη ΕΖΕΣ του ΕΟΧ. Ως εκ τούτου, ορισμένες υποχρεώσεις που περιλαμβάνονται στην οδηγία μπορεί να εφαρμόζονται μόνο από την ημερομηνία έναρξης ισχύος της απόφασης της Μεικτής Επιτροπής που τις ενσωματώνει στη συμφωνία ΕΟΧ. Η προσαρμογή η) εξασφαλίζει ότι οι μεταβατικές περίοδοι που καθορίζονται στο άρθρο 43 της οδηγίας, νοείται, στο πλαίσιο του ΕΟΧ, ότι εφαρμόζονται σε σχέση με την έναρξη ισχύος της οδηγίας στον ΕΟΧ.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w:t>
      </w:r>
      <w:r>
        <w:rPr>
          <w:noProof/>
        </w:rPr>
        <w:br/>
        <w:t>στο πλαίσιο της Μεικτής Επιτροπής του ΕΟΧ για την τροποποίηση του παραρτήματος IX (Χρηματοπιστωτικές υπηρεσίες) και του παραρτήματος XIX (Προστασία των καταναλωτών) της συμφωνίας ΕΟΧ</w:t>
      </w:r>
    </w:p>
    <w:p>
      <w:pPr>
        <w:pStyle w:val="IntrtEEE"/>
        <w:rPr>
          <w:noProof/>
        </w:rPr>
      </w:pPr>
      <w:r>
        <w:rPr>
          <w:noProof/>
        </w:rPr>
        <w:t>(Κείμενο που παρουσιάζει ενδιαφέρον για τον ΕΟΧ)</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 σε συνδυασμό με το άρθρο 218 παράγραφος 9,</w:t>
      </w:r>
    </w:p>
    <w:p>
      <w:pPr>
        <w:rPr>
          <w:noProof/>
        </w:rPr>
      </w:pPr>
      <w:r>
        <w:rPr>
          <w:noProof/>
        </w:rPr>
        <w:t>Έχοντας υπόψη τον κανονισμό (ΕΚ) αριθ. 2894/94 του Συμβουλίου, της 28ης Νοεμβρίου 1994, σχετικά με ορισμένες λεπτομέρειες εφαρμογής της συμφωνίας για τον Ευρωπαϊκό Οικονομικό Χώρο</w:t>
      </w:r>
      <w:r>
        <w:rPr>
          <w:rStyle w:val="FootnoteReference"/>
          <w:noProof/>
        </w:rPr>
        <w:footnoteReference w:id="2"/>
      </w:r>
      <w:r>
        <w:rPr>
          <w:noProof/>
        </w:rPr>
        <w:t>, και ιδίως το άρθρο 1 παράγραφος 3,</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για τον Ευρωπαϊκό Οικονομικό Χώρο</w:t>
      </w:r>
      <w:r>
        <w:rPr>
          <w:rStyle w:val="FootnoteReference"/>
          <w:noProof/>
        </w:rPr>
        <w:footnoteReference w:id="3"/>
      </w:r>
      <w:r>
        <w:rPr>
          <w:noProof/>
        </w:rPr>
        <w:t xml:space="preserve"> («η συμφωνία ΕΟΧ») άρχισε να ισχύει την 1η Ιανουαρίου 1994.</w:t>
      </w:r>
    </w:p>
    <w:p>
      <w:pPr>
        <w:pStyle w:val="ManualConsidrant"/>
        <w:rPr>
          <w:noProof/>
        </w:rPr>
      </w:pPr>
      <w:r>
        <w:t>(2)</w:t>
      </w:r>
      <w:r>
        <w:tab/>
      </w:r>
      <w:r>
        <w:rPr>
          <w:noProof/>
        </w:rPr>
        <w:t>Δυνάμει του άρθρου 98 της συμφωνίας ΕΟΧ, η Μεικτή Επιτροπή του ΕΟΧ μπορεί να αποφασίσει να τροποποιήσει, μεταξύ άλλων, το παράρτημα IX (Χρηματοπιστωτικές υπηρεσίες) και το παράρτημα XIX (Προστασία των καταναλωτών) της συμφωνίας ΕΟΧ.</w:t>
      </w:r>
    </w:p>
    <w:p>
      <w:pPr>
        <w:pStyle w:val="ManualConsidrant"/>
        <w:rPr>
          <w:noProof/>
        </w:rPr>
      </w:pPr>
      <w:r>
        <w:t>(3)</w:t>
      </w:r>
      <w:r>
        <w:tab/>
      </w:r>
      <w:r>
        <w:rPr>
          <w:noProof/>
        </w:rPr>
        <w:t>Η οδηγία 2014/17/ΕΕ του Ευρωπαϊκού Κοινοβουλίου και του Συμβουλίου</w:t>
      </w:r>
      <w:r>
        <w:rPr>
          <w:rStyle w:val="FootnoteReference"/>
          <w:noProof/>
        </w:rPr>
        <w:t xml:space="preserve"> </w:t>
      </w:r>
      <w:r>
        <w:rPr>
          <w:rStyle w:val="FootnoteReference"/>
          <w:noProof/>
        </w:rPr>
        <w:footnoteReference w:id="4"/>
      </w:r>
      <w:r>
        <w:rPr>
          <w:noProof/>
        </w:rPr>
        <w:t xml:space="preserve"> πρέπει να ενσωματωθεί στη συμφωνία ΕΟΧ.</w:t>
      </w:r>
    </w:p>
    <w:p>
      <w:pPr>
        <w:pStyle w:val="ManualConsidrant"/>
        <w:rPr>
          <w:noProof/>
        </w:rPr>
      </w:pPr>
      <w:r>
        <w:t>(4)</w:t>
      </w:r>
      <w:r>
        <w:tab/>
      </w:r>
      <w:r>
        <w:rPr>
          <w:noProof/>
        </w:rPr>
        <w:t xml:space="preserve">Το παράρτημα IX (Χρηματοπιστωτικές υπηρεσίες) και το παράρτημα XIX (Προστασία των καταναλωτών) της συμφωνίας ΕΟΧ θα πρέπει, επομένως, να τροποποιηθούν αναλόγως. </w:t>
      </w:r>
    </w:p>
    <w:p>
      <w:pPr>
        <w:pStyle w:val="ManualConsidrant"/>
        <w:rPr>
          <w:noProof/>
        </w:rPr>
      </w:pPr>
      <w:r>
        <w:t>(5)</w:t>
      </w:r>
      <w:r>
        <w:tab/>
      </w:r>
      <w:r>
        <w:rPr>
          <w:noProof/>
        </w:rPr>
        <w:t>Επομένως, η θέση της Ένωσης στο πλαίσιο της Μεικτής Επιτροπής του ΕΟΧ θα πρέπει να βασιστεί στο συνημμένο σχέδιο απόφασης,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θέση που πρέπει να ληφθεί, εξ ονόματος της Ένωσης, στο πλαίσιο της Μεικτής Επιτροπής του ΕΟΧ, για την προτεινόμενη τροποποίηση του παραρτήματος IX (Χρηματοπιστωτικές υπηρεσίες) και του παραρτήματος XIX (Προστασία των καταναλωτών) της συμφωνίας ΕΟΧ βασίζεται στο σχέδιο απόφασης της Μεικτής Επιτροπής του ΕΟΧ που επισυνάπτεται στην παρούσα απόφαση.</w:t>
      </w:r>
    </w:p>
    <w:p>
      <w:pPr>
        <w:pStyle w:val="Titrearticle"/>
        <w:rPr>
          <w:noProof/>
        </w:rPr>
      </w:pPr>
      <w:r>
        <w:rPr>
          <w:noProof/>
        </w:rPr>
        <w:t>Άρθρο 2</w:t>
      </w:r>
    </w:p>
    <w:p>
      <w:pPr>
        <w:keepLines/>
        <w:rPr>
          <w:noProof/>
        </w:rPr>
      </w:pPr>
      <w:r>
        <w:rPr>
          <w:noProof/>
        </w:rPr>
        <w:t>Η παρούσα απόφαση αρχίζει να ισχύει την ημερομηνία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ΕΕ L 305 της 30.11.1994, σ. 6-8</w:t>
      </w:r>
    </w:p>
  </w:footnote>
  <w:footnote w:id="2">
    <w:p>
      <w:pPr>
        <w:pStyle w:val="FootnoteText"/>
      </w:pPr>
      <w:r>
        <w:rPr>
          <w:rStyle w:val="FootnoteReference"/>
        </w:rPr>
        <w:footnoteRef/>
      </w:r>
      <w:r>
        <w:tab/>
        <w:t>ΕΕ L 305 της 30.11.1994, σ. 6.</w:t>
      </w:r>
    </w:p>
  </w:footnote>
  <w:footnote w:id="3">
    <w:p>
      <w:pPr>
        <w:pStyle w:val="FootnoteText"/>
      </w:pPr>
      <w:r>
        <w:rPr>
          <w:rStyle w:val="FootnoteReference"/>
        </w:rPr>
        <w:footnoteRef/>
      </w:r>
      <w:r>
        <w:tab/>
        <w:t xml:space="preserve">ΕΕ L 1 της 3.1.1994, σ. 3. </w:t>
      </w:r>
    </w:p>
  </w:footnote>
  <w:footnote w:id="4">
    <w:p>
      <w:pPr>
        <w:pStyle w:val="FootnoteText"/>
        <w:rPr>
          <w:lang w:val="en-US" w:eastAsia="de-DE"/>
        </w:rPr>
      </w:pPr>
      <w:r>
        <w:rPr>
          <w:rStyle w:val="FootnoteReference"/>
        </w:rPr>
        <w:footnoteRef/>
      </w:r>
      <w:r>
        <w:tab/>
        <w:t>Οδηγία 2014/17/ΕΕ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 και την τροποποίηση των οδηγιών 2008/48/ΕΚ και 2013/36/ΕΕ και του κανονισμού (ΕΕ) αριθ. 1093/2010 (ΕΕ L 60 της 28.2.2014, σ.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67C3F6-3FBE-4196-AE08-62AF67BC0079"/>
    <w:docVar w:name="LW_COVERPAGE_TYPE" w:val="1"/>
    <w:docVar w:name="LW_CROSSREFERENCE" w:val="&lt;UNUSED&gt;"/>
    <w:docVar w:name="LW_DocType" w:val="COM"/>
    <w:docVar w:name="LW_EMISSION" w:val="31.1.2019"/>
    <w:docVar w:name="LW_EMISSION_ISODATE" w:val="2019-01-31"/>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_x000b_\u963?\u964?\u959? \u960?\u955?\u945?\u943?\u963?\u953?\u959? \u964?\u951?\u962? \u924?\u949?\u953?\u954?\u964?\u942?\u962? \u917?\u960?\u953?\u964?\u961?\u959?\u960?\u942?\u962? \u964?\u959?\u965? \u917?\u927?\u935? \u947?\u953?\u945? \u964?\u951?\u957? \u964?\u961?\u959?\u960?\u959?\u960?\u959?\u943?\u951?\u963?\u951? \u964?\u959?\u965? \u960?\u945?\u961?\u945?\u961?\u964?\u942?\u956?\u945?\u964?\u959?\u962? IX (\u935?\u961?\u951?\u956?\u945?\u964?\u959?\u960?\u953?\u963?\u964?\u969?\u964?\u953?\u954?\u941?\u962? \u965?\u960?\u951?\u961?\u949?\u963?\u943?\u949?\u962?) \u954?\u945?\u953? \u964?\u959?\u965? \u960?\u945?\u961?\u945?\u961?\u964?\u942?\u956?\u945?\u964?\u959?\u962? XIX (\u928?\u961?\u959?\u963?\u964?\u945?\u963?\u943?\u945? \u964?\u969?\u957? \u954?\u945?\u964?\u945?\u957?\u945?\u955?\u969?\u964?\u974?\u957?) \u964?\u951?\u962? \u963?\u965?\u956?\u966?\u969?\u957?\u943?\u945?\u962? \u917?\u927?\u93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1440</Words>
  <Characters>8122</Characters>
  <Application>Microsoft Office Word</Application>
  <DocSecurity>0</DocSecurity>
  <Lines>159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2019-01-15T13:25:00Z</dcterms:created>
  <dcterms:modified xsi:type="dcterms:W3CDTF">2019-01-28T12:58:00Z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