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4E49D57-A9DB-4176-8127-67DB679D2119" style="width:450.75pt;height:409.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t>1.</w:t>
      </w:r>
      <w:r>
        <w:tab/>
      </w:r>
      <w:r>
        <w:rPr>
          <w:noProof/>
        </w:rPr>
        <w:t>CONTEXTUL PROPUNERII</w:t>
      </w:r>
    </w:p>
    <w:p>
      <w:pPr>
        <w:pStyle w:val="Point0"/>
        <w:rPr>
          <w:b/>
          <w:noProof/>
        </w:rPr>
      </w:pPr>
      <w:r>
        <w:rPr>
          <w:b/>
          <w:noProof/>
          <w:color w:val="000000"/>
          <w:u w:color="000000"/>
          <w:bdr w:val="nil"/>
        </w:rPr>
        <w:t>•</w:t>
      </w:r>
      <w:r>
        <w:rPr>
          <w:noProof/>
        </w:rPr>
        <w:tab/>
      </w:r>
      <w:r>
        <w:rPr>
          <w:b/>
          <w:noProof/>
        </w:rPr>
        <w:t>Motivele și obiectivele propunerii</w:t>
      </w:r>
    </w:p>
    <w:p>
      <w:pPr>
        <w:pBdr>
          <w:top w:val="nil"/>
          <w:left w:val="nil"/>
          <w:bottom w:val="nil"/>
          <w:right w:val="nil"/>
          <w:between w:val="nil"/>
          <w:bar w:val="nil"/>
        </w:pBdr>
        <w:spacing w:before="0" w:after="240"/>
        <w:rPr>
          <w:rFonts w:eastAsia="Arial Unicode MS"/>
          <w:noProof/>
        </w:rPr>
      </w:pPr>
      <w:r>
        <w:rPr>
          <w:noProof/>
        </w:rPr>
        <w:t>Proiectul de decizie a Comitetului mixt al SEE (anexat la propunerea de decizie a Consiliului) vizează modificarea anexei IX (Servicii financiare) și a anexei XIX (Protecția consumatorilor) la Acordul privind SEE în vederea încorporării Directivei 2014/17/UE a Parlamentului European și a Consiliului din 4 februarie 2014 privind contractele de credit oferite consumatorilor pentru bunuri imobile rezidențiale.</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Coerența cu dispozițiile existente în domeniul de politică vizat</w:t>
      </w:r>
    </w:p>
    <w:p>
      <w:pPr>
        <w:pBdr>
          <w:top w:val="nil"/>
          <w:left w:val="nil"/>
          <w:bottom w:val="nil"/>
          <w:right w:val="nil"/>
          <w:between w:val="nil"/>
          <w:bar w:val="nil"/>
        </w:pBdr>
        <w:spacing w:before="0" w:after="240"/>
        <w:rPr>
          <w:noProof/>
        </w:rPr>
      </w:pPr>
      <w:r>
        <w:rPr>
          <w:noProof/>
        </w:rPr>
        <w:t xml:space="preserve">Proiectul atașat de decizie a Comitetului mixt extinde politica deja existentă a UE la statele AELS care fac parte din SEE (Norvegia, Islanda și Liechtenstein). </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Coerența cu alte domenii de politică ale Uniunii</w:t>
      </w:r>
    </w:p>
    <w:p>
      <w:pPr>
        <w:rPr>
          <w:noProof/>
        </w:rPr>
      </w:pPr>
      <w:r>
        <w:rPr>
          <w:noProof/>
        </w:rPr>
        <w:t xml:space="preserve">Extinderea acquis-ului UE la statele AELS care fac parte din SEE, prin încorporarea acestuia în Acordul privind SEE, se realizează în conformitate cu obiectivele și principiile acestui acord, care vizează instituirea unui Spațiu Economic European dinamic și omogen, bazat pe norme comune și pe condiții egale în materie de concurență. </w:t>
      </w:r>
    </w:p>
    <w:p>
      <w:pPr>
        <w:pStyle w:val="ManualHeading1"/>
        <w:rPr>
          <w:noProof/>
        </w:rPr>
      </w:pPr>
      <w:r>
        <w:t>2.</w:t>
      </w:r>
      <w:r>
        <w:tab/>
      </w:r>
      <w:r>
        <w:rPr>
          <w:noProof/>
        </w:rPr>
        <w:t>TEMEIUL JURIDIC, SUBSIDIARITATEA ȘI PROPORȚIONALITATEA</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Temei juridic</w:t>
      </w:r>
    </w:p>
    <w:p>
      <w:pPr>
        <w:rPr>
          <w:noProof/>
        </w:rPr>
      </w:pPr>
      <w:r>
        <w:rPr>
          <w:noProof/>
        </w:rPr>
        <w:t>Actele legislative care urmează să fie încorporate în Acordul privind SEE se întemeiază pe articolul 114 din Tratatul privind funcționarea Uniunii Europene.</w:t>
      </w:r>
    </w:p>
    <w:p>
      <w:pPr>
        <w:rPr>
          <w:noProof/>
        </w:rPr>
      </w:pPr>
      <w:r>
        <w:rPr>
          <w:noProof/>
        </w:rPr>
        <w:t>Articolul 1 alineatul (3) din Regulamentul (CE) nr. 2894/94 al Consiliului</w:t>
      </w:r>
      <w:r>
        <w:rPr>
          <w:rStyle w:val="FootnoteReference"/>
          <w:noProof/>
        </w:rPr>
        <w:footnoteReference w:id="1"/>
      </w:r>
      <w:r>
        <w:rPr>
          <w:noProof/>
        </w:rPr>
        <w:t xml:space="preserve"> privind normele de punere în aplicare a Acordului privind SEE prevede stabilirea de către Consiliu, pe baza unei propuneri a Comisiei, a poziției care urmează să fie adoptată în numele Uniunii cu privire la astfel de decizii. </w:t>
      </w:r>
    </w:p>
    <w:p>
      <w:pPr>
        <w:rPr>
          <w:noProof/>
        </w:rPr>
      </w:pPr>
      <w:r>
        <w:rPr>
          <w:noProof/>
        </w:rPr>
        <w:t>În cooperare cu SEAE, Comisia prezintă proiectul de decizie a Comitetului mixt al SEE în vederea adoptării de către Consiliu ca poziție a Uniunii. Comisia speră să poată prezenta acest document în cel mai scurt timp, în cadrul Comitetului mixt al SEE.</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 xml:space="preserve">Subsidiaritatea (pentru competența neexclusivă) </w:t>
      </w:r>
    </w:p>
    <w:p>
      <w:pPr>
        <w:rPr>
          <w:noProof/>
        </w:rPr>
      </w:pPr>
      <w:r>
        <w:rPr>
          <w:noProof/>
        </w:rPr>
        <w:t xml:space="preserve">Propunerea respectă principiul subsidiarității din motivul expus mai jos. </w:t>
      </w:r>
    </w:p>
    <w:p>
      <w:pPr>
        <w:rPr>
          <w:noProof/>
        </w:rPr>
      </w:pPr>
      <w:r>
        <w:rPr>
          <w:noProof/>
        </w:rPr>
        <w:t xml:space="preserve">Obiectivul prezentei propuneri, și anume asigurarea omogenității pieței interne, nu poate fi realizat în mod suficient de către statele membre și, prin urmare, având în vedere efectele sale, poate fi mai bine realizat la nivelul Uniunii. </w:t>
      </w:r>
    </w:p>
    <w:p>
      <w:pPr>
        <w:rPr>
          <w:noProof/>
        </w:rPr>
      </w:pPr>
      <w:r>
        <w:rPr>
          <w:noProof/>
        </w:rPr>
        <w:t xml:space="preserve">Procesul de încorporare a acquis-ului UE în Acordul privind SEE se desfășoară în conformitate cu Regulamentul (CE) nr. 2894/94 al Consiliului din 28 noiembrie 1994 privind normele de punere în aplicare a Acordului privind Spațiul Economic European, care confirmă abordarea adoptată. </w:t>
      </w:r>
    </w:p>
    <w:p>
      <w:pPr>
        <w:pStyle w:val="Point0"/>
        <w:keepNext/>
        <w:ind w:left="851" w:hanging="851"/>
        <w:rPr>
          <w:b/>
          <w:noProof/>
          <w:color w:val="000000"/>
          <w:u w:color="000000"/>
          <w:bdr w:val="nil"/>
        </w:rPr>
      </w:pPr>
      <w:r>
        <w:rPr>
          <w:b/>
          <w:noProof/>
          <w:color w:val="000000"/>
          <w:u w:color="000000"/>
          <w:bdr w:val="nil"/>
        </w:rPr>
        <w:t>•</w:t>
      </w:r>
      <w:r>
        <w:rPr>
          <w:noProof/>
        </w:rPr>
        <w:tab/>
      </w:r>
      <w:r>
        <w:rPr>
          <w:b/>
          <w:noProof/>
          <w:color w:val="000000"/>
          <w:u w:color="000000"/>
          <w:bdr w:val="nil"/>
        </w:rPr>
        <w:t>Proporționalitate</w:t>
      </w:r>
    </w:p>
    <w:p>
      <w:pPr>
        <w:rPr>
          <w:noProof/>
        </w:rPr>
      </w:pPr>
      <w:r>
        <w:rPr>
          <w:noProof/>
        </w:rPr>
        <w:t>În conformitate cu principiul proporționalității, prezenta propunere nu depășește ceea ce este necesar pentru atingerea obiectivului propus.</w:t>
      </w:r>
    </w:p>
    <w:p>
      <w:pPr>
        <w:pStyle w:val="Point0"/>
        <w:rPr>
          <w:b/>
          <w:noProof/>
          <w:color w:val="000000"/>
          <w:u w:color="000000"/>
          <w:bdr w:val="nil"/>
        </w:rPr>
      </w:pPr>
      <w:r>
        <w:rPr>
          <w:b/>
          <w:noProof/>
          <w:color w:val="000000"/>
          <w:u w:color="000000"/>
          <w:bdr w:val="nil"/>
        </w:rPr>
        <w:t>•</w:t>
      </w:r>
      <w:r>
        <w:rPr>
          <w:noProof/>
        </w:rPr>
        <w:tab/>
      </w:r>
      <w:r>
        <w:rPr>
          <w:b/>
          <w:noProof/>
          <w:color w:val="000000"/>
          <w:u w:color="000000"/>
          <w:bdr w:val="nil"/>
        </w:rPr>
        <w:t>Alegerea instrumentului</w:t>
      </w:r>
    </w:p>
    <w:p>
      <w:pPr>
        <w:rPr>
          <w:noProof/>
        </w:rPr>
      </w:pPr>
      <w:r>
        <w:rPr>
          <w:noProof/>
        </w:rPr>
        <w:t xml:space="preserve">În conformitate cu articolul 98 din Acordul privind SEE, instrumentul ales este o decizie a Comitetului mixt al SEE. Comitetul mixt al SEE asigură punerea în aplicare și funcționarea eficace a Acordului privind SEE. În acest scop, Comitetul mixt ia decizii în cazurile prevăzute de Acordul privind SEE. </w:t>
      </w:r>
    </w:p>
    <w:p>
      <w:pPr>
        <w:pStyle w:val="ManualHeading1"/>
        <w:rPr>
          <w:noProof/>
        </w:rPr>
      </w:pPr>
      <w:r>
        <w:t>3.</w:t>
      </w:r>
      <w:r>
        <w:tab/>
      </w:r>
      <w:r>
        <w:rPr>
          <w:noProof/>
        </w:rPr>
        <w:t>REZULTATELE EVALUĂRILOR EX POST, ALE CONSULTĂRILOR CU PĂRȚILE INTERESATE ȘI ALE EVALUĂRILOR IMPACTULUI</w:t>
      </w:r>
    </w:p>
    <w:p>
      <w:pPr>
        <w:rPr>
          <w:noProof/>
        </w:rPr>
      </w:pPr>
      <w:r>
        <w:rPr>
          <w:noProof/>
        </w:rPr>
        <w:t>Nu se aplică.</w:t>
      </w:r>
    </w:p>
    <w:p>
      <w:pPr>
        <w:pStyle w:val="ManualHeading1"/>
        <w:rPr>
          <w:noProof/>
        </w:rPr>
      </w:pPr>
      <w:r>
        <w:t>4.</w:t>
      </w:r>
      <w:r>
        <w:tab/>
      </w:r>
      <w:r>
        <w:rPr>
          <w:noProof/>
        </w:rPr>
        <w:t>IMPLICAȚIILE BUDGETARE</w:t>
      </w:r>
    </w:p>
    <w:p>
      <w:pPr>
        <w:rPr>
          <w:noProof/>
        </w:rPr>
      </w:pPr>
      <w:r>
        <w:rPr>
          <w:noProof/>
        </w:rPr>
        <w:t>Nu se preconizează implicații bugetare ca urmare a încorporării Directivei 2014/17/UE în Acordul privind SEE.</w:t>
      </w:r>
    </w:p>
    <w:p>
      <w:pPr>
        <w:pStyle w:val="ManualHeading1"/>
        <w:rPr>
          <w:noProof/>
        </w:rPr>
      </w:pPr>
      <w:r>
        <w:t>5.</w:t>
      </w:r>
      <w:r>
        <w:tab/>
      </w:r>
      <w:r>
        <w:rPr>
          <w:noProof/>
        </w:rPr>
        <w:t>ALTE ELEMENTE</w:t>
      </w:r>
    </w:p>
    <w:p>
      <w:pPr>
        <w:rPr>
          <w:b/>
          <w:noProof/>
          <w:u w:val="single"/>
        </w:rPr>
      </w:pPr>
      <w:r>
        <w:rPr>
          <w:b/>
          <w:noProof/>
          <w:u w:val="single"/>
        </w:rPr>
        <w:t xml:space="preserve">Principalele adaptări solicitate de AELS </w:t>
      </w:r>
    </w:p>
    <w:p>
      <w:pPr>
        <w:rPr>
          <w:noProof/>
        </w:rPr>
      </w:pPr>
      <w:r>
        <w:rPr>
          <w:noProof/>
        </w:rPr>
        <w:t>Justificare și soluția propusă:</w:t>
      </w:r>
    </w:p>
    <w:p>
      <w:pPr>
        <w:rPr>
          <w:noProof/>
          <w:u w:val="single"/>
        </w:rPr>
      </w:pPr>
      <w:r>
        <w:rPr>
          <w:noProof/>
          <w:u w:val="single"/>
        </w:rPr>
        <w:t>Adaptarea articolului 5 alineatul (3) litera (b) – adaptarea (b)</w:t>
      </w:r>
    </w:p>
    <w:p>
      <w:pPr>
        <w:rPr>
          <w:noProof/>
        </w:rPr>
      </w:pPr>
      <w:r>
        <w:rPr>
          <w:noProof/>
        </w:rPr>
        <w:t>Având în vedere repartizarea competențelor între Autoritatea Bancară Europeană (ABE) și Autoritatea AELS de Supraveghere, s-a introdus o adaptare pentru a include Autoritatea AELS de Supraveghere pe lista autorităților cu care cooperează autoritățile naționale.</w:t>
      </w:r>
    </w:p>
    <w:p>
      <w:pPr>
        <w:rPr>
          <w:noProof/>
          <w:u w:val="single"/>
        </w:rPr>
      </w:pPr>
      <w:r>
        <w:rPr>
          <w:noProof/>
          <w:u w:val="single"/>
        </w:rPr>
        <w:t>Adaptarea articolului 12 alineatul (3) și a articolului 27 alineatul (3) – adaptarea (c)</w:t>
      </w:r>
    </w:p>
    <w:p>
      <w:pPr>
        <w:rPr>
          <w:noProof/>
        </w:rPr>
      </w:pPr>
      <w:r>
        <w:rPr>
          <w:noProof/>
        </w:rPr>
        <w:t xml:space="preserve">În conformitate cu articolul 7 din Acordul privind SEE, numai actele care au fost încorporate în Acordul privind SEE sunt obligatorii pentru statele AELS care fac parte din SEE. Prin urmare, anumite obligații prevăzute de directivă se pot aplica numai de la data intrării în vigoare a deciziei Comitetului mixt care o încorporează în Acordul privind SEE. Adaptarea (c) garantează că data relevantă pentru aplicarea articolului 12 alineatul (3) și a articolului 27 alineatul (3) este data intrării în vigoare a directivei în SEE. </w:t>
      </w:r>
    </w:p>
    <w:p>
      <w:pPr>
        <w:rPr>
          <w:noProof/>
        </w:rPr>
      </w:pPr>
      <w:r>
        <w:rPr>
          <w:noProof/>
          <w:u w:val="single"/>
        </w:rPr>
        <w:t>Adaptarea articolului 14 alineatul (5) – adaptarea (d)</w:t>
      </w:r>
    </w:p>
    <w:p>
      <w:pPr>
        <w:rPr>
          <w:noProof/>
        </w:rPr>
      </w:pPr>
      <w:r>
        <w:rPr>
          <w:noProof/>
        </w:rPr>
        <w:t xml:space="preserve">În conformitate cu articolul 7 din Acordul privind SEE, numai actele care au fost încorporate în Acordul privind SEE sunt obligatorii pentru statele AELS care fac parte din SEE. Prin urmare, anumite obligații prevăzute de directivă se pot aplica numai de la data intrării în vigoare a deciziei Comitetului mixt care o încorporează în Acordul privind SEE. Adaptarea (d) garantează că perioadele de tranziție referitoare la normele naționale existente înainte de intrarea în vigoare a directivei se interpretează, în contextul SEE, ca aplicându-se în relație cu intrarea în vigoare a directivei în SEE. </w:t>
      </w:r>
    </w:p>
    <w:p>
      <w:pPr>
        <w:rPr>
          <w:noProof/>
        </w:rPr>
      </w:pPr>
      <w:r>
        <w:rPr>
          <w:noProof/>
          <w:u w:val="single"/>
        </w:rPr>
        <w:t>Adaptarea articolului 26 alineatul (2) – adaptarea (e)</w:t>
      </w:r>
    </w:p>
    <w:p>
      <w:pPr>
        <w:rPr>
          <w:noProof/>
        </w:rPr>
      </w:pPr>
      <w:r>
        <w:rPr>
          <w:noProof/>
        </w:rPr>
        <w:t>În Liechtenstein au loc numai 50-100 de tranzacții imobiliare pe an, conform cifrelor furnizate de administrația fiscală din Liechtenstein. Pentru a obține rezultate statistice fiabile și semnificative privind piața bunurilor imobile rezidențiale ar fi necesare mult mai multe tranzacții imobiliare, astfel cum se prevede la articolul 26 alineatul (2) din directivă.</w:t>
      </w:r>
    </w:p>
    <w:p>
      <w:pPr>
        <w:rPr>
          <w:noProof/>
        </w:rPr>
      </w:pPr>
      <w:r>
        <w:rPr>
          <w:noProof/>
        </w:rPr>
        <w:t>În situația dată, monitorizarea statistică ar fi în contradicție cu următoarele principii ale Codului de bune practici al statisticilor europene:</w:t>
      </w:r>
    </w:p>
    <w:p>
      <w:pPr>
        <w:pStyle w:val="Point0"/>
        <w:rPr>
          <w:noProof/>
        </w:rPr>
      </w:pPr>
      <w:r>
        <w:rPr>
          <w:noProof/>
        </w:rPr>
        <w:t>•</w:t>
      </w:r>
      <w:r>
        <w:rPr>
          <w:noProof/>
        </w:rPr>
        <w:tab/>
        <w:t>Principiul 4: autoritățile statistice se angajează să asigure calitatea,</w:t>
      </w:r>
    </w:p>
    <w:p>
      <w:pPr>
        <w:pStyle w:val="Point0"/>
        <w:rPr>
          <w:noProof/>
        </w:rPr>
      </w:pPr>
      <w:r>
        <w:rPr>
          <w:noProof/>
        </w:rPr>
        <w:t>•</w:t>
      </w:r>
      <w:r>
        <w:rPr>
          <w:noProof/>
        </w:rPr>
        <w:tab/>
        <w:t>Principiul 7: statisticile de calitate trebuie să se bazeze pe o metodologie solidă,</w:t>
      </w:r>
    </w:p>
    <w:p>
      <w:pPr>
        <w:pStyle w:val="Point0"/>
        <w:rPr>
          <w:noProof/>
        </w:rPr>
      </w:pPr>
      <w:r>
        <w:rPr>
          <w:noProof/>
        </w:rPr>
        <w:t>•</w:t>
      </w:r>
      <w:r>
        <w:rPr>
          <w:noProof/>
        </w:rPr>
        <w:tab/>
        <w:t>Principiul 12: statisticile europene trebuie să reflecte realitatea cu acuratețe și fiabilitate.</w:t>
      </w:r>
    </w:p>
    <w:p>
      <w:pPr>
        <w:rPr>
          <w:noProof/>
        </w:rPr>
      </w:pPr>
      <w:r>
        <w:rPr>
          <w:noProof/>
        </w:rPr>
        <w:t xml:space="preserve">În consecință, adaptarea (e) exceptează Liechtenstein de la obligația de a asigura o monitorizare statistică adecvată a pieței bunurilor imobile rezidențiale de pe teritoriul său, în conformitate cu articolul 26 alineatul (2) din directivă. </w:t>
      </w:r>
    </w:p>
    <w:p>
      <w:pPr>
        <w:rPr>
          <w:noProof/>
        </w:rPr>
      </w:pPr>
      <w:r>
        <w:rPr>
          <w:noProof/>
          <w:u w:val="single"/>
        </w:rPr>
        <w:t>Adaptarea articolului 34 alineatele (2) și (4) și a articolului 37 – adaptarea (f) și adaptarea (g)</w:t>
      </w:r>
    </w:p>
    <w:p>
      <w:pPr>
        <w:rPr>
          <w:noProof/>
        </w:rPr>
      </w:pPr>
      <w:r>
        <w:rPr>
          <w:noProof/>
        </w:rPr>
        <w:t>Sistemul instituit prin punctul 31g din anexa IX la Acordul privind SEE îi conferă Autorității AELS de Supraveghere competența de a adopta decizii obligatorii în contextul pilonului AELS în temeiul articolului 19 din Regulamentul ABE, în timp ce majoritatea aspectelor tehnice ale supravegherii îi revin ABE în ceea ce privește chestiunile relevante pentru statele AELS. ABE este, de asemenea, competentă să efectueze medierea fără caracter obligatoriu în temeiul articolului 19 alineatul (2) din Regulamentul ABE.</w:t>
      </w:r>
    </w:p>
    <w:p>
      <w:pPr>
        <w:rPr>
          <w:noProof/>
        </w:rPr>
      </w:pPr>
      <w:r>
        <w:rPr>
          <w:noProof/>
        </w:rPr>
        <w:t xml:space="preserve">Adaptările (f) și (g) clarifică faptul că trimiterile la competențele ABE în temeiul articolului 19 din Regulamentul ABE prevăzute la articolul 34 alineatele (2) și (4) și, respectiv, la articolul 37 din directivă ar trebui înțelese ca făcând trimitere, după caz, la competențele Autorității AELS de Supraveghere. </w:t>
      </w:r>
    </w:p>
    <w:p>
      <w:pPr>
        <w:rPr>
          <w:noProof/>
        </w:rPr>
      </w:pPr>
      <w:r>
        <w:rPr>
          <w:noProof/>
          <w:u w:val="single"/>
        </w:rPr>
        <w:t>Adaptarea articolului 43 – adaptarea (h)</w:t>
      </w:r>
    </w:p>
    <w:p>
      <w:pPr>
        <w:rPr>
          <w:noProof/>
        </w:rPr>
      </w:pPr>
      <w:r>
        <w:rPr>
          <w:noProof/>
        </w:rPr>
        <w:t xml:space="preserve">În conformitate cu articolul 7 din Acordul privind SEE, numai actele care au fost încorporate în Acordul privind SEE sunt obligatorii pentru statele AELS care fac parte din SEE. Prin urmare, anumite obligații prevăzute de directivă se pot aplica numai de la data intrării în vigoare a deciziei Comitetului mixt care o încorporează în Acordul privind SEE. Adaptarea (h) garantează că perioadele de tranziție prevăzute la articolul 43 din directivă se interpretează, în contextul SEE, ca aplicându-se în relație cu intrarea în vigoare a directivei în SEE. </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2019/0023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urmează să fie adoptată, în numele Uniunii Europene, în cadrul Comitetului mixt al SEE referitor la modificarea anexei IX (Servicii financiare) și a anexei XIX (Protecția consumatorilor) la Acordul privind SEE</w:t>
      </w:r>
    </w:p>
    <w:p>
      <w:pPr>
        <w:pStyle w:val="IntrtEEE"/>
        <w:rPr>
          <w:noProof/>
        </w:rPr>
      </w:pPr>
      <w:r>
        <w:rPr>
          <w:noProof/>
        </w:rPr>
        <w:t>(Text cu relevanță pentru SEE)</w:t>
      </w:r>
    </w:p>
    <w:p>
      <w:pPr>
        <w:pStyle w:val="Institutionquiagit"/>
        <w:rPr>
          <w:noProof/>
        </w:rPr>
      </w:pPr>
      <w:r>
        <w:rPr>
          <w:noProof/>
        </w:rPr>
        <w:t>CONSILIUL UNIUNII EUROPENE,</w:t>
      </w:r>
    </w:p>
    <w:p>
      <w:pPr>
        <w:rPr>
          <w:noProof/>
        </w:rPr>
      </w:pPr>
      <w:r>
        <w:rPr>
          <w:noProof/>
        </w:rPr>
        <w:t>având în vedere Tratatul privind funcționarea Uniunii Europene, în special articolul 114 în coroborare cu articolul 218 alineatul (9),</w:t>
      </w:r>
    </w:p>
    <w:p>
      <w:pPr>
        <w:rPr>
          <w:noProof/>
        </w:rPr>
      </w:pPr>
      <w:r>
        <w:rPr>
          <w:noProof/>
        </w:rPr>
        <w:t>având în vedere Regulamentul (CE) nr. 2894/94 al Consiliului din 28 noiembrie 1994 privind normele de punere în aplicare a Acordului privind Spațiul Economic European</w:t>
      </w:r>
      <w:r>
        <w:rPr>
          <w:rStyle w:val="FootnoteReference"/>
          <w:noProof/>
        </w:rPr>
        <w:footnoteReference w:id="2"/>
      </w:r>
      <w:r>
        <w:rPr>
          <w:noProof/>
        </w:rPr>
        <w:t>, în special articolul 1 alineatul (3),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Acordul privind Spațiul Economic European</w:t>
      </w:r>
      <w:r>
        <w:rPr>
          <w:rStyle w:val="FootnoteReference"/>
          <w:noProof/>
        </w:rPr>
        <w:footnoteReference w:id="3"/>
      </w:r>
      <w:r>
        <w:rPr>
          <w:noProof/>
        </w:rPr>
        <w:t xml:space="preserve"> („Acordul privind SEE”) a intrat în vigoare la 1 ianuarie 1994.</w:t>
      </w:r>
    </w:p>
    <w:p>
      <w:pPr>
        <w:pStyle w:val="ManualConsidrant"/>
        <w:rPr>
          <w:noProof/>
        </w:rPr>
      </w:pPr>
      <w:r>
        <w:t>(2)</w:t>
      </w:r>
      <w:r>
        <w:tab/>
      </w:r>
      <w:r>
        <w:rPr>
          <w:noProof/>
        </w:rPr>
        <w:t>În temeiul articolului 98 din Acordul privind SEE, Comitetul mixt al SEE poate decide să modifice, printre altele, anexa IX (Servicii financiare) și anexa XIX (Protecția consumatorilor) la Acordul privind SEE.</w:t>
      </w:r>
    </w:p>
    <w:p>
      <w:pPr>
        <w:pStyle w:val="ManualConsidrant"/>
        <w:rPr>
          <w:noProof/>
        </w:rPr>
      </w:pPr>
      <w:r>
        <w:t>(3)</w:t>
      </w:r>
      <w:r>
        <w:tab/>
      </w:r>
      <w:r>
        <w:rPr>
          <w:noProof/>
        </w:rPr>
        <w:t>Directiva 2014/17/UE a Parlamentului European și a Consiliului</w:t>
      </w:r>
      <w:r>
        <w:rPr>
          <w:rStyle w:val="FootnoteReference"/>
          <w:noProof/>
        </w:rPr>
        <w:t xml:space="preserve"> </w:t>
      </w:r>
      <w:r>
        <w:rPr>
          <w:rStyle w:val="FootnoteReference"/>
          <w:noProof/>
        </w:rPr>
        <w:footnoteReference w:id="4"/>
      </w:r>
      <w:r>
        <w:rPr>
          <w:noProof/>
        </w:rPr>
        <w:t xml:space="preserve"> trebuie încorporată în Acordul privind SEE.</w:t>
      </w:r>
    </w:p>
    <w:p>
      <w:pPr>
        <w:pStyle w:val="ManualConsidrant"/>
        <w:rPr>
          <w:noProof/>
        </w:rPr>
      </w:pPr>
      <w:r>
        <w:t>(4)</w:t>
      </w:r>
      <w:r>
        <w:tab/>
      </w:r>
      <w:r>
        <w:rPr>
          <w:noProof/>
        </w:rPr>
        <w:t xml:space="preserve">Prin urmare, anexa IX (Servicii financiare) și anexa XIX (Protecția consumatorilor) la Acordul privind SEE ar trebui modificate în consecință. </w:t>
      </w:r>
    </w:p>
    <w:p>
      <w:pPr>
        <w:pStyle w:val="ManualConsidrant"/>
        <w:rPr>
          <w:noProof/>
        </w:rPr>
      </w:pPr>
      <w:r>
        <w:t>(5)</w:t>
      </w:r>
      <w:r>
        <w:tab/>
      </w:r>
      <w:r>
        <w:rPr>
          <w:noProof/>
        </w:rPr>
        <w:t>Poziția Uniunii în cadrul Comitetului mixt al SEE ar trebui, prin urmare, să se bazeze pe proiectul de decizie atașat,</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Poziția care urmează să fie adoptată, în numele Uniunii, în cadrul Comitetului mixt al SEE cu privire la propunerea de modificare a anexei IX (Servicii financiare) și a anexei XIX (Protecția consumatorilor) la Acordul privind SEE se bazează pe proiectul de decizie a Comitetului mixt al SEE atașat la prezenta decizie.</w:t>
      </w:r>
    </w:p>
    <w:p>
      <w:pPr>
        <w:pStyle w:val="Titrearticle"/>
        <w:rPr>
          <w:noProof/>
        </w:rPr>
      </w:pPr>
      <w:r>
        <w:rPr>
          <w:noProof/>
        </w:rPr>
        <w:t>Articolul 2</w:t>
      </w:r>
    </w:p>
    <w:p>
      <w:pPr>
        <w:keepLines/>
        <w:rPr>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iCs/>
          <w:lang w:val="fi-FI"/>
        </w:rPr>
      </w:pPr>
      <w:r>
        <w:rPr>
          <w:rStyle w:val="FootnoteReference"/>
        </w:rPr>
        <w:footnoteRef/>
      </w:r>
      <w:r>
        <w:tab/>
        <w:t>JO L 305, 30.11.1994, p. 6-8.</w:t>
      </w:r>
    </w:p>
  </w:footnote>
  <w:footnote w:id="2">
    <w:p>
      <w:pPr>
        <w:pStyle w:val="FootnoteText"/>
        <w:rPr>
          <w:lang w:val="fi-FI"/>
        </w:rPr>
      </w:pPr>
      <w:r>
        <w:rPr>
          <w:rStyle w:val="FootnoteReference"/>
        </w:rPr>
        <w:footnoteRef/>
      </w:r>
      <w:r>
        <w:tab/>
        <w:t>JO L 305, 30.11.1994, p. 6.</w:t>
      </w:r>
    </w:p>
  </w:footnote>
  <w:footnote w:id="3">
    <w:p>
      <w:pPr>
        <w:pStyle w:val="FootnoteText"/>
        <w:rPr>
          <w:lang w:val="fi-FI"/>
        </w:rPr>
      </w:pPr>
      <w:r>
        <w:rPr>
          <w:rStyle w:val="FootnoteReference"/>
        </w:rPr>
        <w:footnoteRef/>
      </w:r>
      <w:r>
        <w:tab/>
        <w:t xml:space="preserve">JO L 1, 3.1.1994, p. 3. </w:t>
      </w:r>
    </w:p>
  </w:footnote>
  <w:footnote w:id="4">
    <w:p>
      <w:pPr>
        <w:pStyle w:val="FootnoteText"/>
        <w:rPr>
          <w:lang w:val="fi-FI" w:eastAsia="de-DE"/>
        </w:rPr>
      </w:pPr>
      <w:r>
        <w:rPr>
          <w:rStyle w:val="FootnoteReference"/>
        </w:rPr>
        <w:footnoteRef/>
      </w:r>
      <w:r>
        <w:tab/>
        <w:t>Directiva 2014/17/UE a Parlamentului European și a Consiliului din 4 februarie 2014 privind contractele de credit oferite consumatorilor pentru bunuri imobile rezidențiale și de modificare a Directivelor 2008/48/CE și 2013/36/UE și a Regulamentului (UE) nr. 1093/2010 (JO L 60, 28.2.2014, p.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760B0D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DF04AE6"/>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0456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F8CC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7A840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02A34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104BB7E"/>
    <w:lvl w:ilvl="0">
      <w:start w:val="1"/>
      <w:numFmt w:val="decimal"/>
      <w:pStyle w:val="ListNumber"/>
      <w:lvlText w:val="%1."/>
      <w:lvlJc w:val="left"/>
      <w:pPr>
        <w:tabs>
          <w:tab w:val="num" w:pos="360"/>
        </w:tabs>
        <w:ind w:left="360" w:hanging="360"/>
      </w:pPr>
    </w:lvl>
  </w:abstractNum>
  <w:abstractNum w:abstractNumId="7">
    <w:nsid w:val="FFFFFF89"/>
    <w:multiLevelType w:val="singleLevel"/>
    <w:tmpl w:val="A53447D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4:00:0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4E49D57-A9DB-4176-8127-67DB679D2119"/>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23"/>
    <w:docVar w:name="LW_REF.II.NEW.CP_YEAR" w:val="2019"/>
    <w:docVar w:name="LW_REF.INST.NEW" w:val="COM"/>
    <w:docVar w:name="LW_REF.INST.NEW_ADOPTED" w:val="final"/>
    <w:docVar w:name="LW_REF.INST.NEW_TEXT" w:val="(2019) 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nere de"/>
    <w:docVar w:name="LW_SUPERTITRE" w:val="&lt;UNUSED&gt;"/>
    <w:docVar w:name="LW_TITRE.OBJ.CP" w:val="privind pozi\u539?ia care urmeaz\u259? s\u259? fie adoptat\u259?, în numele Uniunii Europene, în cadrul Comitetului mixt al SEE referitor la modificarea anexei IX (Servicii financiare) \u537?i a anexei XIX (Protec\u539?ia consumatorilor) la Acordul privind SE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4</TotalTime>
  <Pages>6</Pages>
  <Words>1390</Words>
  <Characters>8119</Characters>
  <Application>Microsoft Office Word</Application>
  <DocSecurity>0</DocSecurity>
  <Lines>147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2019-01-15T14:34:00Z</dcterms:created>
  <dcterms:modified xsi:type="dcterms:W3CDTF">2019-01-28T13:00:00Z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