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0210494-BAC0-40E7-A1D4-A84611E01043"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360" w:after="0" w:line="240" w:lineRule="auto"/>
        <w:jc w:val="center"/>
        <w:rPr>
          <w:rFonts w:ascii="Times New Roman" w:hAnsi="Times New Roman"/>
          <w:b/>
          <w:noProof/>
          <w:sz w:val="24"/>
        </w:rPr>
      </w:pPr>
      <w:bookmarkStart w:id="1" w:name="_GoBack"/>
      <w:bookmarkEnd w:id="1"/>
      <w:r>
        <w:rPr>
          <w:rFonts w:ascii="Times New Roman" w:hAnsi="Times New Roman"/>
          <w:b/>
          <w:noProof/>
          <w:sz w:val="24"/>
        </w:rPr>
        <w:lastRenderedPageBreak/>
        <w:t>SPRAWOZDANIE KOMISJI DLA PARLAMENTU EUROPEJSKIEGO I RADY</w:t>
      </w:r>
    </w:p>
    <w:p>
      <w:pPr>
        <w:spacing w:before="360" w:after="360" w:line="240" w:lineRule="auto"/>
        <w:jc w:val="center"/>
        <w:rPr>
          <w:rFonts w:ascii="Times New Roman" w:hAnsi="Times New Roman"/>
          <w:b/>
          <w:noProof/>
          <w:sz w:val="24"/>
        </w:rPr>
      </w:pPr>
      <w:r>
        <w:rPr>
          <w:rFonts w:ascii="Times New Roman" w:hAnsi="Times New Roman"/>
          <w:b/>
          <w:noProof/>
          <w:sz w:val="24"/>
        </w:rPr>
        <w:t>dotyczące wykonania uprawnień do przyjęcia aktów delegowanych powierzonych Komisji na mocy dyrektywy Parlamentu Europejskiego i Rady 2014/90/UE z dnia 23 lipca 2014 r. w sprawie wyposażenia morskiego</w:t>
      </w:r>
    </w:p>
    <w:p>
      <w:pPr>
        <w:tabs>
          <w:tab w:val="left" w:pos="2070"/>
        </w:tabs>
        <w:spacing w:after="0" w:line="240" w:lineRule="auto"/>
        <w:rPr>
          <w:rFonts w:ascii="Times New Roman" w:eastAsia="Times New Roman" w:hAnsi="Times New Roman"/>
          <w:b/>
          <w:bCs/>
          <w:smallCaps/>
          <w:noProof/>
          <w:sz w:val="24"/>
          <w:szCs w:val="28"/>
        </w:rPr>
      </w:pPr>
      <w:r>
        <w:rPr>
          <w:noProof/>
        </w:rPr>
        <w:tab/>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smallCaps/>
          <w:noProof/>
          <w:sz w:val="24"/>
        </w:rPr>
        <w:t>Kontekst</w:t>
      </w:r>
    </w:p>
    <w:p>
      <w:pPr>
        <w:spacing w:before="120" w:after="120" w:line="240" w:lineRule="auto"/>
        <w:ind w:left="850"/>
        <w:jc w:val="both"/>
        <w:rPr>
          <w:rFonts w:ascii="Times New Roman" w:hAnsi="Times New Roman"/>
          <w:noProof/>
          <w:sz w:val="24"/>
        </w:rPr>
      </w:pPr>
      <w:r>
        <w:rPr>
          <w:rFonts w:ascii="Times New Roman" w:hAnsi="Times New Roman"/>
          <w:noProof/>
          <w:sz w:val="24"/>
        </w:rPr>
        <w:t>W art. 37 ust. 1 dyrektywy Parlamentu Europejskiego i Rady 2014/90/UE z dnia 23 lipca 2014 r. w sprawie wyposażenia morskiego</w:t>
      </w:r>
      <w:r>
        <w:rPr>
          <w:rStyle w:val="FootnoteReference"/>
          <w:noProof/>
        </w:rPr>
        <w:footnoteReference w:id="1"/>
      </w:r>
      <w:r>
        <w:rPr>
          <w:rFonts w:ascii="Times New Roman" w:hAnsi="Times New Roman"/>
          <w:noProof/>
          <w:sz w:val="24"/>
        </w:rPr>
        <w:t xml:space="preserve"> powierzono Komisji uprawnienia do przyjęcia aktów delegowanych z zastrzeżeniem warunków określonych w tym artykule. Zgodnie z art. 37 ust. 2 dyrektywy uprawnienia do przyjęcia aktów delegowanych powierzono na okres pięciu lat, licząc od dnia 17 września 2014. Okres ten upływa w dniu 17 września 2019 r. Zgodnie z art. 37 Komisja jest uprawniona do przyjęcia aktów delegowanych, o których mowa w art. 8, 11, 27 i 36 dyrektywy.</w:t>
      </w:r>
    </w:p>
    <w:p>
      <w:pPr>
        <w:spacing w:before="120" w:after="120" w:line="240" w:lineRule="auto"/>
        <w:ind w:left="850"/>
        <w:jc w:val="both"/>
        <w:rPr>
          <w:rFonts w:ascii="Times New Roman" w:hAnsi="Times New Roman"/>
          <w:noProof/>
          <w:sz w:val="24"/>
        </w:rPr>
      </w:pPr>
      <w:r>
        <w:rPr>
          <w:rFonts w:ascii="Times New Roman" w:hAnsi="Times New Roman"/>
          <w:noProof/>
          <w:sz w:val="24"/>
        </w:rPr>
        <w:t>Te akty delegowane mogą dotyczyć:</w:t>
      </w:r>
    </w:p>
    <w:p>
      <w:pPr>
        <w:numPr>
          <w:ilvl w:val="0"/>
          <w:numId w:val="4"/>
        </w:numPr>
        <w:spacing w:before="120" w:after="120" w:line="240" w:lineRule="auto"/>
        <w:contextualSpacing/>
        <w:jc w:val="both"/>
        <w:rPr>
          <w:rFonts w:ascii="Times New Roman" w:hAnsi="Times New Roman"/>
          <w:noProof/>
          <w:sz w:val="24"/>
        </w:rPr>
      </w:pPr>
      <w:r>
        <w:rPr>
          <w:rFonts w:ascii="Times New Roman" w:hAnsi="Times New Roman"/>
          <w:noProof/>
          <w:sz w:val="24"/>
        </w:rPr>
        <w:t xml:space="preserve">art. 8: przyjęcia zharmonizowanych wymogów technicznych i norm badań </w:t>
      </w:r>
    </w:p>
    <w:p>
      <w:pPr>
        <w:numPr>
          <w:ilvl w:val="5"/>
          <w:numId w:val="5"/>
        </w:numPr>
        <w:spacing w:before="120" w:after="120" w:line="240" w:lineRule="auto"/>
        <w:contextualSpacing/>
        <w:jc w:val="both"/>
        <w:rPr>
          <w:rFonts w:ascii="Times New Roman" w:hAnsi="Times New Roman"/>
          <w:noProof/>
          <w:sz w:val="24"/>
        </w:rPr>
      </w:pPr>
      <w:r>
        <w:rPr>
          <w:rFonts w:ascii="Times New Roman" w:hAnsi="Times New Roman"/>
          <w:noProof/>
          <w:sz w:val="24"/>
        </w:rPr>
        <w:t>w przypadku braku normy międzynarodowej oraz</w:t>
      </w:r>
    </w:p>
    <w:p>
      <w:pPr>
        <w:numPr>
          <w:ilvl w:val="5"/>
          <w:numId w:val="5"/>
        </w:numPr>
        <w:spacing w:before="120" w:after="120" w:line="240" w:lineRule="auto"/>
        <w:contextualSpacing/>
        <w:jc w:val="both"/>
        <w:rPr>
          <w:rFonts w:ascii="Times New Roman" w:hAnsi="Times New Roman"/>
          <w:noProof/>
          <w:sz w:val="24"/>
        </w:rPr>
      </w:pPr>
      <w:r>
        <w:rPr>
          <w:rFonts w:ascii="Times New Roman" w:hAnsi="Times New Roman"/>
          <w:noProof/>
          <w:sz w:val="24"/>
        </w:rPr>
        <w:t>w przypadku poważnego niedociągnięcia lub anomalii w istniejącej normie</w:t>
      </w:r>
    </w:p>
    <w:p>
      <w:pPr>
        <w:spacing w:before="120" w:after="120" w:line="240" w:lineRule="auto"/>
        <w:ind w:left="1571"/>
        <w:contextualSpacing/>
        <w:jc w:val="both"/>
        <w:rPr>
          <w:rFonts w:ascii="Times New Roman" w:hAnsi="Times New Roman"/>
          <w:noProof/>
          <w:sz w:val="24"/>
        </w:rPr>
      </w:pPr>
      <w:r>
        <w:rPr>
          <w:rFonts w:ascii="Times New Roman" w:hAnsi="Times New Roman"/>
          <w:noProof/>
          <w:sz w:val="24"/>
        </w:rPr>
        <w:t>dotyczących określonego elementu wyposażenia morskiego, w nadzwyczajnych okolicznościach należycie uzasadnionych odpowiednią analizą oraz w celu usunięcia poważnego i niedopuszczalnego zagrożenia dla bezpieczeństwa na morzu, dla zdrowia lub dla środowiska oraz z uwzględnieniem ewentualnych bieżących prac na szczeblu IMO;</w:t>
      </w:r>
    </w:p>
    <w:p>
      <w:pPr>
        <w:numPr>
          <w:ilvl w:val="0"/>
          <w:numId w:val="4"/>
        </w:numPr>
        <w:spacing w:before="120" w:after="120" w:line="240" w:lineRule="auto"/>
        <w:ind w:left="1571"/>
        <w:contextualSpacing/>
        <w:jc w:val="both"/>
        <w:rPr>
          <w:rFonts w:ascii="Times New Roman" w:hAnsi="Times New Roman"/>
          <w:noProof/>
          <w:sz w:val="24"/>
        </w:rPr>
      </w:pPr>
      <w:r>
        <w:rPr>
          <w:rFonts w:ascii="Times New Roman" w:hAnsi="Times New Roman"/>
          <w:noProof/>
          <w:sz w:val="24"/>
        </w:rPr>
        <w:t>art. 11: wskazania określonych elementów wyposażenia morskiego, w przypadku których może być przydatne oznakowanie elektroniczne;</w:t>
      </w:r>
    </w:p>
    <w:p>
      <w:pPr>
        <w:numPr>
          <w:ilvl w:val="0"/>
          <w:numId w:val="4"/>
        </w:numPr>
        <w:spacing w:before="120" w:after="120" w:line="240" w:lineRule="auto"/>
        <w:ind w:left="1571"/>
        <w:contextualSpacing/>
        <w:jc w:val="both"/>
        <w:rPr>
          <w:rFonts w:ascii="Times New Roman" w:hAnsi="Times New Roman"/>
          <w:noProof/>
          <w:sz w:val="24"/>
        </w:rPr>
      </w:pPr>
      <w:r>
        <w:rPr>
          <w:rFonts w:ascii="Times New Roman" w:hAnsi="Times New Roman"/>
          <w:noProof/>
          <w:sz w:val="24"/>
        </w:rPr>
        <w:t>art. 27: przyjęcia tymczasowych zharmonizowanych wymogów i norm badań dla konkretnych elementów wyposażenia morskiego objętych procedurą ochronną na poziomie UE, w przypadku gdy niezgodność danego wyposażenia morskiego wynika z wad norm badań;</w:t>
      </w:r>
    </w:p>
    <w:p>
      <w:pPr>
        <w:numPr>
          <w:ilvl w:val="0"/>
          <w:numId w:val="4"/>
        </w:numPr>
        <w:spacing w:before="120" w:after="120" w:line="240" w:lineRule="auto"/>
        <w:ind w:left="1571"/>
        <w:contextualSpacing/>
        <w:jc w:val="both"/>
        <w:rPr>
          <w:rFonts w:ascii="Times New Roman" w:hAnsi="Times New Roman"/>
          <w:noProof/>
          <w:sz w:val="24"/>
        </w:rPr>
      </w:pPr>
      <w:r>
        <w:rPr>
          <w:rFonts w:ascii="Times New Roman" w:hAnsi="Times New Roman"/>
          <w:noProof/>
          <w:sz w:val="24"/>
        </w:rPr>
        <w:t>art. 36: aktualizacji odniesień do norm, o których mowa w załączniku III i które dotyczą wymogów, jakie muszą spełnić jednostki oceniające zgodność, by uzyskać status jednostek notyfikowanych (obecnie normy EN ISO/IEC 17065:2012 i EN ISO/IEC 17025/2005).</w:t>
      </w:r>
    </w:p>
    <w:p>
      <w:pPr>
        <w:spacing w:before="120" w:after="120" w:line="240" w:lineRule="auto"/>
        <w:ind w:left="850"/>
        <w:jc w:val="both"/>
        <w:rPr>
          <w:rFonts w:ascii="Times New Roman" w:hAnsi="Times New Roman"/>
          <w:noProof/>
          <w:sz w:val="24"/>
        </w:rPr>
      </w:pP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Zgodnie z art. 37 ust. 2 dyrektywy 2014/90/UE Komisja musi sporządzić sprawozdanie dotyczące przekazania uprawnień nie później niż dziewięć miesięcy przed zakończeniem wspomnianego pięcioletniego okresu. Przekazanie uprawnień zostaje automatycznie przedłużone na takie same okresy, chyba że Parlament Europejski lub Rada sprzeciwią się takiemu przedłużeniu nie później niż trzy miesiące przed końcem każdego okresu. </w:t>
      </w:r>
    </w:p>
    <w:p>
      <w:pPr>
        <w:keepNext/>
        <w:numPr>
          <w:ilvl w:val="0"/>
          <w:numId w:val="1"/>
        </w:numPr>
        <w:shd w:val="clear" w:color="auto" w:fill="FFFFFF"/>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 xml:space="preserve">Wykonanie przez Komisję uprawnień powierzonych jej na mocy dyrektywy Parlamentu Europejskiego i Rady 2014/90/UE z dnia 23 lipca 2014 r. w sprawie wyposażenia morskiego </w:t>
      </w:r>
    </w:p>
    <w:p>
      <w:pPr>
        <w:spacing w:before="120" w:after="120" w:line="240" w:lineRule="auto"/>
        <w:ind w:left="850"/>
        <w:jc w:val="both"/>
        <w:rPr>
          <w:rFonts w:ascii="Times New Roman" w:hAnsi="Times New Roman"/>
          <w:noProof/>
          <w:sz w:val="24"/>
        </w:rPr>
      </w:pPr>
      <w:r>
        <w:rPr>
          <w:rFonts w:ascii="Times New Roman" w:hAnsi="Times New Roman"/>
          <w:noProof/>
          <w:sz w:val="24"/>
        </w:rPr>
        <w:t>W okresie sprawozdawczym Komisja jeden raz skorzystała z uprawnienia do przyjęcia aktów delegowanych powierzonego jej na mocy dyrektywy 2014/90/UE.</w:t>
      </w:r>
    </w:p>
    <w:p>
      <w:pPr>
        <w:spacing w:before="120" w:after="120" w:line="240" w:lineRule="auto"/>
        <w:ind w:left="850"/>
        <w:jc w:val="both"/>
        <w:rPr>
          <w:rFonts w:ascii="Times New Roman" w:hAnsi="Times New Roman"/>
          <w:noProof/>
          <w:sz w:val="24"/>
        </w:rPr>
      </w:pPr>
      <w:r>
        <w:rPr>
          <w:rFonts w:ascii="Times New Roman" w:hAnsi="Times New Roman"/>
          <w:noProof/>
          <w:sz w:val="24"/>
        </w:rPr>
        <w:t>Przyjęty akt to rozporządzenie delegowane Komisji (UE) 2018/414 z dnia 9 stycznia 2018 r. uzupełniające dyrektywę Parlamentu Europejskiego i Rady 2014/90/UE odnośnie do wskazania określonych elementów wyposażenia morskiego, w przypadku których można korzystać z oznakowania elektronicznego.</w:t>
      </w:r>
    </w:p>
    <w:p>
      <w:pPr>
        <w:spacing w:before="120" w:after="120" w:line="240" w:lineRule="auto"/>
        <w:ind w:left="850"/>
        <w:jc w:val="both"/>
        <w:rPr>
          <w:rFonts w:ascii="Times New Roman" w:hAnsi="Times New Roman"/>
          <w:noProof/>
          <w:sz w:val="24"/>
        </w:rPr>
      </w:pPr>
      <w:r>
        <w:rPr>
          <w:rFonts w:ascii="Times New Roman" w:hAnsi="Times New Roman"/>
          <w:noProof/>
          <w:sz w:val="24"/>
        </w:rPr>
        <w:t>Zostało ono przyjęte zgodnie z art. 11 dyrektywy w sprawie wyposażenia morskiego. Wskazanie określonych elementów wyposażenia morskiego, w przypadku których można korzystać z oznakowania elektronicznego, było konieczne, aby umożliwić dobrowolne stosowanie oznakowania elektronicznego przez podmioty gospodarcze, a także ułatwić nadzór rynku i zapobiec podrabianiu określonych elementów wyposażenia morskiego.</w:t>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smallCaps/>
          <w:noProof/>
          <w:sz w:val="24"/>
        </w:rPr>
        <w:t>Wnioski</w:t>
      </w:r>
    </w:p>
    <w:p>
      <w:pPr>
        <w:spacing w:before="120" w:after="120" w:line="240" w:lineRule="auto"/>
        <w:ind w:left="850"/>
        <w:jc w:val="both"/>
        <w:rPr>
          <w:rFonts w:ascii="Times New Roman" w:hAnsi="Times New Roman"/>
          <w:noProof/>
          <w:sz w:val="24"/>
        </w:rPr>
      </w:pPr>
      <w:r>
        <w:rPr>
          <w:rFonts w:ascii="Times New Roman" w:hAnsi="Times New Roman"/>
          <w:noProof/>
          <w:sz w:val="24"/>
        </w:rPr>
        <w:t>Komisja dostrzega potrzebę przedłużenia okresu, na jaki przyznano uprawnienia, ze względu na konieczność uzupełnienia lub zmiany odpowiednich przepisów dyrektywy w kontekście stale zmieniającego się wykazu elementów wyposażenia morskiego objętych zakresem dyrektywy (art. 11) i aktualizacji odniesień do norm międzynarodowych dotyczących wymogów, jakie muszą spełnić jednostki oceniające zgodność (art. 36), oraz szybkiego usuwania poważnych i niedopuszczalnych zagrożeń dla bezpieczeństwa na morzu, dla zdrowia lub dla środowiska w przypadku, gdyby stało się to konieczne (art. 8 i 27).</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rPr>
        <w:t>Dz.U. L 257 z 28.8.2014, s. 168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47F3"/>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908675B"/>
    <w:multiLevelType w:val="hybridMultilevel"/>
    <w:tmpl w:val="B844B158"/>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8486E9B6-35E5-48F1-8B60-DDDD15B0357B}"/>
    <w:docVar w:name="dgnword-eventsink" w:val="735117944"/>
    <w:docVar w:name="DocStatus" w:val="Green"/>
    <w:docVar w:name="LW_CORRIGENDUM" w:val="&lt;UNUSED&gt;"/>
    <w:docVar w:name="LW_COVERPAGE_EXISTS" w:val="True"/>
    <w:docVar w:name="LW_COVERPAGE_GUID" w:val="60210494-BAC0-40E7-A1D4-A84611E01043"/>
    <w:docVar w:name="LW_COVERPAGE_TYPE" w:val="1"/>
    <w:docVar w:name="LW_CROSSREFERENCE" w:val="&lt;UNUSED&gt;"/>
    <w:docVar w:name="LW_DocType" w:val="NORMAL"/>
    <w:docVar w:name="LW_EMISSION" w:val="1.2.2019"/>
    <w:docVar w:name="LW_EMISSION_ISODATE" w:val="2019-02-01"/>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dotycz\u261?ce wykonania uprawnie\u324? do przyj\u281?cia aktów delegowanych powierzonych Komisji na mocy dyrektywy Parlamentu Europejskiego i Rady 2014/90/UE z dnia 23 lipca 2014 r. w sprawie wyposa\u380?enia morskiego&lt;/FMT&gt;"/>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pPr>
      <w:keepNext/>
      <w:tabs>
        <w:tab w:val="num" w:pos="850"/>
      </w:tabs>
      <w:spacing w:before="120" w:after="120" w:line="240" w:lineRule="auto"/>
      <w:ind w:left="850" w:hanging="850"/>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link w:val="FootnoteText"/>
    <w:uiPriority w:val="99"/>
    <w:semiHidden/>
    <w:rPr>
      <w:rFonts w:ascii="Calibri" w:hAnsi="Calibri"/>
      <w:sz w:val="20"/>
      <w:szCs w:val="20"/>
    </w:rPr>
  </w:style>
  <w:style w:type="character" w:customStyle="1" w:styleId="Heading4Char">
    <w:name w:val="Heading 4 Char"/>
    <w:link w:val="Heading4"/>
    <w:uiPriority w:val="9"/>
    <w:semiHidden/>
    <w:rPr>
      <w:rFonts w:ascii="Times New Roman" w:eastAsia="Times New Roman" w:hAnsi="Times New Roman" w:cs="Times New Roman"/>
      <w:bCs/>
      <w:iCs/>
      <w:sz w:val="24"/>
      <w:lang w:eastAsia="pl-PL"/>
    </w:rPr>
  </w:style>
  <w:style w:type="character" w:styleId="FootnoteReference">
    <w:name w:val="footnote reference"/>
    <w:uiPriority w:val="99"/>
    <w:unhideWhenUsed/>
    <w:rPr>
      <w:shd w:val="clear" w:color="auto" w:fill="auto"/>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val="pl-PL" w:eastAsia="pl-PL"/>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val="pl-PL" w:eastAsia="pl-P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hAnsi="Calibri"/>
      <w:sz w:val="20"/>
      <w:szCs w:val="20"/>
    </w:rPr>
  </w:style>
  <w:style w:type="character" w:styleId="CommentReference">
    <w:name w:val="annotation reference"/>
    <w:uiPriority w:val="99"/>
    <w:semiHidden/>
    <w:unhideWhenUsed/>
    <w:rPr>
      <w:sz w:val="16"/>
      <w:szCs w:val="16"/>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CommentSubject">
    <w:name w:val="annotation subject"/>
    <w:basedOn w:val="CommentText"/>
    <w:next w:val="CommentText"/>
    <w:link w:val="CommentSubjectChar"/>
    <w:uiPriority w:val="99"/>
    <w:semiHidden/>
    <w:unhideWhenUsed/>
    <w:pPr>
      <w:spacing w:line="276" w:lineRule="auto"/>
    </w:pPr>
    <w:rPr>
      <w:b/>
      <w:bCs/>
    </w:rPr>
  </w:style>
  <w:style w:type="character" w:customStyle="1" w:styleId="CommentSubjectChar">
    <w:name w:val="Comment Subject Char"/>
    <w:link w:val="CommentSubject"/>
    <w:uiPriority w:val="99"/>
    <w:semiHidden/>
    <w:rPr>
      <w:rFonts w:ascii="Calibri" w:hAnsi="Calibri"/>
      <w:b/>
      <w:bCs/>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pPr>
      <w:keepNext/>
      <w:tabs>
        <w:tab w:val="num" w:pos="850"/>
      </w:tabs>
      <w:spacing w:before="120" w:after="120" w:line="240" w:lineRule="auto"/>
      <w:ind w:left="850" w:hanging="850"/>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link w:val="FootnoteText"/>
    <w:uiPriority w:val="99"/>
    <w:semiHidden/>
    <w:rPr>
      <w:rFonts w:ascii="Calibri" w:hAnsi="Calibri"/>
      <w:sz w:val="20"/>
      <w:szCs w:val="20"/>
    </w:rPr>
  </w:style>
  <w:style w:type="character" w:customStyle="1" w:styleId="Heading4Char">
    <w:name w:val="Heading 4 Char"/>
    <w:link w:val="Heading4"/>
    <w:uiPriority w:val="9"/>
    <w:semiHidden/>
    <w:rPr>
      <w:rFonts w:ascii="Times New Roman" w:eastAsia="Times New Roman" w:hAnsi="Times New Roman" w:cs="Times New Roman"/>
      <w:bCs/>
      <w:iCs/>
      <w:sz w:val="24"/>
      <w:lang w:eastAsia="pl-PL"/>
    </w:rPr>
  </w:style>
  <w:style w:type="character" w:styleId="FootnoteReference">
    <w:name w:val="footnote reference"/>
    <w:uiPriority w:val="99"/>
    <w:unhideWhenUsed/>
    <w:rPr>
      <w:shd w:val="clear" w:color="auto" w:fill="auto"/>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val="pl-PL" w:eastAsia="pl-PL"/>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val="pl-PL" w:eastAsia="pl-P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hAnsi="Calibri"/>
      <w:sz w:val="20"/>
      <w:szCs w:val="20"/>
    </w:rPr>
  </w:style>
  <w:style w:type="character" w:styleId="CommentReference">
    <w:name w:val="annotation reference"/>
    <w:uiPriority w:val="99"/>
    <w:semiHidden/>
    <w:unhideWhenUsed/>
    <w:rPr>
      <w:sz w:val="16"/>
      <w:szCs w:val="16"/>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CommentSubject">
    <w:name w:val="annotation subject"/>
    <w:basedOn w:val="CommentText"/>
    <w:next w:val="CommentText"/>
    <w:link w:val="CommentSubjectChar"/>
    <w:uiPriority w:val="99"/>
    <w:semiHidden/>
    <w:unhideWhenUsed/>
    <w:pPr>
      <w:spacing w:line="276" w:lineRule="auto"/>
    </w:pPr>
    <w:rPr>
      <w:b/>
      <w:bCs/>
    </w:rPr>
  </w:style>
  <w:style w:type="character" w:customStyle="1" w:styleId="CommentSubjectChar">
    <w:name w:val="Comment Subject Char"/>
    <w:link w:val="CommentSubject"/>
    <w:uiPriority w:val="99"/>
    <w:semiHidden/>
    <w:rPr>
      <w:rFonts w:ascii="Calibri" w:hAnsi="Calibri"/>
      <w:b/>
      <w:bCs/>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929">
      <w:bodyDiv w:val="1"/>
      <w:marLeft w:val="0"/>
      <w:marRight w:val="0"/>
      <w:marTop w:val="0"/>
      <w:marBottom w:val="0"/>
      <w:divBdr>
        <w:top w:val="none" w:sz="0" w:space="0" w:color="auto"/>
        <w:left w:val="none" w:sz="0" w:space="0" w:color="auto"/>
        <w:bottom w:val="none" w:sz="0" w:space="0" w:color="auto"/>
        <w:right w:val="none" w:sz="0" w:space="0" w:color="auto"/>
      </w:divBdr>
    </w:div>
    <w:div w:id="381027463">
      <w:bodyDiv w:val="1"/>
      <w:marLeft w:val="0"/>
      <w:marRight w:val="0"/>
      <w:marTop w:val="0"/>
      <w:marBottom w:val="0"/>
      <w:divBdr>
        <w:top w:val="none" w:sz="0" w:space="0" w:color="auto"/>
        <w:left w:val="none" w:sz="0" w:space="0" w:color="auto"/>
        <w:bottom w:val="none" w:sz="0" w:space="0" w:color="auto"/>
        <w:right w:val="none" w:sz="0" w:space="0" w:color="auto"/>
      </w:divBdr>
    </w:div>
    <w:div w:id="8243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C41E-3845-4114-A649-1AB9EE31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535</Words>
  <Characters>3494</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2019-01-03T13:34:00Z</dcterms:created>
  <dcterms:modified xsi:type="dcterms:W3CDTF">2019-02-01T09:09:00Z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