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2682578B-DA14-4D32-80BC-A20D16885187" style="width:450.75pt;height:333.75pt">
            <v:imagedata r:id="rId9" o:title=""/>
          </v:shape>
        </w:pict>
      </w:r>
    </w:p>
    <w:bookmarkEnd w:id="0"/>
    <w:p>
      <w:pPr>
        <w:rPr>
          <w:noProof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>
      <w:pPr>
        <w:spacing w:before="360" w:after="0" w:line="240" w:lineRule="auto"/>
        <w:jc w:val="center"/>
        <w:rPr>
          <w:rFonts w:ascii="Times New Roman" w:hAnsi="Times New Roman"/>
          <w:b/>
          <w:noProof/>
          <w:sz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</w:rPr>
        <w:lastRenderedPageBreak/>
        <w:t>ZPRÁVA KOMISE EVROPSKÉMU PARLAMENTU A RADĚ</w:t>
      </w:r>
    </w:p>
    <w:p>
      <w:pPr>
        <w:spacing w:before="360" w:after="360" w:line="240" w:lineRule="auto"/>
        <w:jc w:val="center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w:t>o výkonu pravomoci přijímat akty v přenesené pravomoci svěřené Komisi podle směrnice Evropského parlamentu a Rady 2014/90/EU ze dne 23. července 2014 o lodní výstroji</w:t>
      </w:r>
    </w:p>
    <w:p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b/>
          <w:bCs/>
          <w:smallCaps/>
          <w:noProof/>
          <w:sz w:val="24"/>
          <w:szCs w:val="28"/>
        </w:rPr>
      </w:pPr>
      <w:r>
        <w:rPr>
          <w:noProof/>
        </w:rPr>
        <w:tab/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smallCaps/>
          <w:noProof/>
          <w:sz w:val="24"/>
        </w:rPr>
        <w:t>Souvislosti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Ustanovení čl. 37 odst. 1 směrnice Evropského parlamentu a Rady 2014/90/EU ze dne 23. července 2014 o lodní výstroji</w:t>
      </w:r>
      <w:r>
        <w:rPr>
          <w:rStyle w:val="FootnoteReference"/>
          <w:noProof/>
        </w:rPr>
        <w:footnoteReference w:id="1"/>
      </w:r>
      <w:r>
        <w:rPr>
          <w:rFonts w:ascii="Times New Roman" w:hAnsi="Times New Roman"/>
          <w:noProof/>
          <w:sz w:val="24"/>
        </w:rPr>
        <w:t xml:space="preserve"> Komisi svěřuje pravomoc přijímat akty v přenesené pravomoci za podmínek stanovených v uvedeném článku. Podle čl. 37 odst. 2 směrnice je pravomoc přijímat akty v přenesené pravomoci svěřena Komisi na dobu pěti let od 17. září 2014. Toto období skončí dne 17. září 2019. Komise je v souladu s článkem 37 oprávněna přijímat akty v přenesené pravomoci uvedené v článcích 8, 11, 27 a 36 směrnice.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Předmětem těchto aktů v přenesené pravomoci může být:</w:t>
      </w:r>
    </w:p>
    <w:p>
      <w:pPr>
        <w:numPr>
          <w:ilvl w:val="0"/>
          <w:numId w:val="4"/>
        </w:numPr>
        <w:spacing w:before="120" w:after="120" w:line="240" w:lineRule="auto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Článek 8: přijetí harmonizovaných technických specifikací a zkušebních norem, </w:t>
      </w:r>
    </w:p>
    <w:p>
      <w:pPr>
        <w:numPr>
          <w:ilvl w:val="5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pokud mezinárodní norma neexistuje a</w:t>
      </w:r>
    </w:p>
    <w:p>
      <w:pPr>
        <w:numPr>
          <w:ilvl w:val="5"/>
          <w:numId w:val="5"/>
        </w:numPr>
        <w:spacing w:before="120" w:after="120" w:line="240" w:lineRule="auto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kvůli závažnému nedostatku nebo anomálii v rámci stávající normy</w:t>
      </w:r>
    </w:p>
    <w:p>
      <w:pPr>
        <w:spacing w:before="120" w:after="120" w:line="240" w:lineRule="auto"/>
        <w:ind w:left="1571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pro konkrétní lodní výstroj ve výjimečných případech řádně odůvodněných náležitou analýzou s cílem zabránit závažnému a nepřijatelnému ohrožení námořní bezpečnosti, zdraví nebo životního prostředí a rovněž s přihlédnutím k činnosti probíhající na úrovni IMO.</w:t>
      </w:r>
    </w:p>
    <w:p>
      <w:pPr>
        <w:numPr>
          <w:ilvl w:val="0"/>
          <w:numId w:val="4"/>
        </w:numPr>
        <w:spacing w:before="120" w:after="120" w:line="240" w:lineRule="auto"/>
        <w:ind w:left="1571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Článek 11: určení konkrétních položek lodní výstroje, pro něž může být výhodné používání elektronických identifikátorů.</w:t>
      </w:r>
    </w:p>
    <w:p>
      <w:pPr>
        <w:numPr>
          <w:ilvl w:val="0"/>
          <w:numId w:val="4"/>
        </w:numPr>
        <w:spacing w:before="120" w:after="120" w:line="240" w:lineRule="auto"/>
        <w:ind w:left="1571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Článek 27: prozatímní harmonizované požadavky a zkušební normy pro konkrétní položky lodní výstroje, na něž se vztahuje ochranný postup EU, je-li nesoulad lodní výstroje přisuzován nedostatkům ve zkušebních normách.</w:t>
      </w:r>
    </w:p>
    <w:p>
      <w:pPr>
        <w:numPr>
          <w:ilvl w:val="0"/>
          <w:numId w:val="4"/>
        </w:numPr>
        <w:spacing w:before="120" w:after="120" w:line="240" w:lineRule="auto"/>
        <w:ind w:left="1571"/>
        <w:contextualSpacing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Článek 36: aktualizace odkazů na normy obsažené v příloze III, které stanoví požadavky, jež musí splňovat subjekty posuzování shody, aby se mohly stát oznámenými subjekty (v současné době EN ISO/IEC 17065:2012 a EN ISO/IEC 17025/2005).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Komise v souladu s čl. 37 odst. 2 směrnice 2014/90/EU vyhotoví zprávu o přenesené pravomoci nejpozději devět měsíců před koncem tohoto pětiletého období. Přenesení pravomoci se automaticky prodlužuje o stejně dlouhá období, pokud Evropský parlament nebo Rada nevysloví proti tomuto prodloužení námitku nejpozději tři měsíce před koncem každého z těchto období. 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smallCaps/>
          <w:noProof/>
          <w:sz w:val="24"/>
        </w:rPr>
        <w:t xml:space="preserve">Výkon pravomoci přijímat akty v přenesené pravomoci svěřené Komisi podle směrnice Evropského parlamentu a Rady 2014/90/EU ze dne 23. července 2014 o lodní výstroji 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Komise vykonala pravomoc přijímat akty v přenesené pravomoci, která ji byla svěřena směrnicí 2014/90/EU během vykazovaného období jednou.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Přijatým aktem je nařízení Komise v přenesené pravomoci (EU) 2018/414 ze dne 9. ledna 2018, kterým se doplňuje směrnice Evropského parlamentu a Rady 2014/90/EU, pokud jde o určení konkrétních položek lodní výstroje, pro něž může být výhodné používání elektronického identifikátoru.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Tento akt byl přijat v souladu s článkem 11 směrnice o lodní výstroji. Identifikace lodní výstroje, pro niž může být výhodné používání elektronického identifikátoru, byla nezbytná s cílem umožnit dobrovolné používání elektronických identifikátorů hospodářskými subjekty, usnadnit dozor nad trhem a zabránit padělání konkrétních položek lodní výstroje.</w:t>
      </w:r>
    </w:p>
    <w:p>
      <w:pPr>
        <w:keepNext/>
        <w:numPr>
          <w:ilvl w:val="0"/>
          <w:numId w:val="1"/>
        </w:numPr>
        <w:shd w:val="clear" w:color="auto" w:fill="FFFFFF"/>
        <w:spacing w:before="360" w:after="120" w:line="240" w:lineRule="auto"/>
        <w:jc w:val="both"/>
        <w:outlineLvl w:val="0"/>
        <w:rPr>
          <w:rFonts w:ascii="Times New Roman" w:hAnsi="Times New Roman"/>
          <w:b/>
          <w:bCs/>
          <w:smallCaps/>
          <w:noProof/>
          <w:sz w:val="24"/>
          <w:szCs w:val="28"/>
        </w:rPr>
      </w:pPr>
      <w:r>
        <w:rPr>
          <w:rFonts w:ascii="Times New Roman" w:hAnsi="Times New Roman"/>
          <w:b/>
          <w:smallCaps/>
          <w:noProof/>
          <w:sz w:val="24"/>
        </w:rPr>
        <w:t>Závěry</w:t>
      </w:r>
    </w:p>
    <w:p>
      <w:pPr>
        <w:spacing w:before="120" w:after="120" w:line="240" w:lineRule="auto"/>
        <w:ind w:left="850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Komise se domnívá, že je zapotřebí toto přenesení pravomoci prodloužit vzhledem k tomu, že je potřeba doplňovat nebo měnit příslušná ustanovení směrnice s ohledem na stále se měnící seznam lodní výstroje spadající do působnosti směrnice (článek 11), na aktualizované mezinárodní normy spojené s požadavky, které musí splňovat subjekty posuzování shody (článek 36), a s cílem odstranit závažné a nepřijatelné ohrožení námořní bezpečnosti, zdraví nebo životního prostředí v krátkém časovém rozmezí, pokud by to bylo nezbytné (články 8 a 27).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Úř. věst. L 257, 28.8.2014, s. 168.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F3"/>
    <w:multiLevelType w:val="multilevel"/>
    <w:tmpl w:val="1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908675B"/>
    <w:multiLevelType w:val="hybridMultilevel"/>
    <w:tmpl w:val="B844B158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gnword-docGUID" w:val="{8486E9B6-35E5-48F1-8B60-DDDD15B0357B}"/>
    <w:docVar w:name="dgnword-eventsink" w:val="735117944"/>
    <w:docVar w:name="DocStatus" w:val="Green"/>
    <w:docVar w:name="LW_CORRIGENDUM" w:val="&lt;UNUSED&gt;"/>
    <w:docVar w:name="LW_COVERPAGE_EXISTS" w:val="True"/>
    <w:docVar w:name="LW_COVERPAGE_GUID" w:val="2682578B-DA14-4D32-80BC-A20D16885187"/>
    <w:docVar w:name="LW_COVERPAGE_TYPE" w:val="1"/>
    <w:docVar w:name="LW_CROSSREFERENCE" w:val="&lt;UNUSED&gt;"/>
    <w:docVar w:name="LW_DocType" w:val="NORMAL"/>
    <w:docVar w:name="LW_EMISSION" w:val="1.2.2019"/>
    <w:docVar w:name="LW_EMISSION_ISODATE" w:val="2019-02-01"/>
    <w:docVar w:name="LW_EMISSION_LOCATION" w:val="BRX"/>
    <w:docVar w:name="LW_EMISSION_PREFIX" w:val="V Bruselu dne "/>
    <w:docVar w:name="LW_EMISSION_SUFFIX" w:val=" "/>
    <w:docVar w:name="LW_ID_DOCTYPE_NONLW" w:val="CP-006"/>
    <w:docVar w:name="LW_LANGUE" w:val="CS"/>
    <w:docVar w:name="LW_LEVEL_OF_SENSITIVITY" w:val="Standard treatment"/>
    <w:docVar w:name="LW_NOM.INST" w:val="EVROPSKÁ KOMISE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FMT:Bold&gt;o výkonu pravomoci p\u345?ijímat akty v p\u345?enesené pravomoci sv\u283?\u345?ené Komisi podle sm\u283?rnice Evropského parlamentu a Rady 2014/90/EU ze dne 23. \u269?ervence 2014 o lodní výstroji&lt;/FMT&gt;_x000b_"/>
    <w:docVar w:name="LW_TYPE.DOC.CP" w:val="ZPRÁVA KOMISE EVROPSKÉMU PARLAMENTU A RAD\u282?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Calibri" w:hAnsi="Calibri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Pr>
      <w:rFonts w:ascii="Times New Roman" w:eastAsia="Times New Roman" w:hAnsi="Times New Roman" w:cs="Times New Roman"/>
      <w:bCs/>
      <w:iCs/>
      <w:sz w:val="24"/>
      <w:lang w:eastAsia="cs-CZ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val="cs-CZ" w:eastAsia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/>
      <w:bCs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Calibri" w:hAnsi="Calibri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Pr>
      <w:rFonts w:ascii="Times New Roman" w:eastAsia="Times New Roman" w:hAnsi="Times New Roman" w:cs="Times New Roman"/>
      <w:bCs/>
      <w:iCs/>
      <w:sz w:val="24"/>
      <w:lang w:eastAsia="cs-CZ"/>
    </w:rPr>
  </w:style>
  <w:style w:type="character" w:styleId="FootnoteReference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Marker">
    <w:name w:val="Marker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2"/>
      <w:lang w:val="cs-CZ" w:eastAsia="cs-CZ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link w:val="FooterCoverPage"/>
    <w:rPr>
      <w:rFonts w:ascii="Times New Roman" w:hAnsi="Times New Roman"/>
      <w:sz w:val="24"/>
      <w:szCs w:val="22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link w:val="HeaderCoverPage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customStyle="1" w:styleId="Titreobjet">
    <w:name w:val="Titre objet"/>
    <w:basedOn w:val="Normal"/>
    <w:next w:val="Normal"/>
    <w:pPr>
      <w:spacing w:before="360" w:after="36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TitreobjetPagedecouverture">
    <w:name w:val="Titre objet (Page de couverture)"/>
    <w:basedOn w:val="Titreobjet"/>
    <w:next w:val="Normal"/>
  </w:style>
  <w:style w:type="paragraph" w:customStyle="1" w:styleId="Declassification">
    <w:name w:val="Declassification"/>
    <w:basedOn w:val="Normal"/>
    <w:next w:val="Normal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66CC-A139-424F-9EE0-3C37CF51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3126</Characters>
  <Application>Microsoft Office Word</Application>
  <DocSecurity>0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15</cp:revision>
  <dcterms:created xsi:type="dcterms:W3CDTF">2019-01-23T14:27:00Z</dcterms:created>
  <dcterms:modified xsi:type="dcterms:W3CDTF">2019-02-01T09:08:00Z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  <property fmtid="{D5CDD505-2E9C-101B-9397-08002B2CF9AE}" pid="6" name="Last edited using">
    <vt:lpwstr>LW 6.0.1, Build 20180503</vt:lpwstr>
  </property>
  <property fmtid="{D5CDD505-2E9C-101B-9397-08002B2CF9AE}" pid="7" name="Created using">
    <vt:lpwstr>LW 6.0.1, Build 20180503</vt:lpwstr>
  </property>
</Properties>
</file>