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A3F" w:rsidRDefault="00B958E1" w:rsidP="00B958E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09A5C70-908E-4FC6-A3B5-AF12467A4164" style="width:450.4pt;height:293.35pt">
            <v:imagedata r:id="rId8" o:title=""/>
          </v:shape>
        </w:pict>
      </w:r>
    </w:p>
    <w:bookmarkEnd w:id="0"/>
    <w:p w:rsidR="000E3A3F" w:rsidRDefault="000E3A3F">
      <w:pPr>
        <w:rPr>
          <w:noProof/>
        </w:rPr>
        <w:sectPr w:rsidR="000E3A3F" w:rsidSect="00B958E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0E3A3F" w:rsidRDefault="00B958E1">
      <w:pPr>
        <w:pStyle w:val="Title"/>
        <w:jc w:val="center"/>
        <w:rPr>
          <w:rFonts w:ascii="Times New Roman" w:hAnsi="Times New Roman" w:cs="Times New Roman"/>
          <w:b/>
          <w:noProof/>
          <w:sz w:val="24"/>
          <w:szCs w:val="24"/>
        </w:rPr>
      </w:pPr>
      <w:r>
        <w:rPr>
          <w:rFonts w:ascii="Times New Roman" w:hAnsi="Times New Roman"/>
          <w:b/>
          <w:noProof/>
          <w:sz w:val="24"/>
        </w:rPr>
        <w:lastRenderedPageBreak/>
        <w:t>På vej mod et bæredygtigt Europa i 2030</w:t>
      </w:r>
    </w:p>
    <w:sdt>
      <w:sdtPr>
        <w:rPr>
          <w:rFonts w:asciiTheme="minorHAnsi" w:eastAsiaTheme="minorHAnsi" w:hAnsiTheme="minorHAnsi" w:cstheme="minorBidi"/>
          <w:b w:val="0"/>
          <w:bCs w:val="0"/>
          <w:noProof/>
          <w:color w:val="auto"/>
          <w:sz w:val="22"/>
          <w:szCs w:val="22"/>
        </w:rPr>
        <w:id w:val="-1581522977"/>
        <w:docPartObj>
          <w:docPartGallery w:val="Table of Contents"/>
          <w:docPartUnique/>
        </w:docPartObj>
      </w:sdtPr>
      <w:sdtEndPr/>
      <w:sdtContent>
        <w:p w:rsidR="000E3A3F" w:rsidRDefault="00B958E1">
          <w:pPr>
            <w:pStyle w:val="TOCHeading"/>
            <w:rPr>
              <w:noProof/>
            </w:rPr>
          </w:pPr>
          <w:r>
            <w:rPr>
              <w:noProof/>
            </w:rPr>
            <w:t>Indholdsfortegnelse</w:t>
          </w:r>
        </w:p>
        <w:p w:rsidR="000E3A3F" w:rsidRDefault="00B958E1">
          <w:pPr>
            <w:pStyle w:val="TOC1"/>
            <w:rPr>
              <w:rFonts w:asciiTheme="minorHAnsi" w:hAnsiTheme="minorHAnsi" w:cstheme="minorBidi"/>
              <w:noProof/>
              <w:sz w:val="22"/>
              <w:szCs w:val="22"/>
              <w:lang w:val="en-GB" w:eastAsia="en-GB" w:bidi="ar-SA"/>
            </w:rPr>
          </w:pPr>
          <w:r>
            <w:rPr>
              <w:noProof/>
            </w:rPr>
            <w:tab/>
          </w:r>
          <w:r>
            <w:rPr>
              <w:noProof/>
            </w:rPr>
            <w:fldChar w:fldCharType="begin"/>
          </w:r>
          <w:r>
            <w:rPr>
              <w:noProof/>
            </w:rPr>
            <w:instrText xml:space="preserve"> TOC \o "1-3" \h \z \u </w:instrText>
          </w:r>
          <w:r>
            <w:rPr>
              <w:noProof/>
            </w:rPr>
            <w:fldChar w:fldCharType="separate"/>
          </w:r>
          <w:hyperlink w:anchor="_Toc536627468" w:history="1">
            <w:r>
              <w:rPr>
                <w:rStyle w:val="Hyperlink"/>
                <w:noProof/>
              </w:rPr>
              <w:t xml:space="preserve">Forord af førstenæstformand </w:t>
            </w:r>
            <w:r>
              <w:rPr>
                <w:rStyle w:val="Hyperlink"/>
                <w:noProof/>
              </w:rPr>
              <w:t>Frans Timmermans og næstformand Jyrki Katainen</w:t>
            </w:r>
            <w:r>
              <w:rPr>
                <w:noProof/>
                <w:webHidden/>
              </w:rPr>
              <w:tab/>
            </w:r>
            <w:r>
              <w:rPr>
                <w:noProof/>
                <w:webHidden/>
              </w:rPr>
              <w:fldChar w:fldCharType="begin"/>
            </w:r>
            <w:r>
              <w:rPr>
                <w:noProof/>
                <w:webHidden/>
              </w:rPr>
              <w:instrText xml:space="preserve"> PAGEREF _Toc536627468 \h </w:instrText>
            </w:r>
            <w:r>
              <w:rPr>
                <w:noProof/>
                <w:webHidden/>
              </w:rPr>
            </w:r>
            <w:r>
              <w:rPr>
                <w:noProof/>
                <w:webHidden/>
              </w:rPr>
              <w:fldChar w:fldCharType="separate"/>
            </w:r>
            <w:r>
              <w:rPr>
                <w:noProof/>
                <w:webHidden/>
              </w:rPr>
              <w:t>2</w:t>
            </w:r>
            <w:r>
              <w:rPr>
                <w:noProof/>
                <w:webHidden/>
              </w:rPr>
              <w:fldChar w:fldCharType="end"/>
            </w:r>
          </w:hyperlink>
        </w:p>
        <w:p w:rsidR="000E3A3F" w:rsidRDefault="00B958E1">
          <w:pPr>
            <w:pStyle w:val="TOC1"/>
            <w:ind w:left="440" w:hanging="440"/>
            <w:rPr>
              <w:rFonts w:asciiTheme="minorHAnsi" w:hAnsiTheme="minorHAnsi" w:cstheme="minorBidi"/>
              <w:noProof/>
              <w:sz w:val="22"/>
              <w:szCs w:val="22"/>
              <w:lang w:val="en-GB" w:eastAsia="en-GB" w:bidi="ar-SA"/>
            </w:rPr>
          </w:pPr>
          <w:hyperlink w:anchor="_Toc536627469" w:history="1">
            <w:r>
              <w:rPr>
                <w:rStyle w:val="Hyperlink"/>
                <w:rFonts w:eastAsia="Times New Roman"/>
                <w:noProof/>
              </w:rPr>
              <w:t>1</w:t>
            </w:r>
            <w:r>
              <w:rPr>
                <w:rFonts w:asciiTheme="minorHAnsi" w:hAnsiTheme="minorHAnsi" w:cstheme="minorBidi"/>
                <w:noProof/>
                <w:sz w:val="22"/>
                <w:szCs w:val="22"/>
                <w:lang w:val="en-GB" w:eastAsia="en-GB" w:bidi="ar-SA"/>
              </w:rPr>
              <w:tab/>
            </w:r>
            <w:r>
              <w:rPr>
                <w:rStyle w:val="Hyperlink"/>
                <w:noProof/>
              </w:rPr>
              <w:t>Bæredygtig udvikling som middel til at forbedre folks liv: Europas konkurrence</w:t>
            </w:r>
            <w:r>
              <w:rPr>
                <w:rStyle w:val="Hyperlink"/>
                <w:noProof/>
              </w:rPr>
              <w:t>mæssige fordele</w:t>
            </w:r>
            <w:r>
              <w:rPr>
                <w:noProof/>
                <w:webHidden/>
              </w:rPr>
              <w:tab/>
            </w:r>
            <w:r>
              <w:rPr>
                <w:noProof/>
                <w:webHidden/>
              </w:rPr>
              <w:fldChar w:fldCharType="begin"/>
            </w:r>
            <w:r>
              <w:rPr>
                <w:noProof/>
                <w:webHidden/>
              </w:rPr>
              <w:instrText xml:space="preserve"> PAGEREF _Toc536627469 \h </w:instrText>
            </w:r>
            <w:r>
              <w:rPr>
                <w:noProof/>
                <w:webHidden/>
              </w:rPr>
            </w:r>
            <w:r>
              <w:rPr>
                <w:noProof/>
                <w:webHidden/>
              </w:rPr>
              <w:fldChar w:fldCharType="separate"/>
            </w:r>
            <w:r>
              <w:rPr>
                <w:noProof/>
                <w:webHidden/>
              </w:rPr>
              <w:t>4</w:t>
            </w:r>
            <w:r>
              <w:rPr>
                <w:noProof/>
                <w:webHidden/>
              </w:rPr>
              <w:fldChar w:fldCharType="end"/>
            </w:r>
          </w:hyperlink>
        </w:p>
        <w:p w:rsidR="000E3A3F" w:rsidRDefault="00B958E1">
          <w:pPr>
            <w:pStyle w:val="TOC1"/>
            <w:rPr>
              <w:rFonts w:asciiTheme="minorHAnsi" w:hAnsiTheme="minorHAnsi" w:cstheme="minorBidi"/>
              <w:noProof/>
              <w:sz w:val="22"/>
              <w:szCs w:val="22"/>
              <w:lang w:val="en-GB" w:eastAsia="en-GB" w:bidi="ar-SA"/>
            </w:rPr>
          </w:pPr>
          <w:hyperlink w:anchor="_Toc536627470" w:history="1">
            <w:r>
              <w:rPr>
                <w:rStyle w:val="Hyperlink"/>
                <w:rFonts w:eastAsia="Times New Roman"/>
                <w:noProof/>
              </w:rPr>
              <w:t>2</w:t>
            </w:r>
            <w:r>
              <w:rPr>
                <w:rFonts w:asciiTheme="minorHAnsi" w:hAnsiTheme="minorHAnsi" w:cstheme="minorBidi"/>
                <w:noProof/>
                <w:sz w:val="22"/>
                <w:szCs w:val="22"/>
                <w:lang w:val="en-GB" w:eastAsia="en-GB" w:bidi="ar-SA"/>
              </w:rPr>
              <w:tab/>
            </w:r>
            <w:r>
              <w:rPr>
                <w:rStyle w:val="Hyperlink"/>
                <w:noProof/>
              </w:rPr>
              <w:t>EU og globale udfordringer, der skal tackles</w:t>
            </w:r>
            <w:r>
              <w:rPr>
                <w:noProof/>
                <w:webHidden/>
              </w:rPr>
              <w:tab/>
            </w:r>
            <w:r>
              <w:rPr>
                <w:noProof/>
                <w:webHidden/>
              </w:rPr>
              <w:fldChar w:fldCharType="begin"/>
            </w:r>
            <w:r>
              <w:rPr>
                <w:noProof/>
                <w:webHidden/>
              </w:rPr>
              <w:instrText xml:space="preserve"> PAGEREF _Toc536627470 \h </w:instrText>
            </w:r>
            <w:r>
              <w:rPr>
                <w:noProof/>
                <w:webHidden/>
              </w:rPr>
            </w:r>
            <w:r>
              <w:rPr>
                <w:noProof/>
                <w:webHidden/>
              </w:rPr>
              <w:fldChar w:fldCharType="separate"/>
            </w:r>
            <w:r>
              <w:rPr>
                <w:noProof/>
                <w:webHidden/>
              </w:rPr>
              <w:t>8</w:t>
            </w:r>
            <w:r>
              <w:rPr>
                <w:noProof/>
                <w:webHidden/>
              </w:rPr>
              <w:fldChar w:fldCharType="end"/>
            </w:r>
          </w:hyperlink>
        </w:p>
        <w:p w:rsidR="000E3A3F" w:rsidRDefault="00B958E1">
          <w:pPr>
            <w:pStyle w:val="TOC1"/>
            <w:rPr>
              <w:rFonts w:asciiTheme="minorHAnsi" w:hAnsiTheme="minorHAnsi" w:cstheme="minorBidi"/>
              <w:noProof/>
              <w:sz w:val="22"/>
              <w:szCs w:val="22"/>
              <w:lang w:val="en-GB" w:eastAsia="en-GB" w:bidi="ar-SA"/>
            </w:rPr>
          </w:pPr>
          <w:hyperlink w:anchor="_Toc536627471" w:history="1">
            <w:r>
              <w:rPr>
                <w:rStyle w:val="Hyperlink"/>
                <w:rFonts w:eastAsia="Times New Roman"/>
                <w:noProof/>
              </w:rPr>
              <w:t>3</w:t>
            </w:r>
            <w:r>
              <w:rPr>
                <w:rFonts w:asciiTheme="minorHAnsi" w:hAnsiTheme="minorHAnsi" w:cstheme="minorBidi"/>
                <w:noProof/>
                <w:sz w:val="22"/>
                <w:szCs w:val="22"/>
                <w:lang w:val="en-GB" w:eastAsia="en-GB" w:bidi="ar-SA"/>
              </w:rPr>
              <w:tab/>
            </w:r>
            <w:r>
              <w:rPr>
                <w:rStyle w:val="Hyperlink"/>
                <w:noProof/>
              </w:rPr>
              <w:t>På vej mod et bæredygtigt Europa i 2030</w:t>
            </w:r>
            <w:r>
              <w:rPr>
                <w:noProof/>
                <w:webHidden/>
              </w:rPr>
              <w:tab/>
            </w:r>
            <w:r>
              <w:rPr>
                <w:noProof/>
                <w:webHidden/>
              </w:rPr>
              <w:fldChar w:fldCharType="begin"/>
            </w:r>
            <w:r>
              <w:rPr>
                <w:noProof/>
                <w:webHidden/>
              </w:rPr>
              <w:instrText xml:space="preserve"> PAGEREF _Toc536627471 \h </w:instrText>
            </w:r>
            <w:r>
              <w:rPr>
                <w:noProof/>
                <w:webHidden/>
              </w:rPr>
            </w:r>
            <w:r>
              <w:rPr>
                <w:noProof/>
                <w:webHidden/>
              </w:rPr>
              <w:fldChar w:fldCharType="separate"/>
            </w:r>
            <w:r>
              <w:rPr>
                <w:noProof/>
                <w:webHidden/>
              </w:rPr>
              <w:t>15</w:t>
            </w:r>
            <w:r>
              <w:rPr>
                <w:noProof/>
                <w:webHidden/>
              </w:rPr>
              <w:fldChar w:fldCharType="end"/>
            </w:r>
          </w:hyperlink>
        </w:p>
        <w:p w:rsidR="000E3A3F" w:rsidRDefault="00B958E1">
          <w:pPr>
            <w:pStyle w:val="TOC2"/>
            <w:rPr>
              <w:rFonts w:eastAsiaTheme="minorEastAsia"/>
              <w:noProof/>
              <w:lang w:val="en-GB" w:eastAsia="en-GB" w:bidi="ar-SA"/>
            </w:rPr>
          </w:pPr>
          <w:hyperlink w:anchor="_Toc536627472" w:history="1">
            <w:r>
              <w:rPr>
                <w:rStyle w:val="Hyperlink"/>
                <w:noProof/>
              </w:rPr>
              <w:t>3.1</w:t>
            </w:r>
            <w:r>
              <w:rPr>
                <w:rFonts w:eastAsiaTheme="minorEastAsia"/>
                <w:noProof/>
                <w:lang w:val="en-GB" w:eastAsia="en-GB" w:bidi="ar-SA"/>
              </w:rPr>
              <w:tab/>
            </w:r>
            <w:r>
              <w:rPr>
                <w:rStyle w:val="Hyperlink"/>
                <w:noProof/>
              </w:rPr>
              <w:t>Politisk fundament for en bæredygtig fremtid</w:t>
            </w:r>
            <w:r>
              <w:rPr>
                <w:noProof/>
                <w:webHidden/>
              </w:rPr>
              <w:tab/>
            </w:r>
            <w:r>
              <w:rPr>
                <w:noProof/>
                <w:webHidden/>
              </w:rPr>
              <w:fldChar w:fldCharType="begin"/>
            </w:r>
            <w:r>
              <w:rPr>
                <w:noProof/>
                <w:webHidden/>
              </w:rPr>
              <w:instrText xml:space="preserve"> PAGEREF _Toc5366</w:instrText>
            </w:r>
            <w:r>
              <w:rPr>
                <w:noProof/>
                <w:webHidden/>
              </w:rPr>
              <w:instrText xml:space="preserve">27472 \h </w:instrText>
            </w:r>
            <w:r>
              <w:rPr>
                <w:noProof/>
                <w:webHidden/>
              </w:rPr>
            </w:r>
            <w:r>
              <w:rPr>
                <w:noProof/>
                <w:webHidden/>
              </w:rPr>
              <w:fldChar w:fldCharType="separate"/>
            </w:r>
            <w:r>
              <w:rPr>
                <w:noProof/>
                <w:webHidden/>
              </w:rPr>
              <w:t>17</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3" w:history="1">
            <w:r>
              <w:rPr>
                <w:rStyle w:val="Hyperlink"/>
                <w:noProof/>
              </w:rPr>
              <w:t>3.1.1</w:t>
            </w:r>
            <w:r>
              <w:rPr>
                <w:rFonts w:eastAsiaTheme="minorEastAsia"/>
                <w:noProof/>
                <w:lang w:val="en-GB" w:eastAsia="en-GB" w:bidi="ar-SA"/>
              </w:rPr>
              <w:tab/>
            </w:r>
            <w:r>
              <w:rPr>
                <w:rStyle w:val="Hyperlink"/>
                <w:noProof/>
              </w:rPr>
              <w:t>Fra lineær til cirkulær økonomi</w:t>
            </w:r>
            <w:r>
              <w:rPr>
                <w:noProof/>
                <w:webHidden/>
              </w:rPr>
              <w:tab/>
            </w:r>
            <w:r>
              <w:rPr>
                <w:noProof/>
                <w:webHidden/>
              </w:rPr>
              <w:fldChar w:fldCharType="begin"/>
            </w:r>
            <w:r>
              <w:rPr>
                <w:noProof/>
                <w:webHidden/>
              </w:rPr>
              <w:instrText xml:space="preserve"> PAGEREF _Toc536627473 \h </w:instrText>
            </w:r>
            <w:r>
              <w:rPr>
                <w:noProof/>
                <w:webHidden/>
              </w:rPr>
            </w:r>
            <w:r>
              <w:rPr>
                <w:noProof/>
                <w:webHidden/>
              </w:rPr>
              <w:fldChar w:fldCharType="separate"/>
            </w:r>
            <w:r>
              <w:rPr>
                <w:noProof/>
                <w:webHidden/>
              </w:rPr>
              <w:t>17</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4" w:history="1">
            <w:r>
              <w:rPr>
                <w:rStyle w:val="Hyperlink"/>
                <w:noProof/>
              </w:rPr>
              <w:t>3.1.2</w:t>
            </w:r>
            <w:r>
              <w:rPr>
                <w:rFonts w:eastAsiaTheme="minorEastAsia"/>
                <w:noProof/>
                <w:lang w:val="en-GB" w:eastAsia="en-GB" w:bidi="ar-SA"/>
              </w:rPr>
              <w:tab/>
            </w:r>
            <w:r>
              <w:rPr>
                <w:rStyle w:val="Hyperlink"/>
                <w:noProof/>
              </w:rPr>
              <w:t>Bæredygtighed fra gård til gaffel</w:t>
            </w:r>
            <w:r>
              <w:rPr>
                <w:noProof/>
                <w:webHidden/>
              </w:rPr>
              <w:tab/>
            </w:r>
            <w:r>
              <w:rPr>
                <w:noProof/>
                <w:webHidden/>
              </w:rPr>
              <w:fldChar w:fldCharType="begin"/>
            </w:r>
            <w:r>
              <w:rPr>
                <w:noProof/>
                <w:webHidden/>
              </w:rPr>
              <w:instrText xml:space="preserve"> PAGEREF _Toc536627474 \h </w:instrText>
            </w:r>
            <w:r>
              <w:rPr>
                <w:noProof/>
                <w:webHidden/>
              </w:rPr>
            </w:r>
            <w:r>
              <w:rPr>
                <w:noProof/>
                <w:webHidden/>
              </w:rPr>
              <w:fldChar w:fldCharType="separate"/>
            </w:r>
            <w:r>
              <w:rPr>
                <w:noProof/>
                <w:webHidden/>
              </w:rPr>
              <w:t>20</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5" w:history="1">
            <w:r>
              <w:rPr>
                <w:rStyle w:val="Hyperlink"/>
                <w:noProof/>
              </w:rPr>
              <w:t>3.1.3</w:t>
            </w:r>
            <w:r>
              <w:rPr>
                <w:rFonts w:eastAsiaTheme="minorEastAsia"/>
                <w:noProof/>
                <w:lang w:val="en-GB" w:eastAsia="en-GB" w:bidi="ar-SA"/>
              </w:rPr>
              <w:tab/>
            </w:r>
            <w:r>
              <w:rPr>
                <w:rStyle w:val="Hyperlink"/>
                <w:noProof/>
              </w:rPr>
              <w:t>Fremtidssikret energi, byggeri og mobilitet</w:t>
            </w:r>
            <w:r>
              <w:rPr>
                <w:noProof/>
                <w:webHidden/>
              </w:rPr>
              <w:tab/>
            </w:r>
            <w:r>
              <w:rPr>
                <w:noProof/>
                <w:webHidden/>
              </w:rPr>
              <w:fldChar w:fldCharType="begin"/>
            </w:r>
            <w:r>
              <w:rPr>
                <w:noProof/>
                <w:webHidden/>
              </w:rPr>
              <w:instrText xml:space="preserve"> PAGEREF _Toc536627475 \h </w:instrText>
            </w:r>
            <w:r>
              <w:rPr>
                <w:noProof/>
                <w:webHidden/>
              </w:rPr>
            </w:r>
            <w:r>
              <w:rPr>
                <w:noProof/>
                <w:webHidden/>
              </w:rPr>
              <w:fldChar w:fldCharType="separate"/>
            </w:r>
            <w:r>
              <w:rPr>
                <w:noProof/>
                <w:webHidden/>
              </w:rPr>
              <w:t>22</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6" w:history="1">
            <w:r>
              <w:rPr>
                <w:rStyle w:val="Hyperlink"/>
                <w:noProof/>
              </w:rPr>
              <w:t>3.1.4</w:t>
            </w:r>
            <w:r>
              <w:rPr>
                <w:rFonts w:eastAsiaTheme="minorEastAsia"/>
                <w:noProof/>
                <w:lang w:val="en-GB" w:eastAsia="en-GB" w:bidi="ar-SA"/>
              </w:rPr>
              <w:tab/>
            </w:r>
            <w:r>
              <w:rPr>
                <w:rStyle w:val="Hyperlink"/>
                <w:noProof/>
              </w:rPr>
              <w:t>Sikring af en socialt retfærdig omstilling</w:t>
            </w:r>
            <w:r>
              <w:rPr>
                <w:noProof/>
                <w:webHidden/>
              </w:rPr>
              <w:tab/>
            </w:r>
            <w:r>
              <w:rPr>
                <w:noProof/>
                <w:webHidden/>
              </w:rPr>
              <w:fldChar w:fldCharType="begin"/>
            </w:r>
            <w:r>
              <w:rPr>
                <w:noProof/>
                <w:webHidden/>
              </w:rPr>
              <w:instrText xml:space="preserve"> PAGEREF _Toc536627476 \h </w:instrText>
            </w:r>
            <w:r>
              <w:rPr>
                <w:noProof/>
                <w:webHidden/>
              </w:rPr>
            </w:r>
            <w:r>
              <w:rPr>
                <w:noProof/>
                <w:webHidden/>
              </w:rPr>
              <w:fldChar w:fldCharType="separate"/>
            </w:r>
            <w:r>
              <w:rPr>
                <w:noProof/>
                <w:webHidden/>
              </w:rPr>
              <w:t>25</w:t>
            </w:r>
            <w:r>
              <w:rPr>
                <w:noProof/>
                <w:webHidden/>
              </w:rPr>
              <w:fldChar w:fldCharType="end"/>
            </w:r>
          </w:hyperlink>
        </w:p>
        <w:p w:rsidR="000E3A3F" w:rsidRDefault="00B958E1">
          <w:pPr>
            <w:pStyle w:val="TOC2"/>
            <w:rPr>
              <w:rFonts w:eastAsiaTheme="minorEastAsia"/>
              <w:noProof/>
              <w:lang w:val="en-GB" w:eastAsia="en-GB" w:bidi="ar-SA"/>
            </w:rPr>
          </w:pPr>
          <w:hyperlink w:anchor="_Toc536627477" w:history="1">
            <w:r>
              <w:rPr>
                <w:rStyle w:val="Hyperlink"/>
                <w:noProof/>
              </w:rPr>
              <w:t>3.2</w:t>
            </w:r>
            <w:r>
              <w:rPr>
                <w:rFonts w:eastAsiaTheme="minorEastAsia"/>
                <w:noProof/>
                <w:lang w:val="en-GB" w:eastAsia="en-GB" w:bidi="ar-SA"/>
              </w:rPr>
              <w:tab/>
            </w:r>
            <w:r>
              <w:rPr>
                <w:rStyle w:val="Hyperlink"/>
                <w:noProof/>
              </w:rPr>
              <w:t>Horisontale katalysatorer for en omstilling til bære</w:t>
            </w:r>
            <w:r>
              <w:rPr>
                <w:rStyle w:val="Hyperlink"/>
                <w:noProof/>
              </w:rPr>
              <w:t>dygtighed</w:t>
            </w:r>
            <w:r>
              <w:rPr>
                <w:noProof/>
                <w:webHidden/>
              </w:rPr>
              <w:tab/>
            </w:r>
            <w:r>
              <w:rPr>
                <w:noProof/>
                <w:webHidden/>
              </w:rPr>
              <w:fldChar w:fldCharType="begin"/>
            </w:r>
            <w:r>
              <w:rPr>
                <w:noProof/>
                <w:webHidden/>
              </w:rPr>
              <w:instrText xml:space="preserve"> PAGEREF _Toc536627477 \h </w:instrText>
            </w:r>
            <w:r>
              <w:rPr>
                <w:noProof/>
                <w:webHidden/>
              </w:rPr>
            </w:r>
            <w:r>
              <w:rPr>
                <w:noProof/>
                <w:webHidden/>
              </w:rPr>
              <w:fldChar w:fldCharType="separate"/>
            </w:r>
            <w:r>
              <w:rPr>
                <w:noProof/>
                <w:webHidden/>
              </w:rPr>
              <w:t>28</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8" w:history="1">
            <w:r>
              <w:rPr>
                <w:rStyle w:val="Hyperlink"/>
                <w:noProof/>
              </w:rPr>
              <w:t>3.2.1</w:t>
            </w:r>
            <w:r>
              <w:rPr>
                <w:rFonts w:eastAsiaTheme="minorEastAsia"/>
                <w:noProof/>
                <w:lang w:val="en-GB" w:eastAsia="en-GB" w:bidi="ar-SA"/>
              </w:rPr>
              <w:tab/>
            </w:r>
            <w:r>
              <w:rPr>
                <w:rStyle w:val="Hyperlink"/>
                <w:noProof/>
              </w:rPr>
              <w:t>Uddannelse, videnskab, teknologi, forskning, innovation og digitalisering</w:t>
            </w:r>
            <w:r>
              <w:rPr>
                <w:noProof/>
                <w:webHidden/>
              </w:rPr>
              <w:tab/>
            </w:r>
            <w:r>
              <w:rPr>
                <w:noProof/>
                <w:webHidden/>
              </w:rPr>
              <w:fldChar w:fldCharType="begin"/>
            </w:r>
            <w:r>
              <w:rPr>
                <w:noProof/>
                <w:webHidden/>
              </w:rPr>
              <w:instrText xml:space="preserve"> PAGEREF _Toc536627478 \h </w:instrText>
            </w:r>
            <w:r>
              <w:rPr>
                <w:noProof/>
                <w:webHidden/>
              </w:rPr>
            </w:r>
            <w:r>
              <w:rPr>
                <w:noProof/>
                <w:webHidden/>
              </w:rPr>
              <w:fldChar w:fldCharType="separate"/>
            </w:r>
            <w:r>
              <w:rPr>
                <w:noProof/>
                <w:webHidden/>
              </w:rPr>
              <w:t>28</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79" w:history="1">
            <w:r>
              <w:rPr>
                <w:rStyle w:val="Hyperlink"/>
                <w:noProof/>
              </w:rPr>
              <w:t>3.2.2</w:t>
            </w:r>
            <w:r>
              <w:rPr>
                <w:rFonts w:eastAsiaTheme="minorEastAsia"/>
                <w:noProof/>
                <w:lang w:val="en-GB" w:eastAsia="en-GB" w:bidi="ar-SA"/>
              </w:rPr>
              <w:tab/>
            </w:r>
            <w:r>
              <w:rPr>
                <w:rStyle w:val="Hyperlink"/>
                <w:noProof/>
              </w:rPr>
              <w:t>Finansiering, prissætning, beskatning og konkurrence</w:t>
            </w:r>
            <w:r>
              <w:rPr>
                <w:noProof/>
                <w:webHidden/>
              </w:rPr>
              <w:tab/>
            </w:r>
            <w:r>
              <w:rPr>
                <w:noProof/>
                <w:webHidden/>
              </w:rPr>
              <w:fldChar w:fldCharType="begin"/>
            </w:r>
            <w:r>
              <w:rPr>
                <w:noProof/>
                <w:webHidden/>
              </w:rPr>
              <w:instrText xml:space="preserve"> PAGEREF _Toc536627479 \h </w:instrText>
            </w:r>
            <w:r>
              <w:rPr>
                <w:noProof/>
                <w:webHidden/>
              </w:rPr>
            </w:r>
            <w:r>
              <w:rPr>
                <w:noProof/>
                <w:webHidden/>
              </w:rPr>
              <w:fldChar w:fldCharType="separate"/>
            </w:r>
            <w:r>
              <w:rPr>
                <w:noProof/>
                <w:webHidden/>
              </w:rPr>
              <w:t>30</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80" w:history="1">
            <w:r>
              <w:rPr>
                <w:rStyle w:val="Hyperlink"/>
                <w:noProof/>
              </w:rPr>
              <w:t>3.2.3</w:t>
            </w:r>
            <w:r>
              <w:rPr>
                <w:rFonts w:eastAsiaTheme="minorEastAsia"/>
                <w:noProof/>
                <w:lang w:val="en-GB" w:eastAsia="en-GB" w:bidi="ar-SA"/>
              </w:rPr>
              <w:tab/>
            </w:r>
            <w:r>
              <w:rPr>
                <w:rStyle w:val="Hyperlink"/>
                <w:noProof/>
              </w:rPr>
              <w:t>Ansvarlig forretningsskik, virksomhedernes sociale ansvar og nye forretningsmodeller</w:t>
            </w:r>
            <w:r>
              <w:rPr>
                <w:noProof/>
                <w:webHidden/>
              </w:rPr>
              <w:tab/>
            </w:r>
            <w:r>
              <w:rPr>
                <w:noProof/>
                <w:webHidden/>
              </w:rPr>
              <w:fldChar w:fldCharType="begin"/>
            </w:r>
            <w:r>
              <w:rPr>
                <w:noProof/>
                <w:webHidden/>
              </w:rPr>
              <w:instrText xml:space="preserve"> PAGEREF _Toc536627480 \h </w:instrText>
            </w:r>
            <w:r>
              <w:rPr>
                <w:noProof/>
                <w:webHidden/>
              </w:rPr>
            </w:r>
            <w:r>
              <w:rPr>
                <w:noProof/>
                <w:webHidden/>
              </w:rPr>
              <w:fldChar w:fldCharType="separate"/>
            </w:r>
            <w:r>
              <w:rPr>
                <w:noProof/>
                <w:webHidden/>
              </w:rPr>
              <w:t>34</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81" w:history="1">
            <w:r>
              <w:rPr>
                <w:rStyle w:val="Hyperlink"/>
                <w:noProof/>
              </w:rPr>
              <w:t>3.2.4</w:t>
            </w:r>
            <w:r>
              <w:rPr>
                <w:rFonts w:eastAsiaTheme="minorEastAsia"/>
                <w:noProof/>
                <w:lang w:val="en-GB" w:eastAsia="en-GB" w:bidi="ar-SA"/>
              </w:rPr>
              <w:tab/>
            </w:r>
            <w:r>
              <w:rPr>
                <w:rStyle w:val="Hyperlink"/>
                <w:noProof/>
              </w:rPr>
              <w:t>Åben og regelbaseret handel</w:t>
            </w:r>
            <w:r>
              <w:rPr>
                <w:noProof/>
                <w:webHidden/>
              </w:rPr>
              <w:tab/>
            </w:r>
            <w:r>
              <w:rPr>
                <w:noProof/>
                <w:webHidden/>
              </w:rPr>
              <w:fldChar w:fldCharType="begin"/>
            </w:r>
            <w:r>
              <w:rPr>
                <w:noProof/>
                <w:webHidden/>
              </w:rPr>
              <w:instrText xml:space="preserve"> PAGEREF _Toc536627481 \h </w:instrText>
            </w:r>
            <w:r>
              <w:rPr>
                <w:noProof/>
                <w:webHidden/>
              </w:rPr>
            </w:r>
            <w:r>
              <w:rPr>
                <w:noProof/>
                <w:webHidden/>
              </w:rPr>
              <w:fldChar w:fldCharType="separate"/>
            </w:r>
            <w:r>
              <w:rPr>
                <w:noProof/>
                <w:webHidden/>
              </w:rPr>
              <w:t>35</w:t>
            </w:r>
            <w:r>
              <w:rPr>
                <w:noProof/>
                <w:webHidden/>
              </w:rPr>
              <w:fldChar w:fldCharType="end"/>
            </w:r>
          </w:hyperlink>
        </w:p>
        <w:p w:rsidR="000E3A3F" w:rsidRDefault="00B958E1">
          <w:pPr>
            <w:pStyle w:val="TOC3"/>
            <w:tabs>
              <w:tab w:val="left" w:pos="1320"/>
              <w:tab w:val="right" w:leader="dot" w:pos="9062"/>
            </w:tabs>
            <w:rPr>
              <w:rFonts w:eastAsiaTheme="minorEastAsia"/>
              <w:noProof/>
              <w:lang w:val="en-GB" w:eastAsia="en-GB" w:bidi="ar-SA"/>
            </w:rPr>
          </w:pPr>
          <w:hyperlink w:anchor="_Toc536627482" w:history="1">
            <w:r>
              <w:rPr>
                <w:rStyle w:val="Hyperlink"/>
                <w:noProof/>
              </w:rPr>
              <w:t>3.2.5</w:t>
            </w:r>
            <w:r>
              <w:rPr>
                <w:rFonts w:eastAsiaTheme="minorEastAsia"/>
                <w:noProof/>
                <w:lang w:val="en-GB" w:eastAsia="en-GB" w:bidi="ar-SA"/>
              </w:rPr>
              <w:tab/>
            </w:r>
            <w:r>
              <w:rPr>
                <w:rStyle w:val="Hyperlink"/>
                <w:noProof/>
              </w:rPr>
              <w:t>Styring og sikring af sammenhæng i politikkerne på alle niveauer</w:t>
            </w:r>
            <w:r>
              <w:rPr>
                <w:noProof/>
                <w:webHidden/>
              </w:rPr>
              <w:tab/>
            </w:r>
            <w:r>
              <w:rPr>
                <w:noProof/>
                <w:webHidden/>
              </w:rPr>
              <w:fldChar w:fldCharType="begin"/>
            </w:r>
            <w:r>
              <w:rPr>
                <w:noProof/>
                <w:webHidden/>
              </w:rPr>
              <w:instrText xml:space="preserve"> PAGEREF _Toc536627482 \h </w:instrText>
            </w:r>
            <w:r>
              <w:rPr>
                <w:noProof/>
                <w:webHidden/>
              </w:rPr>
            </w:r>
            <w:r>
              <w:rPr>
                <w:noProof/>
                <w:webHidden/>
              </w:rPr>
              <w:fldChar w:fldCharType="separate"/>
            </w:r>
            <w:r>
              <w:rPr>
                <w:noProof/>
                <w:webHidden/>
              </w:rPr>
              <w:t>3</w:t>
            </w:r>
            <w:r>
              <w:rPr>
                <w:noProof/>
                <w:webHidden/>
              </w:rPr>
              <w:t>6</w:t>
            </w:r>
            <w:r>
              <w:rPr>
                <w:noProof/>
                <w:webHidden/>
              </w:rPr>
              <w:fldChar w:fldCharType="end"/>
            </w:r>
          </w:hyperlink>
        </w:p>
        <w:p w:rsidR="000E3A3F" w:rsidRDefault="00B958E1">
          <w:pPr>
            <w:pStyle w:val="TOC1"/>
            <w:rPr>
              <w:rFonts w:asciiTheme="minorHAnsi" w:hAnsiTheme="minorHAnsi" w:cstheme="minorBidi"/>
              <w:noProof/>
              <w:sz w:val="22"/>
              <w:szCs w:val="22"/>
              <w:lang w:val="en-GB" w:eastAsia="en-GB" w:bidi="ar-SA"/>
            </w:rPr>
          </w:pPr>
          <w:hyperlink w:anchor="_Toc536627483" w:history="1">
            <w:r>
              <w:rPr>
                <w:rStyle w:val="Hyperlink"/>
                <w:rFonts w:eastAsia="Times New Roman"/>
                <w:noProof/>
              </w:rPr>
              <w:t>4</w:t>
            </w:r>
            <w:r>
              <w:rPr>
                <w:rFonts w:asciiTheme="minorHAnsi" w:hAnsiTheme="minorHAnsi" w:cstheme="minorBidi"/>
                <w:noProof/>
                <w:sz w:val="22"/>
                <w:szCs w:val="22"/>
                <w:lang w:val="en-GB" w:eastAsia="en-GB" w:bidi="ar-SA"/>
              </w:rPr>
              <w:tab/>
            </w:r>
            <w:r>
              <w:rPr>
                <w:rStyle w:val="Hyperlink"/>
                <w:noProof/>
              </w:rPr>
              <w:t>EU som global pioner inden for bæredygtig udvikling</w:t>
            </w:r>
            <w:r>
              <w:rPr>
                <w:noProof/>
                <w:webHidden/>
              </w:rPr>
              <w:tab/>
            </w:r>
            <w:r>
              <w:rPr>
                <w:noProof/>
                <w:webHidden/>
              </w:rPr>
              <w:fldChar w:fldCharType="begin"/>
            </w:r>
            <w:r>
              <w:rPr>
                <w:noProof/>
                <w:webHidden/>
              </w:rPr>
              <w:instrText xml:space="preserve"> PAGEREF _Toc536627483 \h </w:instrText>
            </w:r>
            <w:r>
              <w:rPr>
                <w:noProof/>
                <w:webHidden/>
              </w:rPr>
            </w:r>
            <w:r>
              <w:rPr>
                <w:noProof/>
                <w:webHidden/>
              </w:rPr>
              <w:fldChar w:fldCharType="separate"/>
            </w:r>
            <w:r>
              <w:rPr>
                <w:noProof/>
                <w:webHidden/>
              </w:rPr>
              <w:t>39</w:t>
            </w:r>
            <w:r>
              <w:rPr>
                <w:noProof/>
                <w:webHidden/>
              </w:rPr>
              <w:fldChar w:fldCharType="end"/>
            </w:r>
          </w:hyperlink>
        </w:p>
        <w:p w:rsidR="000E3A3F" w:rsidRDefault="00B958E1">
          <w:pPr>
            <w:pStyle w:val="TOC1"/>
            <w:rPr>
              <w:rFonts w:asciiTheme="minorHAnsi" w:hAnsiTheme="minorHAnsi" w:cstheme="minorBidi"/>
              <w:noProof/>
              <w:sz w:val="22"/>
              <w:szCs w:val="22"/>
              <w:lang w:val="en-GB" w:eastAsia="en-GB" w:bidi="ar-SA"/>
            </w:rPr>
          </w:pPr>
          <w:hyperlink w:anchor="_Toc536627484" w:history="1">
            <w:r>
              <w:rPr>
                <w:rStyle w:val="Hyperlink"/>
                <w:rFonts w:eastAsia="Times New Roman"/>
                <w:noProof/>
              </w:rPr>
              <w:t>5</w:t>
            </w:r>
            <w:r>
              <w:rPr>
                <w:rFonts w:asciiTheme="minorHAnsi" w:hAnsiTheme="minorHAnsi" w:cstheme="minorBidi"/>
                <w:noProof/>
                <w:sz w:val="22"/>
                <w:szCs w:val="22"/>
                <w:lang w:val="en-GB" w:eastAsia="en-GB" w:bidi="ar-SA"/>
              </w:rPr>
              <w:tab/>
            </w:r>
            <w:r>
              <w:rPr>
                <w:rStyle w:val="Hyperlink"/>
                <w:noProof/>
              </w:rPr>
              <w:t>Fremtidsscenarier</w:t>
            </w:r>
            <w:r>
              <w:rPr>
                <w:noProof/>
                <w:webHidden/>
              </w:rPr>
              <w:tab/>
            </w:r>
            <w:r>
              <w:rPr>
                <w:noProof/>
                <w:webHidden/>
              </w:rPr>
              <w:fldChar w:fldCharType="begin"/>
            </w:r>
            <w:r>
              <w:rPr>
                <w:noProof/>
                <w:webHidden/>
              </w:rPr>
              <w:instrText xml:space="preserve"> PAGEREF _Toc536627484 \h </w:instrText>
            </w:r>
            <w:r>
              <w:rPr>
                <w:noProof/>
                <w:webHidden/>
              </w:rPr>
            </w:r>
            <w:r>
              <w:rPr>
                <w:noProof/>
                <w:webHidden/>
              </w:rPr>
              <w:fldChar w:fldCharType="separate"/>
            </w:r>
            <w:r>
              <w:rPr>
                <w:noProof/>
                <w:webHidden/>
              </w:rPr>
              <w:t>41</w:t>
            </w:r>
            <w:r>
              <w:rPr>
                <w:noProof/>
                <w:webHidden/>
              </w:rPr>
              <w:fldChar w:fldCharType="end"/>
            </w:r>
          </w:hyperlink>
        </w:p>
        <w:p w:rsidR="000E3A3F" w:rsidRDefault="00B958E1">
          <w:pPr>
            <w:rPr>
              <w:noProof/>
            </w:rPr>
          </w:pPr>
          <w:r>
            <w:rPr>
              <w:b/>
              <w:bCs/>
              <w:noProof/>
            </w:rPr>
            <w:fldChar w:fldCharType="end"/>
          </w:r>
        </w:p>
      </w:sdtContent>
    </w:sdt>
    <w:p w:rsidR="000E3A3F" w:rsidRDefault="000E3A3F">
      <w:pPr>
        <w:pStyle w:val="Heading1"/>
        <w:numPr>
          <w:ilvl w:val="0"/>
          <w:numId w:val="0"/>
        </w:numPr>
        <w:spacing w:before="240" w:after="240"/>
        <w:rPr>
          <w:rFonts w:ascii="Times New Roman" w:hAnsi="Times New Roman" w:cs="Times New Roman"/>
          <w:noProof/>
          <w:sz w:val="24"/>
          <w:szCs w:val="24"/>
        </w:rPr>
      </w:pPr>
    </w:p>
    <w:p w:rsidR="000E3A3F" w:rsidRDefault="000E3A3F">
      <w:pPr>
        <w:rPr>
          <w:rFonts w:ascii="Times New Roman" w:hAnsi="Times New Roman" w:cs="Times New Roman"/>
          <w:noProof/>
          <w:sz w:val="24"/>
          <w:szCs w:val="24"/>
        </w:rPr>
      </w:pPr>
    </w:p>
    <w:p w:rsidR="000E3A3F" w:rsidRDefault="000E3A3F">
      <w:pPr>
        <w:rPr>
          <w:rFonts w:ascii="Times New Roman" w:hAnsi="Times New Roman" w:cs="Times New Roman"/>
          <w:noProof/>
          <w:sz w:val="24"/>
          <w:szCs w:val="24"/>
        </w:rPr>
      </w:pPr>
    </w:p>
    <w:p w:rsidR="000E3A3F" w:rsidRDefault="00B958E1">
      <w:pPr>
        <w:rPr>
          <w:rFonts w:ascii="Times New Roman" w:hAnsi="Times New Roman" w:cs="Times New Roman"/>
          <w:noProof/>
          <w:sz w:val="24"/>
          <w:szCs w:val="24"/>
        </w:rPr>
      </w:pPr>
      <w:r>
        <w:rPr>
          <w:noProof/>
        </w:rPr>
        <w:br w:type="page"/>
      </w:r>
    </w:p>
    <w:p w:rsidR="000E3A3F" w:rsidRDefault="00B958E1">
      <w:pPr>
        <w:pStyle w:val="Heading1"/>
        <w:numPr>
          <w:ilvl w:val="0"/>
          <w:numId w:val="0"/>
        </w:numPr>
        <w:ind w:left="360"/>
        <w:rPr>
          <w:rFonts w:eastAsia="Times New Roman"/>
          <w:noProof/>
        </w:rPr>
      </w:pPr>
      <w:bookmarkStart w:id="1" w:name="_Toc536442036"/>
      <w:bookmarkStart w:id="2" w:name="_Toc536627468"/>
      <w:r>
        <w:rPr>
          <w:noProof/>
        </w:rPr>
        <w:lastRenderedPageBreak/>
        <w:t xml:space="preserve">Forord af førstenæstformand </w:t>
      </w:r>
      <w:r>
        <w:rPr>
          <w:noProof/>
        </w:rPr>
        <w:t>Frans Timmermans og næstformand Jyrki Katainen</w:t>
      </w:r>
      <w:bookmarkEnd w:id="1"/>
      <w:bookmarkEnd w:id="2"/>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Vi europæere kan være stolte af vores resultater. Gennem integration og tæt samarbejde har vi skabt hidtil uset rigdom, høje sociale standarder og fantastiske muligheder for vores borgere. Vi har forankret vor</w:t>
      </w:r>
      <w:r>
        <w:rPr>
          <w:rFonts w:ascii="Times New Roman" w:hAnsi="Times New Roman"/>
          <w:noProof/>
          <w:color w:val="000000"/>
          <w:sz w:val="24"/>
        </w:rPr>
        <w:t>es fælles principper og værdier såsom demokrati, menneskerettigheder og retsstatsprincippet i vores traktater og skabt en Europæisk Union, der er hel og fri.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Denne succes skyldes det faktum, at europæere sætter barren højt. Vores stærke demokratiske kultu</w:t>
      </w:r>
      <w:r>
        <w:rPr>
          <w:rFonts w:ascii="Times New Roman" w:hAnsi="Times New Roman"/>
          <w:noProof/>
          <w:color w:val="000000"/>
          <w:sz w:val="24"/>
        </w:rPr>
        <w:t>r ansporer til intense debatter og med god ret. For dette er ikke tiden til at læne sig tilbage i selvtilfredshed og lade historien gå sin gang. Der er konstant behov for at forbedre levestandarden for alle europæere, at beskytte og forsvare borgerne bedre</w:t>
      </w:r>
      <w:r>
        <w:rPr>
          <w:rFonts w:ascii="Times New Roman" w:hAnsi="Times New Roman"/>
          <w:noProof/>
          <w:color w:val="000000"/>
          <w:sz w:val="24"/>
        </w:rPr>
        <w:t xml:space="preserve"> og give dem mere indflydelse samt styrke deres sikkerhedsfølelse i forhold til forskellige trusler, uanset om disse skyldes terrorisme eller klimaændringer.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Verden er i konstant forandring, og vi står midt i den fjerde industrielle revolution. Alting ænd</w:t>
      </w:r>
      <w:r>
        <w:rPr>
          <w:rFonts w:ascii="Times New Roman" w:hAnsi="Times New Roman"/>
          <w:noProof/>
          <w:color w:val="000000"/>
          <w:sz w:val="24"/>
        </w:rPr>
        <w:t>rer sig for alle. Det strider mod sund fornuft, hvis man lader som om, at dette ikke er tilfældet. Spørgsmålet er, om vi er ofre for forandringer, eller om vi vil omfavne dem og styre dem. Europæerne står over for presserende udfordringer såsom miljøforrin</w:t>
      </w:r>
      <w:r>
        <w:rPr>
          <w:rFonts w:ascii="Times New Roman" w:hAnsi="Times New Roman"/>
          <w:noProof/>
          <w:color w:val="000000"/>
          <w:sz w:val="24"/>
        </w:rPr>
        <w:t>gelse og klimaændringer, demografisk omstilling, migration, ulighed og pres på de offentlige finanser. Borgerne er bekymret for deres egen og deres børns fremtid. Vi er i færd med at oparbejde en økologisk gæld, som påvirker alting. Fremtidige generationer</w:t>
      </w:r>
      <w:r>
        <w:rPr>
          <w:rFonts w:ascii="Times New Roman" w:hAnsi="Times New Roman"/>
          <w:noProof/>
          <w:color w:val="000000"/>
          <w:sz w:val="24"/>
        </w:rPr>
        <w:t xml:space="preserve"> vil være tvunget til at tilbagebetale denne gæld med høje renter, hvis vi ikke øger vores indsats.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Det er Den Europæiske Unions pligt at tjene europæerne, ikke omvendt. Den Europæiske Union skal hurtigt og effektivt hjælpe folk med at udleve deres drømme</w:t>
      </w:r>
      <w:r>
        <w:rPr>
          <w:rFonts w:ascii="Times New Roman" w:hAnsi="Times New Roman"/>
          <w:noProof/>
          <w:color w:val="000000"/>
          <w:sz w:val="24"/>
        </w:rPr>
        <w:t xml:space="preserve"> og tage hånd om deres bekymringer. Første skridt er at diagnosticere situationen og se realiteterne og kendsgerningernes ubestridelighed i øjnene. Disse kendsgerninger bør dog ikke fylde os med bekymringer og frygt, men snarere inspirere os.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Mange af dis</w:t>
      </w:r>
      <w:r>
        <w:rPr>
          <w:rFonts w:ascii="Times New Roman" w:hAnsi="Times New Roman"/>
          <w:noProof/>
          <w:color w:val="000000"/>
          <w:sz w:val="24"/>
        </w:rPr>
        <w:t>se bekymringer vedrører udfordringer, der rækker ud over grænser og bringer jobs, vores velstand, vores levestandarder, vores frihed og vores sundhed i fare. Ingen stat eller nation kan håndtere disse udfordringer effektivt alene. Vi har brug for Den Europ</w:t>
      </w:r>
      <w:r>
        <w:rPr>
          <w:rFonts w:ascii="Times New Roman" w:hAnsi="Times New Roman"/>
          <w:noProof/>
          <w:color w:val="000000"/>
          <w:sz w:val="24"/>
        </w:rPr>
        <w:t>æiske Unions størrelse, som – når medlemsstaterne står sammen og handler beslutsomt – er en global magtfaktor. Men i sidste ende vil selv en samlet indsats på europæisk plan ikke være nok; vi har behov for en dagsorden med global virkning, og denne dagsord</w:t>
      </w:r>
      <w:r>
        <w:rPr>
          <w:rFonts w:ascii="Times New Roman" w:hAnsi="Times New Roman"/>
          <w:noProof/>
          <w:color w:val="000000"/>
          <w:sz w:val="24"/>
        </w:rPr>
        <w:t>en indfanges bedst af de 17 mål for bæredygtig udvikling, som 193 stater blev enige om, herunder Den Europæiske Union og dens medlemsstater. Disse mål for bæredygtig udvikling indtegner en rute for, hvordan vi løser de udfordringer, som vi står overfor, og</w:t>
      </w:r>
      <w:r>
        <w:rPr>
          <w:rFonts w:ascii="Times New Roman" w:hAnsi="Times New Roman"/>
          <w:noProof/>
          <w:color w:val="000000"/>
          <w:sz w:val="24"/>
        </w:rPr>
        <w:t xml:space="preserve"> hvordan vi forbedrer vores omgivelser og vores liv.</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Bæredygtig udvikling er et kompliceret spørgsmål, men et enkelt koncept: Det handler om at sørge for, at vores økonomiske vækst gør det muligt for os at opretholde en model, der skaber hæderlige resultat</w:t>
      </w:r>
      <w:r>
        <w:rPr>
          <w:rFonts w:ascii="Times New Roman" w:hAnsi="Times New Roman"/>
          <w:noProof/>
          <w:color w:val="000000"/>
          <w:sz w:val="24"/>
        </w:rPr>
        <w:t>er for hele menneskeheden, og om at sikre, at mennesker ikke forbruger flere ressourcer, end jorden kan tilbyde. Dette betyder, at vi er nødt til at modernisere vores økonomi, så den tager bæredygtige forbrugs- og produktionsmønstre til sig, korrigerer uba</w:t>
      </w:r>
      <w:r>
        <w:rPr>
          <w:rFonts w:ascii="Times New Roman" w:hAnsi="Times New Roman"/>
          <w:noProof/>
          <w:color w:val="000000"/>
          <w:sz w:val="24"/>
        </w:rPr>
        <w:t>lancerne i vores fødevaresystem og bringer vores mobilitet og</w:t>
      </w:r>
      <w:r>
        <w:rPr>
          <w:rFonts w:ascii="Times New Roman" w:hAnsi="Times New Roman"/>
          <w:noProof/>
          <w:sz w:val="24"/>
        </w:rPr>
        <w:t xml:space="preserve"> </w:t>
      </w:r>
      <w:r>
        <w:rPr>
          <w:rFonts w:ascii="Times New Roman" w:hAnsi="Times New Roman"/>
          <w:noProof/>
          <w:color w:val="000000"/>
          <w:sz w:val="24"/>
        </w:rPr>
        <w:t xml:space="preserve">den måde, hvorpå vi genererer og anvender energi og udformer vores bygninger, over i et </w:t>
      </w:r>
      <w:r>
        <w:rPr>
          <w:rFonts w:ascii="Times New Roman" w:hAnsi="Times New Roman"/>
          <w:noProof/>
          <w:color w:val="000000"/>
          <w:sz w:val="24"/>
        </w:rPr>
        <w:lastRenderedPageBreak/>
        <w:t>bæredygtigt spor. Hvis vi skal nå dette mål, er vi også nødt til at målrette hele vores videnskabelige ind</w:t>
      </w:r>
      <w:r>
        <w:rPr>
          <w:rFonts w:ascii="Times New Roman" w:hAnsi="Times New Roman"/>
          <w:noProof/>
          <w:color w:val="000000"/>
          <w:sz w:val="24"/>
        </w:rPr>
        <w:t>sats, vores finansielle midler, beskatning og styreform til at nå målene for bæredygtig udvikling.</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Dette er ikke et spørgsmål om højre eller venstre, det er et spørgsmål om rigtigt eller forkert. Heldigvis har Den Europæiske Union takket være sine store konkurrencemæssige fordele et godt udgangspunkt. Europa har udviklet nogle af verdens højeste miljøst</w:t>
      </w:r>
      <w:r>
        <w:rPr>
          <w:rFonts w:ascii="Times New Roman" w:hAnsi="Times New Roman"/>
          <w:noProof/>
          <w:color w:val="000000"/>
          <w:sz w:val="24"/>
        </w:rPr>
        <w:t xml:space="preserve">andarder, gennemført ambitiøse klimapolitikker og kæmpet for Parisaftalen om klimaændringer. Gennem sine eksterne politikker og sin åbne, regelbaserede handelsdagsorden har Den Europæiske Union også delt bæredygtige løsninger med tredjelande.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Den Europæis</w:t>
      </w:r>
      <w:r>
        <w:rPr>
          <w:rFonts w:ascii="Times New Roman" w:hAnsi="Times New Roman"/>
          <w:noProof/>
          <w:color w:val="000000"/>
          <w:sz w:val="24"/>
        </w:rPr>
        <w:t>ke Union blev grundlagt på præmissen om, at "verdensfreden kun vil kunne sikres gennem skabende kræfter, der står mål med de farer, der truer den", som Robert Schuman så elegant formulerede det for 70 år siden. I dag kan vi føje "vores befolkningers velvær</w:t>
      </w:r>
      <w:r>
        <w:rPr>
          <w:rFonts w:ascii="Times New Roman" w:hAnsi="Times New Roman"/>
          <w:noProof/>
          <w:color w:val="000000"/>
          <w:sz w:val="24"/>
        </w:rPr>
        <w:t xml:space="preserve">e og overlevelse" til "verdensfreden". </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Bæredygtighedsdagsordenen er en positiv dagsorden, fordi den handler om at gøre folks liv bedre. Europa har alle forudsætninger for at tackle den største af alle udfordringer. Vi kan gøre dette – sammen. Det, vi har </w:t>
      </w:r>
      <w:r>
        <w:rPr>
          <w:rFonts w:ascii="Times New Roman" w:hAnsi="Times New Roman"/>
          <w:noProof/>
          <w:color w:val="000000"/>
          <w:sz w:val="24"/>
        </w:rPr>
        <w:t>brug for, er alles engagement og den politiske vilje til at gennemføre. Samtidig med at andre bevæger sig baglænds, skal Europa nu bevæge sig fremad, forbedre sin konkurrenceevne, investere i bæredygtig vækst og vise vejen fremad for resten af verden.</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Det </w:t>
      </w:r>
      <w:r>
        <w:rPr>
          <w:rFonts w:ascii="Times New Roman" w:hAnsi="Times New Roman"/>
          <w:noProof/>
          <w:color w:val="000000"/>
          <w:sz w:val="24"/>
        </w:rPr>
        <w:t>er ikke nok at have en vision, vi er også nødt til at nå til enighed om en konkret vej til målet. Dette oplæg er vores bidrag til denne debat.</w:t>
      </w:r>
    </w:p>
    <w:p w:rsidR="000E3A3F" w:rsidRDefault="00B958E1">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Vi var ikke blevet færdige med det uden europæiske interessenters uvurderlige input. Civilsamfundet, den private </w:t>
      </w:r>
      <w:r>
        <w:rPr>
          <w:rFonts w:ascii="Times New Roman" w:hAnsi="Times New Roman"/>
          <w:noProof/>
          <w:color w:val="000000"/>
          <w:sz w:val="24"/>
        </w:rPr>
        <w:t>sektor og akademiske kredse er en del af denne debat. Multiinteressentplatformen på højt niveau om målene for bæredygtig udvikling, som Europa-Kommissionen oprettede i 2017, har været en meget positiv øvelse i at samle tværgående idéer.</w:t>
      </w:r>
    </w:p>
    <w:p w:rsidR="000E3A3F" w:rsidRDefault="00B958E1">
      <w:pPr>
        <w:spacing w:before="100" w:beforeAutospacing="1" w:after="100" w:afterAutospacing="1" w:line="240" w:lineRule="auto"/>
        <w:ind w:left="360"/>
        <w:jc w:val="both"/>
        <w:rPr>
          <w:rFonts w:ascii="Times New Roman" w:hAnsi="Times New Roman"/>
          <w:noProof/>
          <w:color w:val="000000"/>
          <w:sz w:val="24"/>
        </w:rPr>
      </w:pPr>
      <w:r>
        <w:rPr>
          <w:rFonts w:ascii="Times New Roman" w:hAnsi="Times New Roman"/>
          <w:noProof/>
          <w:color w:val="000000"/>
          <w:sz w:val="24"/>
        </w:rPr>
        <w:t>De spørgsmål, der t</w:t>
      </w:r>
      <w:r>
        <w:rPr>
          <w:rFonts w:ascii="Times New Roman" w:hAnsi="Times New Roman"/>
          <w:noProof/>
          <w:color w:val="000000"/>
          <w:sz w:val="24"/>
        </w:rPr>
        <w:t xml:space="preserve">ages op i dette oplæg, har til formål at oplyse en debat blandt borgere, interessenter, regeringer og institutioner i de kommende måneder med henblik på at inspirere debatten om Europas fremtid, udarbejdelsen af Den Europæiske Unions strategiske dagsorden </w:t>
      </w:r>
      <w:r>
        <w:rPr>
          <w:rFonts w:ascii="Times New Roman" w:hAnsi="Times New Roman"/>
          <w:noProof/>
          <w:color w:val="000000"/>
          <w:sz w:val="24"/>
        </w:rPr>
        <w:t>for 2019-2024 og den næste Europa-Kommissions fastlæggelse af prioriteter.</w:t>
      </w:r>
    </w:p>
    <w:p w:rsidR="000E3A3F" w:rsidRDefault="000E3A3F">
      <w:pPr>
        <w:spacing w:before="100" w:beforeAutospacing="1" w:after="100" w:afterAutospacing="1" w:line="240" w:lineRule="auto"/>
        <w:ind w:left="360"/>
        <w:jc w:val="both"/>
        <w:rPr>
          <w:rFonts w:ascii="Times New Roman" w:hAnsi="Times New Roman"/>
          <w:noProof/>
          <w:color w:val="000000"/>
          <w:sz w:val="24"/>
        </w:rPr>
      </w:pPr>
    </w:p>
    <w:p w:rsidR="000E3A3F" w:rsidRDefault="000E3A3F">
      <w:pPr>
        <w:spacing w:before="100" w:beforeAutospacing="1" w:after="100" w:afterAutospacing="1" w:line="240" w:lineRule="auto"/>
        <w:ind w:left="360"/>
        <w:jc w:val="both"/>
        <w:rPr>
          <w:rFonts w:ascii="Times New Roman" w:hAnsi="Times New Roman"/>
          <w:noProof/>
          <w:color w:val="000000"/>
          <w:sz w:val="24"/>
        </w:rPr>
      </w:pPr>
    </w:p>
    <w:p w:rsidR="000E3A3F" w:rsidRDefault="000E3A3F">
      <w:pPr>
        <w:spacing w:before="100" w:beforeAutospacing="1" w:after="100" w:afterAutospacing="1" w:line="240" w:lineRule="auto"/>
        <w:ind w:left="360"/>
        <w:jc w:val="both"/>
        <w:rPr>
          <w:rFonts w:ascii="Times New Roman" w:hAnsi="Times New Roman"/>
          <w:noProof/>
          <w:color w:val="000000"/>
          <w:sz w:val="24"/>
        </w:rPr>
      </w:pPr>
    </w:p>
    <w:p w:rsidR="000E3A3F" w:rsidRDefault="000E3A3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p>
    <w:p w:rsidR="000E3A3F" w:rsidRDefault="00B958E1">
      <w:pPr>
        <w:pStyle w:val="Heading1"/>
        <w:rPr>
          <w:rFonts w:eastAsia="Times New Roman"/>
          <w:noProof/>
        </w:rPr>
      </w:pPr>
      <w:bookmarkStart w:id="3" w:name="_Toc536442037"/>
      <w:bookmarkStart w:id="4" w:name="_Toc536627469"/>
      <w:r>
        <w:rPr>
          <w:noProof/>
        </w:rPr>
        <w:t>Bæredygtig udvikling som middel til at forbedre folks liv: Europas konkurrencemæssige fordele</w:t>
      </w:r>
      <w:bookmarkEnd w:id="3"/>
      <w:bookmarkEnd w:id="4"/>
    </w:p>
    <w:p w:rsidR="000E3A3F" w:rsidRDefault="000E3A3F">
      <w:pPr>
        <w:spacing w:line="240" w:lineRule="auto"/>
        <w:jc w:val="both"/>
        <w:rPr>
          <w:rFonts w:ascii="Times New Roman" w:hAnsi="Times New Roman" w:cs="Times New Roman"/>
          <w:noProof/>
          <w:sz w:val="14"/>
          <w:szCs w:val="1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På FN's generalforsamling i september 2015 undertegnede lande fra hele verden 2030</w:t>
      </w:r>
      <w:r>
        <w:rPr>
          <w:rFonts w:ascii="Times New Roman" w:hAnsi="Times New Roman"/>
          <w:noProof/>
          <w:sz w:val="24"/>
        </w:rPr>
        <w:t>-dagsordenen for bæredygtig udvikling (FN's 2030-dagsorden) og dens 17 mål for bæredygtig udvikling og nåede til enighed om en konkret "to-do-liste for mennesker og planet"</w:t>
      </w:r>
      <w:r>
        <w:rPr>
          <w:rStyle w:val="FootnoteReference"/>
          <w:rFonts w:ascii="Times New Roman" w:hAnsi="Times New Roman"/>
          <w:noProof/>
          <w:sz w:val="24"/>
        </w:rPr>
        <w:footnoteReference w:id="1"/>
      </w:r>
      <w:r>
        <w:rPr>
          <w:rFonts w:ascii="Times New Roman" w:hAnsi="Times New Roman"/>
          <w:noProof/>
          <w:sz w:val="24"/>
        </w:rPr>
        <w:t>. Verdens ledere forpligtede sig til at udrydde fattigdom, beskytte planeten og sikre, at alle mennesker kan leve i fred og velstand. Målene for bæredygtig udvikling udgør sammen med Parisaftalen om klimaændringer køreplanen for en bedre verden og den glob</w:t>
      </w:r>
      <w:r>
        <w:rPr>
          <w:rFonts w:ascii="Times New Roman" w:hAnsi="Times New Roman"/>
          <w:noProof/>
          <w:sz w:val="24"/>
        </w:rPr>
        <w:t xml:space="preserve">ale ramme for internationalt samarbejde om bæredygtig udvikling og dens økonomiske, sociale, miljømæssige og ledelsesmæssige dimensioner. EU var en af de førende kræfter bag FN's 2030-dagsorden og har engageret sig fuldt ud i gennemførelsen af den.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Bæredy</w:t>
      </w:r>
      <w:r>
        <w:rPr>
          <w:rFonts w:ascii="Times New Roman" w:hAnsi="Times New Roman"/>
          <w:noProof/>
          <w:sz w:val="24"/>
        </w:rPr>
        <w:t>gtig udvikling – den udvikling, som opfylder nuværende generationers behov uden at bringe kommende generationers muligheder for at opfylde deres behov i fare – er dybt rodfæstet i det europæiske projekt. Europæisk integration og EU's politikker har været m</w:t>
      </w:r>
      <w:r>
        <w:rPr>
          <w:rFonts w:ascii="Times New Roman" w:hAnsi="Times New Roman"/>
          <w:noProof/>
          <w:sz w:val="24"/>
        </w:rPr>
        <w:t>ed til at overvinde fattigdom og hungersnød i efterkrigstiden og har skabt et område med frihed og demokrati, hvor europæiske borgere har haft mulighed for at opnå velstand og velvære på et hidtil uset niveau.</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 har konstant stræbt efter mere inklusive sa</w:t>
      </w:r>
      <w:r>
        <w:rPr>
          <w:rFonts w:ascii="Times New Roman" w:hAnsi="Times New Roman"/>
          <w:noProof/>
          <w:sz w:val="24"/>
        </w:rPr>
        <w:t>mfund, som bygger på demokrati og retsstatsprincippet som afspejlet i artikel 2 i traktaten om Den Europæiske Union</w:t>
      </w:r>
      <w:r>
        <w:rPr>
          <w:rStyle w:val="FootnoteReference"/>
          <w:rFonts w:ascii="Times New Roman" w:hAnsi="Times New Roman"/>
          <w:noProof/>
          <w:sz w:val="24"/>
        </w:rPr>
        <w:footnoteReference w:id="2"/>
      </w:r>
      <w:r>
        <w:rPr>
          <w:rFonts w:ascii="Times New Roman" w:hAnsi="Times New Roman"/>
          <w:noProof/>
          <w:sz w:val="24"/>
        </w:rPr>
        <w:t xml:space="preserve">. EU's sociale standarder og sundhedsstandarder er blandt de mest ambitiøse i verden, og </w:t>
      </w:r>
      <w:r>
        <w:rPr>
          <w:rFonts w:ascii="Times New Roman" w:hAnsi="Times New Roman"/>
          <w:noProof/>
          <w:color w:val="000000"/>
          <w:sz w:val="24"/>
        </w:rPr>
        <w:t>Europa er det kontinent, der har den højeste forven</w:t>
      </w:r>
      <w:r>
        <w:rPr>
          <w:rFonts w:ascii="Times New Roman" w:hAnsi="Times New Roman"/>
          <w:noProof/>
          <w:color w:val="000000"/>
          <w:sz w:val="24"/>
        </w:rPr>
        <w:t>tede levetid.</w:t>
      </w:r>
      <w:r>
        <w:rPr>
          <w:rFonts w:ascii="Times New Roman" w:hAnsi="Times New Roman"/>
          <w:noProof/>
          <w:sz w:val="24"/>
        </w:rPr>
        <w:t xml:space="preserve"> Vores sociale markedsøkonomi har skabt velstand og sørget for sikkerhed takket være stærke velfærdssystemer. Væsentlige investeringer i forskning og innovation har drevet nye teknologier og produktionsmodeller og muliggjort en mere bæredygtig</w:t>
      </w:r>
      <w:r>
        <w:rPr>
          <w:rFonts w:ascii="Times New Roman" w:hAnsi="Times New Roman"/>
          <w:noProof/>
          <w:sz w:val="24"/>
        </w:rPr>
        <w:t xml:space="preserve"> anvendelse af ressourcer og udbredelse af digitale løsninger. Sunde budgetter og moderne økonomier er af afgørende betydning; fremskridt i retning af sunde finanspolitikker og strukturreformer har nedbragt gældsniveauerne og stimuleret jobskabelsen. Beskæ</w:t>
      </w:r>
      <w:r>
        <w:rPr>
          <w:rFonts w:ascii="Times New Roman" w:hAnsi="Times New Roman"/>
          <w:noProof/>
          <w:sz w:val="24"/>
        </w:rPr>
        <w:t>ftigelsesfrekvensen for personer i alderen 20-64 år steg til 73,5 % i tredje kvartal af 2018, hvilket er det højeste niveau nogensinde i EU. Dette har haft en positiv virkning på produktiviteten og væksten i Europa. Selv om der stadig findes økonomiske, so</w:t>
      </w:r>
      <w:r>
        <w:rPr>
          <w:rFonts w:ascii="Times New Roman" w:hAnsi="Times New Roman"/>
          <w:noProof/>
          <w:sz w:val="24"/>
        </w:rPr>
        <w:t>ciale og territoriale forskelle mellem EU-medlemsstater og regioner</w:t>
      </w:r>
      <w:r>
        <w:rPr>
          <w:rStyle w:val="FootnoteReference"/>
          <w:rFonts w:ascii="Times New Roman" w:hAnsi="Times New Roman"/>
          <w:noProof/>
          <w:sz w:val="24"/>
        </w:rPr>
        <w:footnoteReference w:id="3"/>
      </w:r>
      <w:r>
        <w:rPr>
          <w:rFonts w:ascii="Times New Roman" w:hAnsi="Times New Roman"/>
          <w:noProof/>
          <w:sz w:val="24"/>
        </w:rPr>
        <w:t xml:space="preserve">, har EU's samhørighedspolitik hjulpet alle med at vokse og mindske disse afvigelser over hele kontinentet (opadgående konvergens). EU har derudover fastsat nogle af de højeste sociale og </w:t>
      </w:r>
      <w:r>
        <w:rPr>
          <w:rFonts w:ascii="Times New Roman" w:hAnsi="Times New Roman"/>
          <w:noProof/>
          <w:sz w:val="24"/>
        </w:rPr>
        <w:t>miljømæssige standarder, indført nogle af de mest ambitiøse politikker for at beskytte menneskers sundhed og er blevet den globale forkæmper i bekæmpelsen af klimaændringer. EU's medlemsstater har gjort bemærkelsesværdige fremskridt inden for mange områder</w:t>
      </w:r>
      <w:r>
        <w:rPr>
          <w:rFonts w:ascii="Times New Roman" w:hAnsi="Times New Roman"/>
          <w:noProof/>
          <w:sz w:val="24"/>
        </w:rPr>
        <w:t xml:space="preserve"> af FN's 2030-dagsorden, og som et resultat heraf er EU et af de bedste steder i verden at bo, hvis ikke det bedste.</w:t>
      </w:r>
    </w:p>
    <w:p w:rsidR="000E3A3F" w:rsidRDefault="00B958E1">
      <w:pPr>
        <w:spacing w:line="240" w:lineRule="auto"/>
        <w:jc w:val="center"/>
        <w:rPr>
          <w:rFonts w:ascii="Times New Roman" w:hAnsi="Times New Roman" w:cs="Times New Roman"/>
          <w:noProof/>
          <w:sz w:val="24"/>
          <w:szCs w:val="24"/>
        </w:rPr>
      </w:pPr>
      <w:bookmarkStart w:id="5" w:name="_GoBack"/>
      <w:bookmarkEnd w:id="5"/>
      <w:r>
        <w:rPr>
          <w:noProof/>
          <w:lang w:val="en-GB" w:eastAsia="en-GB" w:bidi="ar-SA"/>
        </w:rPr>
        <w:drawing>
          <wp:inline distT="0" distB="0" distL="0" distR="0">
            <wp:extent cx="2842260" cy="1775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2260" cy="1775460"/>
                    </a:xfrm>
                    <a:prstGeom prst="rect">
                      <a:avLst/>
                    </a:prstGeom>
                  </pic:spPr>
                </pic:pic>
              </a:graphicData>
            </a:graphic>
          </wp:inline>
        </w:drawing>
      </w:r>
    </w:p>
    <w:p w:rsidR="000E3A3F" w:rsidRDefault="000E3A3F">
      <w:pPr>
        <w:spacing w:line="240" w:lineRule="auto"/>
        <w:jc w:val="center"/>
        <w:rPr>
          <w:rFonts w:ascii="Times New Roman" w:hAnsi="Times New Roman" w:cs="Times New Roman"/>
          <w:i/>
          <w:noProof/>
          <w:sz w:val="24"/>
          <w:szCs w:val="24"/>
        </w:rPr>
      </w:pPr>
    </w:p>
    <w:p w:rsidR="000E3A3F" w:rsidRDefault="000E3A3F">
      <w:pPr>
        <w:spacing w:line="240" w:lineRule="auto"/>
        <w:jc w:val="both"/>
        <w:rPr>
          <w:rFonts w:ascii="Times New Roman" w:hAnsi="Times New Roman" w:cs="Times New Roman"/>
          <w:i/>
          <w:noProof/>
          <w:sz w:val="24"/>
          <w:szCs w:val="24"/>
        </w:rPr>
      </w:pPr>
    </w:p>
    <w:p w:rsidR="000E3A3F" w:rsidRDefault="00B958E1">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Den Europæiske Union er et af de bedste steder at bo</w:t>
      </w:r>
    </w:p>
    <w:p w:rsidR="000E3A3F" w:rsidRDefault="00B958E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 xml:space="preserve">Ni EU-27-medlemsstater er placeret blandt de 20 lande i verden, som har den </w:t>
      </w:r>
      <w:r>
        <w:rPr>
          <w:rFonts w:ascii="Times New Roman" w:hAnsi="Times New Roman"/>
          <w:noProof/>
          <w:sz w:val="24"/>
        </w:rPr>
        <w:t>lykkeligste befolkning, med Finland på en førsteplads</w:t>
      </w:r>
      <w:r>
        <w:rPr>
          <w:rStyle w:val="FootnoteReference"/>
          <w:rFonts w:ascii="Times New Roman" w:hAnsi="Times New Roman"/>
          <w:noProof/>
          <w:sz w:val="24"/>
        </w:rPr>
        <w:footnoteReference w:id="4"/>
      </w:r>
      <w:r>
        <w:rPr>
          <w:rFonts w:ascii="Times New Roman" w:hAnsi="Times New Roman"/>
          <w:noProof/>
          <w:sz w:val="24"/>
        </w:rPr>
        <w:t xml:space="preserve">.  </w:t>
      </w:r>
    </w:p>
    <w:p w:rsidR="000E3A3F" w:rsidRDefault="00B958E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Den overordnede livstilfredshed i EU, som er baseret på EU-borgeres subjektive velvære, ligger på 70 %</w:t>
      </w:r>
      <w:r>
        <w:rPr>
          <w:rStyle w:val="FootnoteReference"/>
          <w:rFonts w:ascii="Times New Roman" w:hAnsi="Times New Roman"/>
          <w:noProof/>
          <w:sz w:val="24"/>
        </w:rPr>
        <w:footnoteReference w:id="5"/>
      </w:r>
      <w:r>
        <w:rPr>
          <w:rFonts w:ascii="Times New Roman" w:hAnsi="Times New Roman"/>
          <w:noProof/>
          <w:sz w:val="24"/>
        </w:rPr>
        <w:t>.</w:t>
      </w:r>
    </w:p>
    <w:p w:rsidR="000E3A3F" w:rsidRDefault="00B958E1">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 xml:space="preserve">Elleve EU-27-medlemsstater ligger i den globale top-20 på Det Europæiske Ungdomsforums Youth </w:t>
      </w:r>
      <w:r>
        <w:rPr>
          <w:rFonts w:ascii="Times New Roman" w:hAnsi="Times New Roman"/>
          <w:noProof/>
          <w:sz w:val="24"/>
        </w:rPr>
        <w:t>Progress Index</w:t>
      </w:r>
      <w:r>
        <w:rPr>
          <w:rStyle w:val="FootnoteReference"/>
          <w:rFonts w:ascii="Times New Roman" w:hAnsi="Times New Roman"/>
          <w:noProof/>
          <w:sz w:val="24"/>
        </w:rPr>
        <w:footnoteReference w:id="6"/>
      </w:r>
      <w:r>
        <w:rPr>
          <w:rFonts w:ascii="Times New Roman" w:hAnsi="Times New Roman"/>
          <w:noProof/>
          <w:sz w:val="24"/>
        </w:rPr>
        <w:t>. Youth Progress Index er et af de første instrumenter, der er udviklet med henblik på uafhængigt af økonomiske indikatorer at fortælle hele sandheden om, hvordan livet er for et ungt menneske i dag. </w:t>
      </w:r>
    </w:p>
    <w:p w:rsidR="000E3A3F" w:rsidRDefault="000E3A3F">
      <w:pPr>
        <w:spacing w:line="240" w:lineRule="auto"/>
        <w:jc w:val="both"/>
        <w:rPr>
          <w:rFonts w:ascii="Times New Roman" w:hAnsi="Times New Roman" w:cs="Times New Roman"/>
          <w:noProof/>
          <w:sz w:val="24"/>
          <w:szCs w:val="24"/>
        </w:rPr>
      </w:pPr>
    </w:p>
    <w:p w:rsidR="000E3A3F" w:rsidRDefault="000E3A3F">
      <w:pPr>
        <w:spacing w:line="240" w:lineRule="auto"/>
        <w:jc w:val="both"/>
        <w:rPr>
          <w:rFonts w:ascii="Times New Roman" w:hAnsi="Times New Roman" w:cs="Times New Roman"/>
          <w:noProof/>
          <w:sz w:val="24"/>
          <w:szCs w:val="24"/>
        </w:rPr>
      </w:pPr>
    </w:p>
    <w:p w:rsidR="000E3A3F" w:rsidRDefault="00B958E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834640" cy="17068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4640" cy="1706880"/>
                    </a:xfrm>
                    <a:prstGeom prst="rect">
                      <a:avLst/>
                    </a:prstGeom>
                  </pic:spPr>
                </pic:pic>
              </a:graphicData>
            </a:graphic>
          </wp:inline>
        </w:drawing>
      </w:r>
    </w:p>
    <w:p w:rsidR="000E3A3F" w:rsidRDefault="000E3A3F">
      <w:pPr>
        <w:spacing w:line="240" w:lineRule="auto"/>
        <w:jc w:val="center"/>
        <w:rPr>
          <w:rFonts w:ascii="Times New Roman" w:hAnsi="Times New Roman" w:cs="Times New Roman"/>
          <w:noProof/>
          <w:sz w:val="24"/>
          <w:szCs w:val="24"/>
        </w:rPr>
      </w:pPr>
    </w:p>
    <w:p w:rsidR="000E3A3F" w:rsidRDefault="00B958E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025140" cy="6012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25140" cy="6012180"/>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Intet er dog nogensinde færdigt e</w:t>
      </w:r>
      <w:r>
        <w:rPr>
          <w:rFonts w:ascii="Times New Roman" w:hAnsi="Times New Roman"/>
          <w:noProof/>
          <w:sz w:val="24"/>
        </w:rPr>
        <w:t>ller permanent fastlagt. Vores demokrati, økonomi og naturlige miljø har behov for en løbende indsats for at konsolidere det, vi har opnået, overvinde den økonomiske og finansielle krises negative virkning helt, afkoble forbedringer af vores sundhed, velfæ</w:t>
      </w:r>
      <w:r>
        <w:rPr>
          <w:rFonts w:ascii="Times New Roman" w:hAnsi="Times New Roman"/>
          <w:noProof/>
          <w:sz w:val="24"/>
        </w:rPr>
        <w:t>rd og velvære fra forringelse af miljøet, overvinde sociale uligheder og håndtere udfordringer, som ikke kender nogen grænser.</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Vi befinder os midt i den fjerde industrielle revolution, og forandringerne vil påvirke alle. Spørgsmålet er, om vi bliver i stan</w:t>
      </w:r>
      <w:r>
        <w:rPr>
          <w:rFonts w:ascii="Times New Roman" w:hAnsi="Times New Roman"/>
          <w:noProof/>
          <w:sz w:val="24"/>
        </w:rPr>
        <w:t>d til at lede og styre indsatsen i overensstemmelse med vores værdier og interesser. EU og medlemsstaterne har væsentlige konkurrencemæssige fordele, som gør det muligt for os at tage styringen og modernisere vores økonomier, sikre vores naturlige miljø og</w:t>
      </w:r>
      <w:r>
        <w:rPr>
          <w:rFonts w:ascii="Times New Roman" w:hAnsi="Times New Roman"/>
          <w:noProof/>
          <w:sz w:val="24"/>
        </w:rPr>
        <w:t xml:space="preserve"> forbedre alle europæeres sundhed og velvære. At gøre dette vil kræve, at vi tager målene for bæredygtig udvikling til os, samtidig med at vi investerer yderligere i færdigheder, innovation og nye teknologier, og dermed bidrager til at drive omstillingen a</w:t>
      </w:r>
      <w:r>
        <w:rPr>
          <w:rFonts w:ascii="Times New Roman" w:hAnsi="Times New Roman"/>
          <w:noProof/>
          <w:sz w:val="24"/>
        </w:rPr>
        <w:t xml:space="preserve">f vores økonomi og samfund over i et bæredygtigt spor.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Vi er nødt til at overveje, hvordan vi skal udvikle vores produktions- og forbrugsmønstre. Vi er nødt til at handle nu, hvis vi skal stoppe den globale opvarmning og tabet af økosystemer og biodiversi</w:t>
      </w:r>
      <w:r>
        <w:rPr>
          <w:rFonts w:ascii="Times New Roman" w:hAnsi="Times New Roman"/>
          <w:noProof/>
          <w:sz w:val="24"/>
        </w:rPr>
        <w:t>tet, som truer vores velvære, udsigter til bæredygtig vækst og selve livet på denne planet. Selv om vi har kapacitet til at gøre dette, har vi ikke den luksus at have meget tid til vores rådighed. Til trods for de fremskridt, der er gjort, findes der stadi</w:t>
      </w:r>
      <w:r>
        <w:rPr>
          <w:rFonts w:ascii="Times New Roman" w:hAnsi="Times New Roman"/>
          <w:noProof/>
          <w:sz w:val="24"/>
        </w:rPr>
        <w:t xml:space="preserve">g omfattende uligheder og territoriale forskelle. Det er vigtigt at håndtere dette for at skabe et retfærdigt samfund, men også for at beskytte og styrke den sociale sammenhængskraft og sikre social og politisk stabilitet i og mellem medlemsstaterne i EU.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Derudover er en respekteret og effektiv regelbaseret multilateral verdensorden den bedste modgift mod jungleloven i en anarkistisk verden fyldt med atomvåben, ekstremisme og begrænsede ressourcer. Der findes i stigende grad en farlig nationalistisk strømn</w:t>
      </w:r>
      <w:r>
        <w:rPr>
          <w:rFonts w:ascii="Times New Roman" w:hAnsi="Times New Roman"/>
          <w:noProof/>
          <w:sz w:val="24"/>
        </w:rPr>
        <w:t>ing af "mit land først", som kan føre til ufred og konflikt. Flere lande er begyndt at vende ryggen til deres globale forpligtelser med hensyn til menneskelig velfærd, sikkerhed, miljøbeskyttelse og klimaindsats og vender dermed op og ned på en regelbasere</w:t>
      </w:r>
      <w:r>
        <w:rPr>
          <w:rFonts w:ascii="Times New Roman" w:hAnsi="Times New Roman"/>
          <w:noProof/>
          <w:sz w:val="24"/>
        </w:rPr>
        <w:t xml:space="preserve">t orden.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Målene for bæredygtig udvikling er ikke et mål i sig selv, men de fungerer som vores kompas og kort. De tilbyder det nødvendige langsigtede perspektiv, som strækker sig ud over valgperioder og kortsigtede hensyn til hurtige gevinster. De er med t</w:t>
      </w:r>
      <w:r>
        <w:rPr>
          <w:rFonts w:ascii="Times New Roman" w:hAnsi="Times New Roman"/>
          <w:noProof/>
          <w:sz w:val="24"/>
        </w:rPr>
        <w:t xml:space="preserve">il at vejlede os, så vi kan opretholde solide demokratier og opbygge moderne og dynamiske økonomier, og bidrager til en verden med bedre levestandarder, stadig mindre uligheder og sikkerhed for, at ingen efterlades, samtidig med at de virkelig respekterer </w:t>
      </w:r>
      <w:r>
        <w:rPr>
          <w:rFonts w:ascii="Times New Roman" w:hAnsi="Times New Roman"/>
          <w:noProof/>
          <w:sz w:val="24"/>
        </w:rPr>
        <w:t xml:space="preserve">vores planets begrænsninger og sikrer den for fremtidige generationer. </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noProof/>
          <w:lang w:val="en-GB" w:eastAsia="en-GB" w:bidi="ar-SA"/>
        </w:rPr>
        <w:drawing>
          <wp:inline distT="0" distB="0" distL="0" distR="0">
            <wp:extent cx="5760720" cy="241122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411222"/>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Siden starten af sin mandatperiode har Juncker-Kommissionen arbejdet på at gøre bæredygtig udvikling til mainstream i sine politikker</w:t>
      </w:r>
      <w:r>
        <w:rPr>
          <w:rStyle w:val="FootnoteReference"/>
          <w:rFonts w:ascii="Times New Roman" w:hAnsi="Times New Roman"/>
          <w:noProof/>
          <w:sz w:val="24"/>
        </w:rPr>
        <w:footnoteReference w:id="7"/>
      </w:r>
      <w:r>
        <w:rPr>
          <w:rFonts w:ascii="Times New Roman" w:hAnsi="Times New Roman"/>
          <w:noProof/>
          <w:sz w:val="24"/>
        </w:rPr>
        <w:t xml:space="preserve"> og har allerede lagt fundamentet til den næste generation af bæredygtige politikker: fra den europæiske søjle for sociale rettigheder og </w:t>
      </w:r>
      <w:r>
        <w:rPr>
          <w:rFonts w:ascii="Times New Roman" w:hAnsi="Times New Roman"/>
          <w:noProof/>
          <w:color w:val="000000"/>
          <w:sz w:val="24"/>
        </w:rPr>
        <w:t>den nye europæiske konsensus om udvikling til den værdibaserede strategi "Handel for alle", den strategiske indsats fo</w:t>
      </w:r>
      <w:r>
        <w:rPr>
          <w:rFonts w:ascii="Times New Roman" w:hAnsi="Times New Roman"/>
          <w:noProof/>
          <w:color w:val="000000"/>
          <w:sz w:val="24"/>
        </w:rPr>
        <w:t>r ligestilling mellem kønnene og et europæisk uddannelsesområde, fra pakken om den cirkulære økonomi, pakkerne om et mobilt Europa og energiunionen til strategien for blå vækst og strategien for bioøkonomi og fra investeringsplanen og handlingsplanen for b</w:t>
      </w:r>
      <w:r>
        <w:rPr>
          <w:rFonts w:ascii="Times New Roman" w:hAnsi="Times New Roman"/>
          <w:noProof/>
          <w:color w:val="000000"/>
          <w:sz w:val="24"/>
        </w:rPr>
        <w:t xml:space="preserve">æredygtig finansiering til EU's dagsorden for byerne og naturhandlingsplanen osv. </w:t>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Juncker-Kommissionen har også foreslået at gøre EU's finanser mere bæredygtige ved at styrke koblingen mellem EU-midler og retsstatsprincippet og gennem et mere ambitiøst m</w:t>
      </w:r>
      <w:r>
        <w:rPr>
          <w:rFonts w:ascii="Times New Roman" w:hAnsi="Times New Roman"/>
          <w:noProof/>
          <w:color w:val="000000"/>
          <w:sz w:val="24"/>
        </w:rPr>
        <w:t xml:space="preserve">ål på 25 % for klimaudgifterne i det kommende EU-budget.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Juncker-Kommissionen</w:t>
      </w:r>
      <w:r>
        <w:rPr>
          <w:rFonts w:ascii="Times New Roman" w:hAnsi="Times New Roman"/>
          <w:noProof/>
          <w:sz w:val="24"/>
        </w:rPr>
        <w:t xml:space="preserve"> har for nylig fremlagt en langsigtet strategisk vision for en fremgangsrig, moderne, konkurrencedygtig og klimaneutral EU-økonomi i 2050</w:t>
      </w:r>
      <w:r>
        <w:rPr>
          <w:rStyle w:val="FootnoteReference"/>
          <w:rFonts w:ascii="Times New Roman" w:hAnsi="Times New Roman"/>
          <w:noProof/>
          <w:sz w:val="24"/>
        </w:rPr>
        <w:footnoteReference w:id="8"/>
      </w:r>
      <w:r>
        <w:rPr>
          <w:noProof/>
        </w:rPr>
        <w:t>.</w:t>
      </w:r>
      <w:r>
        <w:rPr>
          <w:rFonts w:ascii="Times New Roman" w:hAnsi="Times New Roman"/>
          <w:noProof/>
          <w:sz w:val="24"/>
        </w:rPr>
        <w:t xml:space="preserve"> Denne vision baner vejen for et strukturelt skift i den europæiske økonomi, som skal fremme bæredygtig vækst og beskæftigelse.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Alle disse strategiske politikker skal gennemføres helt og utvetydigt i praksis. Det vil også blive nødvendigt at supplere dem</w:t>
      </w:r>
      <w:r>
        <w:rPr>
          <w:rFonts w:ascii="Times New Roman" w:hAnsi="Times New Roman"/>
          <w:noProof/>
          <w:sz w:val="24"/>
        </w:rPr>
        <w:t xml:space="preserve"> med yderligere handling i erkendelse af det faktum, at alle politikker er gensidigt afhængige, samtidig med at der tages hensyn til nye udfordringer, nye fakta og ny dokumentation, efterhånden som de dukker op. Social dialog og frivillige tiltag i den pri</w:t>
      </w:r>
      <w:r>
        <w:rPr>
          <w:rFonts w:ascii="Times New Roman" w:hAnsi="Times New Roman"/>
          <w:noProof/>
          <w:sz w:val="24"/>
        </w:rPr>
        <w:t>vate sektor har også en vigtig rolle at spille i denne sammenhæng.</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 er særdeles godt placeret til at føre an. Der er som følge af andre globale magters tilbagetrækningspolitikker ved at åbne sig et politisk tomrum. Dette er for EU en vigtig mulighed for</w:t>
      </w:r>
      <w:r>
        <w:rPr>
          <w:rFonts w:ascii="Times New Roman" w:hAnsi="Times New Roman"/>
          <w:noProof/>
          <w:sz w:val="24"/>
        </w:rPr>
        <w:t xml:space="preserve"> at tage ansvar og bane vejen for andre.</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rPr>
        <w:t>I maj i år vil EU-borgerne vælge et nyt Europa-Parlament. En ny Kommission tiltræder efter planen til efteråret. Udløbsdatoen for "Europa 2020-strategien" for intelligent, bæredygtig og inklusiv vækst</w:t>
      </w:r>
      <w:r>
        <w:rPr>
          <w:rStyle w:val="FootnoteReference"/>
          <w:rFonts w:ascii="Times New Roman" w:hAnsi="Times New Roman"/>
          <w:noProof/>
          <w:sz w:val="24"/>
        </w:rPr>
        <w:footnoteReference w:id="9"/>
      </w:r>
      <w:r>
        <w:rPr>
          <w:rFonts w:ascii="Times New Roman" w:hAnsi="Times New Roman"/>
          <w:noProof/>
          <w:sz w:val="24"/>
        </w:rPr>
        <w:t xml:space="preserve"> nærmer sig h</w:t>
      </w:r>
      <w:r>
        <w:rPr>
          <w:rFonts w:ascii="Times New Roman" w:hAnsi="Times New Roman"/>
          <w:noProof/>
          <w:sz w:val="24"/>
        </w:rPr>
        <w:t>urtigt. Vi er derfor nødt til at se fremad mod den næste femårige politiske cyklus for Europa og den nye flerårige finansielle ramme, som løber fra 2021 til 2027. Det Europæiske Råd</w:t>
      </w:r>
      <w:r>
        <w:rPr>
          <w:rStyle w:val="FootnoteReference"/>
          <w:rFonts w:ascii="Times New Roman" w:hAnsi="Times New Roman"/>
          <w:noProof/>
          <w:sz w:val="24"/>
        </w:rPr>
        <w:footnoteReference w:id="10"/>
      </w:r>
      <w:r>
        <w:rPr>
          <w:rFonts w:ascii="Times New Roman" w:hAnsi="Times New Roman"/>
          <w:noProof/>
          <w:sz w:val="24"/>
        </w:rPr>
        <w:t xml:space="preserve"> tog godt imod Kommissionens intention om at udsende dette oplæg, som bør </w:t>
      </w:r>
      <w:r>
        <w:rPr>
          <w:rFonts w:ascii="Times New Roman" w:hAnsi="Times New Roman"/>
          <w:noProof/>
          <w:sz w:val="24"/>
        </w:rPr>
        <w:t xml:space="preserve">bane vejen for en omfattende gennemførelsesstrategi i 2019. Dette oplæg indleder også en debat om at videreudvikle EU's vision for bæredygtig udvikling og fokus for sektorspecifikke politikker efter 2020 og samtidig forberede den langsigtede gennemførelse </w:t>
      </w:r>
      <w:r>
        <w:rPr>
          <w:rFonts w:ascii="Times New Roman" w:hAnsi="Times New Roman"/>
          <w:noProof/>
          <w:sz w:val="24"/>
        </w:rPr>
        <w:t>af målene for bæredygtig udvikling</w:t>
      </w:r>
      <w:r>
        <w:rPr>
          <w:rStyle w:val="FootnoteReference"/>
          <w:rFonts w:ascii="Times New Roman" w:hAnsi="Times New Roman"/>
          <w:noProof/>
          <w:sz w:val="24"/>
        </w:rPr>
        <w:footnoteReference w:id="11"/>
      </w:r>
      <w:r>
        <w:rPr>
          <w:rFonts w:ascii="Times New Roman" w:hAnsi="Times New Roman"/>
          <w:noProof/>
          <w:sz w:val="24"/>
        </w:rPr>
        <w:t xml:space="preserve">. Kommissionen ønsker at bidrage til en virkelig omfattende og fremsynet debat om Europas fremtid, og bæredygtig udvikling er uløseligt forbundet med denne fremtid. </w:t>
      </w:r>
    </w:p>
    <w:p w:rsidR="000E3A3F" w:rsidRDefault="00B958E1">
      <w:pPr>
        <w:pStyle w:val="Heading1"/>
        <w:rPr>
          <w:rFonts w:eastAsia="Times New Roman"/>
          <w:noProof/>
        </w:rPr>
      </w:pPr>
      <w:bookmarkStart w:id="6" w:name="_Toc532469537"/>
      <w:bookmarkStart w:id="7" w:name="_Toc536442038"/>
      <w:bookmarkStart w:id="8" w:name="_Toc536627470"/>
      <w:bookmarkEnd w:id="6"/>
      <w:r>
        <w:rPr>
          <w:noProof/>
        </w:rPr>
        <w:t>EU og globale udfordringer, der skal tackles</w:t>
      </w:r>
      <w:bookmarkEnd w:id="7"/>
      <w:bookmarkEnd w:id="8"/>
    </w:p>
    <w:p w:rsidR="000E3A3F" w:rsidRDefault="000E3A3F">
      <w:pPr>
        <w:rPr>
          <w:noProof/>
          <w:sz w:val="4"/>
          <w:szCs w:val="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EU's økon</w:t>
      </w:r>
      <w:r>
        <w:rPr>
          <w:rFonts w:ascii="Times New Roman" w:hAnsi="Times New Roman"/>
          <w:noProof/>
          <w:sz w:val="24"/>
        </w:rPr>
        <w:t>omiske nøgletal er som følge af reformindsatsen på alle niveauer blevet bedre efter den økonomiske og finansielle krise</w:t>
      </w:r>
      <w:r>
        <w:rPr>
          <w:rStyle w:val="FootnoteReference"/>
          <w:rFonts w:ascii="Times New Roman" w:hAnsi="Times New Roman"/>
          <w:noProof/>
          <w:sz w:val="24"/>
        </w:rPr>
        <w:footnoteReference w:id="12"/>
      </w:r>
      <w:r>
        <w:rPr>
          <w:rFonts w:ascii="Times New Roman" w:hAnsi="Times New Roman"/>
          <w:noProof/>
          <w:sz w:val="24"/>
        </w:rPr>
        <w:t xml:space="preserve">. </w:t>
      </w:r>
      <w:r>
        <w:rPr>
          <w:rFonts w:ascii="Times New Roman" w:hAnsi="Times New Roman"/>
          <w:noProof/>
          <w:color w:val="000000"/>
          <w:sz w:val="24"/>
        </w:rPr>
        <w:t>Nye prognoser</w:t>
      </w:r>
      <w:r>
        <w:rPr>
          <w:rStyle w:val="FootnoteReference"/>
          <w:rFonts w:ascii="Times New Roman" w:hAnsi="Times New Roman"/>
          <w:noProof/>
          <w:color w:val="000000"/>
          <w:sz w:val="24"/>
        </w:rPr>
        <w:footnoteReference w:id="13"/>
      </w:r>
      <w:r>
        <w:rPr>
          <w:rFonts w:ascii="Times New Roman" w:hAnsi="Times New Roman"/>
          <w:noProof/>
          <w:color w:val="000000"/>
          <w:sz w:val="24"/>
        </w:rPr>
        <w:t xml:space="preserve"> peger dog i retning af et behov for at øge vækstraterne, nedbringe gældskvoterne og opretholde den finanspolitiske disc</w:t>
      </w:r>
      <w:r>
        <w:rPr>
          <w:rFonts w:ascii="Times New Roman" w:hAnsi="Times New Roman"/>
          <w:noProof/>
          <w:color w:val="000000"/>
          <w:sz w:val="24"/>
        </w:rPr>
        <w:t>iplin for at skabe rammen for en solid økonomi. De kommende år kan på grund af store negative risici føre til tab af momentum, medmindre vi gør en indsats for at øge den økonomiske modstandsdygtighed og sammenhængskraft og gør noget ved de strukturelle sår</w:t>
      </w:r>
      <w:r>
        <w:rPr>
          <w:rFonts w:ascii="Times New Roman" w:hAnsi="Times New Roman"/>
          <w:noProof/>
          <w:color w:val="000000"/>
          <w:sz w:val="24"/>
        </w:rPr>
        <w:t>barheder. Hvis vi gennemfører de nødvendige reformer, herunder gennem investeringer i forskning og innovation, offentlige tjenester, velfærdssystemer og miljøbeskyttelse, kan vi på den anden side skabe mere velvære og en stærkere fremtid. Det er nødvendigt</w:t>
      </w:r>
      <w:r>
        <w:rPr>
          <w:rFonts w:ascii="Times New Roman" w:hAnsi="Times New Roman"/>
          <w:noProof/>
          <w:color w:val="000000"/>
          <w:sz w:val="24"/>
        </w:rPr>
        <w:t xml:space="preserve"> at træffe foranstaltninger på både EU- og medlemsstatsniveau for at fremtidssikre skatte- og pensionssystemer, herunder stabile skatteindtægter i det indre marked.</w:t>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Derudover er mange udfordringer blevet mere presserende og truer vores velvære og økonomis</w:t>
      </w:r>
      <w:r>
        <w:rPr>
          <w:rFonts w:ascii="Times New Roman" w:hAnsi="Times New Roman"/>
          <w:noProof/>
          <w:color w:val="000000"/>
          <w:sz w:val="24"/>
        </w:rPr>
        <w:t xml:space="preserve">ke velstand. Alle disse udfordringer er komplekse og stærkt forbundne, hvilket betyder, at håndtering af én kan have en positiv effekt på andre. </w:t>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Det</w:t>
      </w:r>
      <w:r>
        <w:rPr>
          <w:rFonts w:ascii="Times New Roman" w:hAnsi="Times New Roman"/>
          <w:noProof/>
          <w:sz w:val="24"/>
        </w:rPr>
        <w:t xml:space="preserve"> mest alvorlige bæredygtighedsunderskud og vores største udfordring er den økologiske gæld, som vi opbygge</w:t>
      </w:r>
      <w:r>
        <w:rPr>
          <w:rFonts w:ascii="Times New Roman" w:hAnsi="Times New Roman"/>
          <w:noProof/>
          <w:sz w:val="24"/>
        </w:rPr>
        <w:t xml:space="preserve">r ved at overforbruge og udtømme vores naturressourcer, hvilket bringer vores evne til </w:t>
      </w:r>
      <w:r>
        <w:rPr>
          <w:rFonts w:ascii="Times New Roman" w:hAnsi="Times New Roman"/>
          <w:noProof/>
          <w:color w:val="000000"/>
          <w:sz w:val="24"/>
        </w:rPr>
        <w:t>at sørge for, at kommende generationers behov kan blive dækket under hensyntagen til vores planets begrænsninger, i fare. Det globale pres på centrale ressourcer – fra f</w:t>
      </w:r>
      <w:r>
        <w:rPr>
          <w:rFonts w:ascii="Times New Roman" w:hAnsi="Times New Roman"/>
          <w:noProof/>
          <w:color w:val="000000"/>
          <w:sz w:val="24"/>
        </w:rPr>
        <w:t xml:space="preserve">erskvand til frugtbar jord – bringer den menneskelige eksistens i fare. </w:t>
      </w:r>
      <w:r>
        <w:rPr>
          <w:rFonts w:ascii="Times New Roman" w:hAnsi="Times New Roman"/>
          <w:noProof/>
          <w:sz w:val="24"/>
        </w:rPr>
        <w:t>Menneskeheden forbruger i dag, hvad der svarer til 1,7 jordkloder</w:t>
      </w:r>
      <w:r>
        <w:rPr>
          <w:rStyle w:val="FootnoteReference"/>
          <w:rFonts w:ascii="Times New Roman" w:hAnsi="Times New Roman"/>
          <w:noProof/>
          <w:color w:val="000000"/>
          <w:sz w:val="24"/>
        </w:rPr>
        <w:footnoteReference w:id="14"/>
      </w:r>
      <w:r>
        <w:rPr>
          <w:rFonts w:ascii="Times New Roman" w:hAnsi="Times New Roman"/>
          <w:noProof/>
          <w:sz w:val="24"/>
        </w:rPr>
        <w:t>.</w:t>
      </w:r>
      <w:r>
        <w:rPr>
          <w:rFonts w:ascii="Times New Roman" w:hAnsi="Times New Roman"/>
          <w:noProof/>
          <w:color w:val="000000"/>
          <w:sz w:val="24"/>
        </w:rPr>
        <w:t xml:space="preserve"> Eftersom det globale forbrug af materielle ressourcer blev fjortendoblet mellem år 1900 og 2015 og forventes at bliv</w:t>
      </w:r>
      <w:r>
        <w:rPr>
          <w:rFonts w:ascii="Times New Roman" w:hAnsi="Times New Roman"/>
          <w:noProof/>
          <w:color w:val="000000"/>
          <w:sz w:val="24"/>
        </w:rPr>
        <w:t>e mere end fordoblet mellem 2015 og 2050</w:t>
      </w:r>
      <w:r>
        <w:rPr>
          <w:rStyle w:val="FootnoteReference"/>
          <w:rFonts w:ascii="Times New Roman" w:hAnsi="Times New Roman"/>
          <w:noProof/>
          <w:color w:val="000000"/>
          <w:sz w:val="24"/>
        </w:rPr>
        <w:footnoteReference w:id="15"/>
      </w:r>
      <w:r>
        <w:rPr>
          <w:rFonts w:ascii="Times New Roman" w:hAnsi="Times New Roman"/>
          <w:noProof/>
          <w:color w:val="000000"/>
          <w:sz w:val="24"/>
        </w:rPr>
        <w:t xml:space="preserve">, bevæger verden sig hastigt mod adskillige tippepunkter. Dette udgør både en belastning for miljøet og en alvorlig udfordring for EU's økonomi, som er afhængig af materialer fra de internationale markeder.  </w:t>
      </w:r>
    </w:p>
    <w:p w:rsidR="000E3A3F" w:rsidRDefault="000E3A3F">
      <w:pPr>
        <w:jc w:val="both"/>
        <w:rPr>
          <w:rFonts w:ascii="Times New Roman" w:hAnsi="Times New Roman" w:cs="Times New Roman"/>
          <w:i/>
          <w:noProof/>
          <w:sz w:val="24"/>
          <w:szCs w:val="24"/>
        </w:rPr>
      </w:pPr>
    </w:p>
    <w:p w:rsidR="000E3A3F" w:rsidRDefault="00B958E1">
      <w:pPr>
        <w:jc w:val="center"/>
        <w:rPr>
          <w:rFonts w:ascii="Times New Roman" w:hAnsi="Times New Roman" w:cs="Times New Roman"/>
          <w:i/>
          <w:noProof/>
          <w:sz w:val="24"/>
          <w:szCs w:val="24"/>
        </w:rPr>
      </w:pPr>
      <w:r>
        <w:rPr>
          <w:noProof/>
          <w:lang w:val="en-GB" w:eastAsia="en-GB" w:bidi="ar-SA"/>
        </w:rPr>
        <w:drawing>
          <wp:inline distT="0" distB="0" distL="0" distR="0">
            <wp:extent cx="4571100" cy="46577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735" cy="4659391"/>
                    </a:xfrm>
                    <a:prstGeom prst="rect">
                      <a:avLst/>
                    </a:prstGeom>
                  </pic:spPr>
                </pic:pic>
              </a:graphicData>
            </a:graphic>
          </wp:inline>
        </w:drawing>
      </w:r>
    </w:p>
    <w:p w:rsidR="000E3A3F" w:rsidRDefault="000E3A3F">
      <w:pPr>
        <w:jc w:val="both"/>
        <w:rPr>
          <w:rFonts w:ascii="Times New Roman" w:hAnsi="Times New Roman" w:cs="Times New Roman"/>
          <w:i/>
          <w:noProof/>
          <w:sz w:val="24"/>
          <w:szCs w:val="24"/>
        </w:rPr>
      </w:pPr>
    </w:p>
    <w:p w:rsidR="000E3A3F" w:rsidRDefault="000E3A3F">
      <w:pPr>
        <w:spacing w:line="240" w:lineRule="auto"/>
        <w:jc w:val="both"/>
        <w:rPr>
          <w:rFonts w:ascii="Times New Roman" w:hAnsi="Times New Roman" w:cs="Times New Roman"/>
          <w:noProof/>
          <w:sz w:val="24"/>
          <w:szCs w:val="24"/>
        </w:rPr>
      </w:pPr>
    </w:p>
    <w:p w:rsidR="000E3A3F" w:rsidRDefault="00B958E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5379720" cy="4373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9947" cy="4374065"/>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Biodiversitet og økosystemer trues i stigende grad af menneskelig aktivitet. På blot 40 år er de globale bestande af hvirveldyrarter faldet med gennemsnitligt 60 %</w:t>
      </w:r>
      <w:r>
        <w:rPr>
          <w:rStyle w:val="FootnoteReference"/>
          <w:rFonts w:ascii="Times New Roman" w:hAnsi="Times New Roman"/>
          <w:noProof/>
          <w:sz w:val="24"/>
        </w:rPr>
        <w:footnoteReference w:id="16"/>
      </w:r>
      <w:r>
        <w:rPr>
          <w:rFonts w:ascii="Times New Roman" w:hAnsi="Times New Roman"/>
          <w:noProof/>
          <w:sz w:val="24"/>
        </w:rPr>
        <w:t xml:space="preserve">. Tropiske skove ødelægges i hurtigt tempo – hvert år går et areal svarende til Grækenland </w:t>
      </w:r>
      <w:r>
        <w:rPr>
          <w:rFonts w:ascii="Times New Roman" w:hAnsi="Times New Roman"/>
          <w:noProof/>
          <w:sz w:val="24"/>
        </w:rPr>
        <w:t>tabt.</w:t>
      </w:r>
      <w:r>
        <w:rPr>
          <w:rFonts w:ascii="Times New Roman" w:hAnsi="Times New Roman"/>
          <w:b/>
          <w:noProof/>
          <w:sz w:val="24"/>
        </w:rPr>
        <w:t xml:space="preserve"> </w:t>
      </w:r>
      <w:r>
        <w:rPr>
          <w:rFonts w:ascii="Times New Roman" w:hAnsi="Times New Roman"/>
          <w:noProof/>
          <w:sz w:val="24"/>
        </w:rPr>
        <w:t>Dette er ikke "andres problem". I EU er kun 23 % af arterne og 16 % af levestederne sunde</w:t>
      </w:r>
      <w:r>
        <w:rPr>
          <w:rFonts w:ascii="Times New Roman" w:hAnsi="Times New Roman"/>
          <w:noProof/>
          <w:color w:val="000000"/>
          <w:sz w:val="24"/>
        </w:rPr>
        <w:t>.</w:t>
      </w:r>
      <w:r>
        <w:rPr>
          <w:rFonts w:ascii="Times New Roman" w:hAnsi="Times New Roman"/>
          <w:noProof/>
          <w:sz w:val="24"/>
        </w:rPr>
        <w:t xml:space="preserve"> Animalske fødevarer sætter et særligt stort arealmæssigt fodaftryk</w:t>
      </w:r>
      <w:r>
        <w:rPr>
          <w:rStyle w:val="FootnoteReference"/>
          <w:rFonts w:ascii="Times New Roman" w:hAnsi="Times New Roman"/>
          <w:noProof/>
          <w:sz w:val="24"/>
        </w:rPr>
        <w:footnoteReference w:id="17"/>
      </w:r>
      <w:r>
        <w:rPr>
          <w:rFonts w:ascii="Times New Roman" w:hAnsi="Times New Roman"/>
          <w:noProof/>
          <w:sz w:val="24"/>
        </w:rPr>
        <w:t>, og den stigende efterspørgsel efter fisk og skaldyr lægger et stort pres på havets økosyst</w:t>
      </w:r>
      <w:r>
        <w:rPr>
          <w:rFonts w:ascii="Times New Roman" w:hAnsi="Times New Roman"/>
          <w:noProof/>
          <w:sz w:val="24"/>
        </w:rPr>
        <w:t>emer</w:t>
      </w:r>
      <w:r>
        <w:rPr>
          <w:rStyle w:val="FootnoteReference"/>
          <w:rFonts w:ascii="Times New Roman" w:hAnsi="Times New Roman"/>
          <w:noProof/>
          <w:sz w:val="24"/>
        </w:rPr>
        <w:footnoteReference w:id="18"/>
      </w:r>
      <w:r>
        <w:rPr>
          <w:rFonts w:ascii="Times New Roman" w:hAnsi="Times New Roman"/>
          <w:noProof/>
          <w:sz w:val="24"/>
        </w:rPr>
        <w:t>.</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De globale udledninger af drivhusgasser fortsætter med at stige i et foruroligende tempo med forbruget af energi, men også overforbrugt af ressourcer og ødelæggelsen af økosystemer, som de vigtigste drivkræfter.</w:t>
      </w:r>
      <w:r>
        <w:rPr>
          <w:rFonts w:ascii="Times New Roman" w:hAnsi="Times New Roman"/>
          <w:noProof/>
          <w:sz w:val="24"/>
        </w:rPr>
        <w:t xml:space="preserve"> Transportområdet står for 27 % af EU'</w:t>
      </w:r>
      <w:r>
        <w:rPr>
          <w:rFonts w:ascii="Times New Roman" w:hAnsi="Times New Roman"/>
          <w:noProof/>
          <w:sz w:val="24"/>
        </w:rPr>
        <w:t>s drivhusgasemissioner, og mange byområder overskrider de aftalte EU-begrænsninger for luftforurening. Fødevareproduktionen er stadig en væsentlig forbruger af vand og energi og udleder af forurenende stoffer og står for ca. 11,3 % af EU's drivhusgasemissi</w:t>
      </w:r>
      <w:r>
        <w:rPr>
          <w:rFonts w:ascii="Times New Roman" w:hAnsi="Times New Roman"/>
          <w:noProof/>
          <w:sz w:val="24"/>
        </w:rPr>
        <w:t>oner. I</w:t>
      </w:r>
      <w:r>
        <w:rPr>
          <w:rFonts w:ascii="Times New Roman" w:hAnsi="Times New Roman"/>
          <w:noProof/>
          <w:color w:val="000000"/>
          <w:sz w:val="24"/>
        </w:rPr>
        <w:t xml:space="preserve"> EU nyder fossile brændstoffer fortsat godt af offentlige tilskud til en værdi af ca. 55 mia. EUR om året, eller ca. 20 % af EU's udgifter til import af brændstof, til trods for EU's ambitiøse dekarboniseringsforanstaltninger og forpligtelser til ud</w:t>
      </w:r>
      <w:r>
        <w:rPr>
          <w:rFonts w:ascii="Times New Roman" w:hAnsi="Times New Roman"/>
          <w:noProof/>
          <w:color w:val="000000"/>
          <w:sz w:val="24"/>
        </w:rPr>
        <w:t>fasning af tilskud i G7 og G20</w:t>
      </w:r>
      <w:r>
        <w:rPr>
          <w:rStyle w:val="FootnoteReference"/>
          <w:rFonts w:ascii="Times New Roman" w:hAnsi="Times New Roman"/>
          <w:noProof/>
          <w:sz w:val="24"/>
        </w:rPr>
        <w:footnoteReference w:id="19"/>
      </w:r>
      <w:r>
        <w:rPr>
          <w:rFonts w:ascii="Times New Roman" w:hAnsi="Times New Roman"/>
          <w:noProof/>
          <w:color w:val="000000"/>
          <w:sz w:val="24"/>
        </w:rPr>
        <w:t>.</w:t>
      </w:r>
      <w:r>
        <w:rPr>
          <w:rFonts w:ascii="Times New Roman" w:hAnsi="Times New Roman"/>
          <w:noProof/>
          <w:sz w:val="24"/>
        </w:rPr>
        <w:t xml:space="preserv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EU har samlet set været i stand til at nedbringe sine egne udledninger og afkoble dem fra den økonomiske vækst og bidrager dermed solidt til den globale indsats, også under hensyntagen til de emissioner, der er indregnet </w:t>
      </w:r>
      <w:r>
        <w:rPr>
          <w:rFonts w:ascii="Times New Roman" w:hAnsi="Times New Roman"/>
          <w:noProof/>
          <w:sz w:val="24"/>
        </w:rPr>
        <w:t>i EU's import og eksport</w:t>
      </w:r>
      <w:r>
        <w:rPr>
          <w:rStyle w:val="FootnoteReference"/>
          <w:rFonts w:ascii="Times New Roman" w:hAnsi="Times New Roman"/>
          <w:noProof/>
          <w:sz w:val="24"/>
        </w:rPr>
        <w:footnoteReference w:id="20"/>
      </w:r>
      <w:r>
        <w:rPr>
          <w:rFonts w:ascii="Times New Roman" w:hAnsi="Times New Roman"/>
          <w:noProof/>
          <w:sz w:val="24"/>
        </w:rPr>
        <w:t>. Der er dog behov for en større indsats – både på EU-plan og globalt.</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color w:val="000000"/>
          <w:sz w:val="24"/>
        </w:rPr>
        <w:t>Hvis der ikke tages hånd om den ødelæggende effekt af klimaændringer og forringelse af naturkapital, vil den i alvorlig grad påvirke økonomien, mindske livskvaliteten over hele kloden og øge intensiteten og frekvensen af naturkatastrofer, hvilket vil bring</w:t>
      </w:r>
      <w:r>
        <w:rPr>
          <w:rFonts w:ascii="Times New Roman" w:hAnsi="Times New Roman"/>
          <w:noProof/>
          <w:color w:val="000000"/>
          <w:sz w:val="24"/>
        </w:rPr>
        <w:t xml:space="preserve">e flere liv i fare. </w:t>
      </w:r>
      <w:r>
        <w:rPr>
          <w:rFonts w:ascii="Times New Roman" w:hAnsi="Times New Roman"/>
          <w:noProof/>
          <w:sz w:val="24"/>
        </w:rPr>
        <w:t>Selv om det ikke er gratis og kræver en stor fælles indsats at vende disse negative tendenser, vil prisen for manglende handling og de deraf afledte sociale konsekvenser være meget højere</w:t>
      </w:r>
      <w:r>
        <w:rPr>
          <w:rStyle w:val="FootnoteReference"/>
          <w:rFonts w:ascii="Times New Roman" w:hAnsi="Times New Roman"/>
          <w:noProof/>
          <w:sz w:val="24"/>
        </w:rPr>
        <w:footnoteReference w:id="21"/>
      </w:r>
      <w:r>
        <w:rPr>
          <w:rFonts w:ascii="Times New Roman" w:hAnsi="Times New Roman"/>
          <w:noProof/>
          <w:sz w:val="24"/>
        </w:rPr>
        <w:t xml:space="preserve">. </w:t>
      </w: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EU's sociale velfærdsmodel, som er en hjørnes</w:t>
      </w:r>
      <w:r>
        <w:rPr>
          <w:rFonts w:ascii="Times New Roman" w:hAnsi="Times New Roman"/>
          <w:noProof/>
          <w:color w:val="000000"/>
          <w:sz w:val="24"/>
        </w:rPr>
        <w:t>ten i det europæiske projekt, står ikke blot over for en global udfordring – den befinder sig også på usikker grund. Teknologiske, strukturelle og demografiske forandringer i en globaliseret verden ændrer karakteren af arbejde og stiller spørgsmålstegn ved</w:t>
      </w:r>
      <w:r>
        <w:rPr>
          <w:rFonts w:ascii="Times New Roman" w:hAnsi="Times New Roman"/>
          <w:noProof/>
          <w:color w:val="000000"/>
          <w:sz w:val="24"/>
        </w:rPr>
        <w:t xml:space="preserve"> vores solidaritet, hvilket undergraver løftet om, at hver generation kan håbe på at arve en bedre verden end den forrige. Dette kan også øge truslen mod EU's kerneværdier – demokrati, retsstatsprincippet og grundlæggende rettigheder. </w:t>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4002730" cy="444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05869" cy="4451664"/>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På nuværende tid</w:t>
      </w:r>
      <w:r>
        <w:rPr>
          <w:rFonts w:ascii="Times New Roman" w:hAnsi="Times New Roman"/>
          <w:noProof/>
          <w:sz w:val="24"/>
        </w:rPr>
        <w:t xml:space="preserve">spunkt risikerer ca. 22,5 % af EU's befolkning fattigdom eller social eksklusion, og 6,9 % af europæerne lider stadig alvorlige materielle afsavn. I 2017 faldt indkomstuligheden i EU-medlemsstaterne for første gang siden finanskrisen. Indkomstuligheden er </w:t>
      </w:r>
      <w:r>
        <w:rPr>
          <w:rFonts w:ascii="Times New Roman" w:hAnsi="Times New Roman"/>
          <w:noProof/>
          <w:sz w:val="24"/>
        </w:rPr>
        <w:t>dog stadig for stor, og velstanden koncentreres fortsat i toppen. Dette har flere sociale konsekvenser</w:t>
      </w:r>
      <w:r>
        <w:rPr>
          <w:rFonts w:ascii="Times New Roman" w:hAnsi="Times New Roman"/>
          <w:noProof/>
          <w:color w:val="000000"/>
          <w:sz w:val="24"/>
        </w:rPr>
        <w:t xml:space="preserve"> og fører til forskelle hvad angår velvære og livskvalitet. </w:t>
      </w:r>
      <w:r>
        <w:rPr>
          <w:rFonts w:ascii="Times New Roman" w:hAnsi="Times New Roman"/>
          <w:noProof/>
          <w:sz w:val="24"/>
        </w:rPr>
        <w:t>EU-medlemsstaterne står også over for en række udfordringer med hensyn til at sikre billig ene</w:t>
      </w:r>
      <w:r>
        <w:rPr>
          <w:rFonts w:ascii="Times New Roman" w:hAnsi="Times New Roman"/>
          <w:noProof/>
          <w:sz w:val="24"/>
        </w:rPr>
        <w:t>rgi til alle europæere, idet millioner kæmper for at holde deres hjem varme</w:t>
      </w:r>
      <w:r>
        <w:rPr>
          <w:rStyle w:val="FootnoteReference"/>
          <w:rFonts w:ascii="Times New Roman" w:hAnsi="Times New Roman"/>
          <w:noProof/>
          <w:sz w:val="24"/>
        </w:rPr>
        <w:footnoteReference w:id="22"/>
      </w:r>
      <w:r>
        <w:rPr>
          <w:rFonts w:ascii="Times New Roman" w:hAnsi="Times New Roman"/>
          <w:noProof/>
          <w:sz w:val="24"/>
        </w:rPr>
        <w:t>. Samtidig med at ca. 43 millioner mennesker i EU ikke har råd til et almindeligt kvalitetsmåltid hver anden dag</w:t>
      </w:r>
      <w:r>
        <w:rPr>
          <w:rStyle w:val="FootnoteReference"/>
          <w:rFonts w:ascii="Times New Roman" w:hAnsi="Times New Roman"/>
          <w:noProof/>
          <w:sz w:val="24"/>
        </w:rPr>
        <w:footnoteReference w:id="23"/>
      </w:r>
      <w:r>
        <w:rPr>
          <w:rFonts w:ascii="Times New Roman" w:hAnsi="Times New Roman"/>
          <w:noProof/>
          <w:sz w:val="24"/>
        </w:rPr>
        <w:t>, spilder vi ca. 20 % af vores fødevareproduktion</w:t>
      </w:r>
      <w:r>
        <w:rPr>
          <w:rStyle w:val="FootnoteReference"/>
          <w:rFonts w:ascii="Times New Roman" w:hAnsi="Times New Roman"/>
          <w:noProof/>
          <w:sz w:val="24"/>
        </w:rPr>
        <w:footnoteReference w:id="24"/>
      </w:r>
      <w:r>
        <w:rPr>
          <w:rFonts w:ascii="Times New Roman" w:hAnsi="Times New Roman"/>
          <w:noProof/>
          <w:sz w:val="24"/>
        </w:rPr>
        <w:t xml:space="preserve">, og over </w:t>
      </w:r>
      <w:r>
        <w:rPr>
          <w:rFonts w:ascii="Times New Roman" w:hAnsi="Times New Roman"/>
          <w:noProof/>
          <w:sz w:val="24"/>
        </w:rPr>
        <w:t>halvdelen af EU's voksne befolkning er overvægtig</w:t>
      </w:r>
      <w:r>
        <w:rPr>
          <w:rStyle w:val="FootnoteReference"/>
          <w:rFonts w:ascii="Times New Roman" w:hAnsi="Times New Roman"/>
          <w:noProof/>
          <w:sz w:val="24"/>
        </w:rPr>
        <w:footnoteReference w:id="25"/>
      </w:r>
      <w:r>
        <w:rPr>
          <w:rFonts w:ascii="Times New Roman" w:hAnsi="Times New Roman"/>
          <w:noProof/>
          <w:sz w:val="24"/>
        </w:rPr>
        <w:t>, hvilket øger risikoen for alvorlige sundhedsproblemer. En anden sundhedsrisiko er antimikrobiel resistens, som kan medføre over 10 millioner dødsfald om året i de kommende årtier</w:t>
      </w:r>
      <w:r>
        <w:rPr>
          <w:rStyle w:val="FootnoteReference"/>
          <w:rFonts w:ascii="Times New Roman" w:hAnsi="Times New Roman"/>
          <w:noProof/>
          <w:sz w:val="24"/>
        </w:rPr>
        <w:footnoteReference w:id="26"/>
      </w:r>
      <w:r>
        <w:rPr>
          <w:rFonts w:ascii="Times New Roman" w:hAnsi="Times New Roman"/>
          <w:noProof/>
          <w:sz w:val="24"/>
        </w:rPr>
        <w:t xml:space="preserve">. </w:t>
      </w:r>
    </w:p>
    <w:p w:rsidR="000E3A3F" w:rsidRDefault="00B958E1">
      <w:pPr>
        <w:autoSpaceDE w:val="0"/>
        <w:autoSpaceDN w:val="0"/>
        <w:adjustRightInd w:val="0"/>
        <w:spacing w:after="0" w:line="240" w:lineRule="auto"/>
        <w:jc w:val="both"/>
        <w:rPr>
          <w:rFonts w:ascii="Times New Roman" w:hAnsi="Times New Roman" w:cs="Times New Roman"/>
          <w:i/>
          <w:noProof/>
          <w:sz w:val="24"/>
          <w:szCs w:val="24"/>
        </w:rPr>
      </w:pPr>
      <w:r>
        <w:rPr>
          <w:noProof/>
        </w:rPr>
        <w:tab/>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B958E1">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5000625" cy="319464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3442" cy="3196444"/>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 dag er der sta</w:t>
      </w:r>
      <w:r>
        <w:rPr>
          <w:rFonts w:ascii="Times New Roman" w:hAnsi="Times New Roman"/>
          <w:noProof/>
          <w:sz w:val="24"/>
        </w:rPr>
        <w:t>dig ikke fuld lighed mellem kvinder og mænd. Uanset det faktum, at kvinders beskæftigelsesfrekvens er historisk høj, og at der er flere kvinder i magtfulde stillinger end nogen sinde før, så er fremgangen stagneret eller endda vendt til tilbagegang inden f</w:t>
      </w:r>
      <w:r>
        <w:rPr>
          <w:rFonts w:ascii="Times New Roman" w:hAnsi="Times New Roman"/>
          <w:noProof/>
          <w:sz w:val="24"/>
        </w:rPr>
        <w:t>or andre områder</w:t>
      </w:r>
      <w:r>
        <w:rPr>
          <w:rStyle w:val="FootnoteReference"/>
          <w:rFonts w:ascii="Times New Roman" w:hAnsi="Times New Roman"/>
          <w:noProof/>
          <w:sz w:val="24"/>
        </w:rPr>
        <w:footnoteReference w:id="27"/>
      </w:r>
      <w:r>
        <w:rPr>
          <w:rFonts w:ascii="Times New Roman" w:hAnsi="Times New Roman"/>
          <w:noProof/>
          <w:sz w:val="24"/>
        </w:rPr>
        <w:t>. Tolv EU-medlemsstater har bevæget sig baglænds i løbet af de seneste ti år hvad angår balancen mellem kønnene med hensyn til den tid, der bruges på omsorg, husligt arbejde og sociale aktiviteter. Der er fortsat kløfter med hensyn til bes</w:t>
      </w:r>
      <w:r>
        <w:rPr>
          <w:rFonts w:ascii="Times New Roman" w:hAnsi="Times New Roman"/>
          <w:noProof/>
          <w:sz w:val="24"/>
        </w:rPr>
        <w:t>kæftigelse og løn</w:t>
      </w:r>
      <w:r>
        <w:rPr>
          <w:rStyle w:val="FootnoteReference"/>
          <w:rFonts w:ascii="Times New Roman" w:hAnsi="Times New Roman"/>
          <w:noProof/>
          <w:sz w:val="24"/>
        </w:rPr>
        <w:footnoteReference w:id="28"/>
      </w:r>
      <w:r>
        <w:rPr>
          <w:rFonts w:ascii="Times New Roman" w:hAnsi="Times New Roman"/>
          <w:noProof/>
          <w:sz w:val="24"/>
        </w:rPr>
        <w:t xml:space="preserve">. </w:t>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B958E1">
      <w:pPr>
        <w:autoSpaceDE w:val="0"/>
        <w:autoSpaceDN w:val="0"/>
        <w:adjustRightInd w:val="0"/>
        <w:spacing w:after="0" w:line="240" w:lineRule="auto"/>
        <w:jc w:val="center"/>
        <w:rPr>
          <w:noProof/>
          <w:lang w:eastAsia="en-GB" w:bidi="ar-SA"/>
        </w:rPr>
      </w:pPr>
      <w:r>
        <w:rPr>
          <w:noProof/>
          <w:lang w:val="en-GB" w:eastAsia="en-GB" w:bidi="ar-SA"/>
        </w:rPr>
        <w:drawing>
          <wp:inline distT="0" distB="0" distL="0" distR="0">
            <wp:extent cx="3009900" cy="1424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09900" cy="1424940"/>
                    </a:xfrm>
                    <a:prstGeom prst="rect">
                      <a:avLst/>
                    </a:prstGeom>
                  </pic:spPr>
                </pic:pic>
              </a:graphicData>
            </a:graphic>
          </wp:inline>
        </w:drawing>
      </w:r>
    </w:p>
    <w:p w:rsidR="000E3A3F" w:rsidRDefault="000E3A3F">
      <w:pPr>
        <w:autoSpaceDE w:val="0"/>
        <w:autoSpaceDN w:val="0"/>
        <w:adjustRightInd w:val="0"/>
        <w:spacing w:after="0" w:line="240" w:lineRule="auto"/>
        <w:jc w:val="center"/>
        <w:rPr>
          <w:rFonts w:ascii="Times New Roman" w:hAnsi="Times New Roman" w:cs="Times New Roman"/>
          <w:bCs/>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Det er en stor bedrift, at EU har den højeste forventede levealder i verden. Men udviklingen med et stadig større antal ældre mennesker koblet med en stadig mindre befolkning i den erhvervsdygtige alder medfører sine egne udfordrin</w:t>
      </w:r>
      <w:r>
        <w:rPr>
          <w:rFonts w:ascii="Times New Roman" w:hAnsi="Times New Roman"/>
          <w:noProof/>
          <w:color w:val="000000"/>
          <w:sz w:val="24"/>
        </w:rPr>
        <w:t xml:space="preserve">ger for vores socioøkonomiske model. </w:t>
      </w:r>
      <w:r>
        <w:rPr>
          <w:rFonts w:ascii="Times New Roman" w:hAnsi="Times New Roman"/>
          <w:noProof/>
          <w:sz w:val="24"/>
        </w:rPr>
        <w:t xml:space="preserve">Aldring </w:t>
      </w:r>
      <w:r>
        <w:rPr>
          <w:rFonts w:ascii="Times New Roman" w:hAnsi="Times New Roman"/>
          <w:noProof/>
          <w:color w:val="000000"/>
          <w:sz w:val="24"/>
        </w:rPr>
        <w:t xml:space="preserve">i kombination med lang levetid og øget sandsynlighed for kroniske sygdomme kan have en alvorlig indvirkning på de offentlige finanser, herunder sundhedssystemerne. Dette vil også øge risikoen for ulighed mellem </w:t>
      </w:r>
      <w:r>
        <w:rPr>
          <w:rFonts w:ascii="Times New Roman" w:hAnsi="Times New Roman"/>
          <w:noProof/>
          <w:color w:val="000000"/>
          <w:sz w:val="24"/>
        </w:rPr>
        <w:t xml:space="preserve">generationer. </w:t>
      </w:r>
    </w:p>
    <w:p w:rsidR="000E3A3F" w:rsidRDefault="000E3A3F">
      <w:pPr>
        <w:autoSpaceDE w:val="0"/>
        <w:autoSpaceDN w:val="0"/>
        <w:adjustRightInd w:val="0"/>
        <w:spacing w:after="0" w:line="240" w:lineRule="auto"/>
        <w:jc w:val="both"/>
        <w:rPr>
          <w:rFonts w:ascii="Times New Roman" w:hAnsi="Times New Roman" w:cs="Times New Roman"/>
          <w:i/>
          <w:noProof/>
          <w:color w:val="000000"/>
          <w:sz w:val="24"/>
          <w:szCs w:val="24"/>
        </w:rPr>
      </w:pPr>
    </w:p>
    <w:p w:rsidR="000E3A3F" w:rsidRDefault="000E3A3F">
      <w:pPr>
        <w:autoSpaceDE w:val="0"/>
        <w:autoSpaceDN w:val="0"/>
        <w:adjustRightInd w:val="0"/>
        <w:spacing w:after="0" w:line="240" w:lineRule="auto"/>
        <w:jc w:val="both"/>
        <w:rPr>
          <w:rFonts w:ascii="Times New Roman" w:hAnsi="Times New Roman" w:cs="Times New Roman"/>
          <w:bCs/>
          <w:i/>
          <w:noProof/>
          <w:color w:val="000000"/>
          <w:sz w:val="24"/>
          <w:szCs w:val="24"/>
        </w:rPr>
      </w:pPr>
    </w:p>
    <w:p w:rsidR="000E3A3F" w:rsidRDefault="000E3A3F">
      <w:pPr>
        <w:autoSpaceDE w:val="0"/>
        <w:autoSpaceDN w:val="0"/>
        <w:adjustRightInd w:val="0"/>
        <w:spacing w:after="0" w:line="240" w:lineRule="auto"/>
        <w:jc w:val="both"/>
        <w:rPr>
          <w:rFonts w:ascii="Times New Roman" w:hAnsi="Times New Roman" w:cs="Times New Roman"/>
          <w:bCs/>
          <w:i/>
          <w:noProof/>
          <w:color w:val="000000"/>
          <w:sz w:val="24"/>
          <w:szCs w:val="24"/>
        </w:rPr>
      </w:pPr>
    </w:p>
    <w:p w:rsidR="000E3A3F" w:rsidRDefault="000E3A3F">
      <w:pPr>
        <w:autoSpaceDE w:val="0"/>
        <w:autoSpaceDN w:val="0"/>
        <w:adjustRightInd w:val="0"/>
        <w:spacing w:after="0" w:line="240" w:lineRule="auto"/>
        <w:jc w:val="both"/>
        <w:rPr>
          <w:rFonts w:ascii="Times New Roman" w:hAnsi="Times New Roman" w:cs="Times New Roman"/>
          <w:bCs/>
          <w:i/>
          <w:noProof/>
          <w:color w:val="000000"/>
          <w:sz w:val="24"/>
          <w:szCs w:val="24"/>
        </w:rPr>
      </w:pPr>
    </w:p>
    <w:p w:rsidR="000E3A3F" w:rsidRDefault="00B958E1">
      <w:pPr>
        <w:autoSpaceDE w:val="0"/>
        <w:autoSpaceDN w:val="0"/>
        <w:adjustRightInd w:val="0"/>
        <w:spacing w:after="0" w:line="240" w:lineRule="auto"/>
        <w:jc w:val="center"/>
        <w:rPr>
          <w:rFonts w:ascii="Times New Roman" w:hAnsi="Times New Roman" w:cs="Times New Roman"/>
          <w:bCs/>
          <w:i/>
          <w:noProof/>
          <w:color w:val="000000"/>
          <w:sz w:val="24"/>
          <w:szCs w:val="24"/>
        </w:rPr>
      </w:pPr>
      <w:r>
        <w:rPr>
          <w:noProof/>
          <w:lang w:val="en-GB" w:eastAsia="en-GB" w:bidi="ar-SA"/>
        </w:rPr>
        <w:drawing>
          <wp:inline distT="0" distB="0" distL="0" distR="0">
            <wp:extent cx="4117846" cy="332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19134" cy="3325265"/>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bCs/>
          <w:i/>
          <w:noProof/>
          <w:color w:val="000000"/>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noProof/>
          <w:sz w:val="24"/>
        </w:rPr>
        <w:t>Uligheder og forringelsen af den sociale mobilitet udgør en risiko for vores samlede økonomiske udvikling</w:t>
      </w:r>
      <w:r>
        <w:rPr>
          <w:rStyle w:val="FootnoteReference"/>
          <w:rFonts w:ascii="Times New Roman" w:hAnsi="Times New Roman"/>
          <w:noProof/>
          <w:sz w:val="24"/>
        </w:rPr>
        <w:footnoteReference w:id="29"/>
      </w:r>
      <w:r>
        <w:rPr>
          <w:rFonts w:ascii="Times New Roman" w:hAnsi="Times New Roman"/>
          <w:noProof/>
          <w:sz w:val="24"/>
        </w:rPr>
        <w:t xml:space="preserve"> og sociale sammenhængskraft. EU klarer sig generelt relativt godt med hensyn til indkomstulighed, men mindre godt med hensyn til lige muligheder. Ulighed med hensyn til muligheder kan hindre dele af befolkningens sociale og arbejdsmarkedsmæssige inklusion</w:t>
      </w:r>
      <w:r>
        <w:rPr>
          <w:rFonts w:ascii="Times New Roman" w:hAnsi="Times New Roman"/>
          <w:noProof/>
          <w:sz w:val="24"/>
        </w:rPr>
        <w:t>, hvilket hæmmer vækstmulighederne.</w:t>
      </w:r>
      <w:r>
        <w:rPr>
          <w:b/>
          <w:noProof/>
          <w:sz w:val="24"/>
        </w:rPr>
        <w:t xml:space="preserve"> </w:t>
      </w:r>
      <w:r>
        <w:rPr>
          <w:rFonts w:ascii="Times New Roman" w:hAnsi="Times New Roman"/>
          <w:noProof/>
          <w:sz w:val="24"/>
        </w:rPr>
        <w:t>Det er afgørende at håndtere ulighederne, hvis offentligheden skal støtte omstillingen til bæredygtighed. Den stigende fristelse til isolationisme og nationalisme kan være et tegn på, at alt for mange europæere ikke føle</w:t>
      </w:r>
      <w:r>
        <w:rPr>
          <w:rFonts w:ascii="Times New Roman" w:hAnsi="Times New Roman"/>
          <w:noProof/>
          <w:sz w:val="24"/>
        </w:rPr>
        <w:t>r sig godt beskyttet i en verden, som forekommer dem at være stadig mere uretfærdig. Det er dog tydeligt, at ingen medlemsstat er stor og stærk nok til at tackle transnationale udfordringer alene, men i EU kan vi i forening tilbyde beskyttelse.</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Uligheder i global skala giver også anledning til dyb bekymring. </w:t>
      </w:r>
      <w:r>
        <w:rPr>
          <w:rFonts w:ascii="Times New Roman" w:hAnsi="Times New Roman"/>
          <w:noProof/>
          <w:color w:val="000000"/>
          <w:sz w:val="24"/>
        </w:rPr>
        <w:t>I betragtning af de store forskelle i befolkningstilvækst og levestandarder på tværs af kloden, og i en situation, hvor de globale temperaturer fortsætter med at stige og økosystemer forsvind</w:t>
      </w:r>
      <w:r>
        <w:rPr>
          <w:rFonts w:ascii="Times New Roman" w:hAnsi="Times New Roman"/>
          <w:noProof/>
          <w:color w:val="000000"/>
          <w:sz w:val="24"/>
        </w:rPr>
        <w:t>er, vil vi uden tvivl opleve en stigning i tvangsfordrivelser og migration i hele verden. I 2050 anslås det eksempelvis, at flere hundrede millioner mennesker vil flygte fra deres hjem på grund af klimaændringer og forringelse af miljøet</w:t>
      </w:r>
      <w:r>
        <w:rPr>
          <w:rStyle w:val="FootnoteReference"/>
          <w:rFonts w:ascii="Times New Roman" w:hAnsi="Times New Roman"/>
          <w:noProof/>
          <w:color w:val="000000"/>
          <w:sz w:val="24"/>
        </w:rPr>
        <w:footnoteReference w:id="30"/>
      </w:r>
      <w:r>
        <w:rPr>
          <w:rFonts w:ascii="Times New Roman" w:hAnsi="Times New Roman"/>
          <w:noProof/>
          <w:color w:val="000000"/>
          <w:sz w:val="24"/>
        </w:rPr>
        <w:t>. Dette er et tyde</w:t>
      </w:r>
      <w:r>
        <w:rPr>
          <w:rFonts w:ascii="Times New Roman" w:hAnsi="Times New Roman"/>
          <w:noProof/>
          <w:color w:val="000000"/>
          <w:sz w:val="24"/>
        </w:rPr>
        <w:t xml:space="preserve">ligt eksempel på, hvordan de mange komplekse spørgsmål er tæt forbundne og gensidigt afhængige, og på, hvorfor de kræver en omfattende reaktion. Der er ganske enkelt ikke nogen mirakelløsning på nogen af de store og svære udfordringer. </w:t>
      </w:r>
    </w:p>
    <w:p w:rsidR="000E3A3F" w:rsidRDefault="00B958E1">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noProof/>
          <w:color w:val="000000"/>
          <w:sz w:val="24"/>
        </w:rPr>
        <w:t>Det er en overvælde</w:t>
      </w:r>
      <w:r>
        <w:rPr>
          <w:rFonts w:ascii="Times New Roman" w:hAnsi="Times New Roman"/>
          <w:noProof/>
          <w:color w:val="000000"/>
          <w:sz w:val="24"/>
        </w:rPr>
        <w:t>nde opgave at modernisere vores økonomiske model, tage hånd om de sociale problemer, vi står overfor, og fortsætte med at fremme et stærkt, regelbaseret, multilateralt samarbejde. Men dette er de nødvendige ingredienser, hvis vi vil sikre social stabilitet</w:t>
      </w:r>
      <w:r>
        <w:rPr>
          <w:rFonts w:ascii="Times New Roman" w:hAnsi="Times New Roman"/>
          <w:noProof/>
          <w:color w:val="000000"/>
          <w:sz w:val="24"/>
        </w:rPr>
        <w:t xml:space="preserve">, få vores økonomier til at trives og forbedre vores sundhed. Vores frie samfund kræver økonomisk dynamik og løbende investeringer i centrale støtteteknologier og uddannelse. En bedre fremtid for alle kræver, at vi genopfinder en form for bæredygtig vækst </w:t>
      </w:r>
      <w:r>
        <w:rPr>
          <w:rFonts w:ascii="Times New Roman" w:hAnsi="Times New Roman"/>
          <w:noProof/>
          <w:color w:val="000000"/>
          <w:sz w:val="24"/>
        </w:rPr>
        <w:t>på grundlag af en forståelse af, at de naturlige grænsebetingelser i det 21. århundrede er meget anderledes end betingelserne i det forrige århundrede. Vi hilser denne udfordring velkommen.</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2849880" cy="1691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9880" cy="1691640"/>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Målene for bæredygtig udvikling er pr. definition globale mål,</w:t>
      </w:r>
      <w:r>
        <w:rPr>
          <w:rFonts w:ascii="Times New Roman" w:hAnsi="Times New Roman"/>
          <w:noProof/>
          <w:sz w:val="24"/>
        </w:rPr>
        <w:t xml:space="preserve"> som gælder for alle dele af verden, og vi må håndtere dem i overensstemmelse hermed. Vi er nødt til at arbejde ud fra et internationalt perspektiv, gå foran med et godt eksempel, fastsætte globale standarder og lokke lande, industrier og mennesker til at </w:t>
      </w:r>
      <w:r>
        <w:rPr>
          <w:rFonts w:ascii="Times New Roman" w:hAnsi="Times New Roman"/>
          <w:noProof/>
          <w:sz w:val="24"/>
        </w:rPr>
        <w:t>tilslutte sig denne mission. EU kan som verdens største indre marked, handelsblok og investor samt den største yder af udviklingsbistand have en meget stor indflydelse på, om FN's 2030-dagsorden bliver en succes. EU har allerede indført mange af de mest mo</w:t>
      </w:r>
      <w:r>
        <w:rPr>
          <w:rFonts w:ascii="Times New Roman" w:hAnsi="Times New Roman"/>
          <w:noProof/>
          <w:sz w:val="24"/>
        </w:rPr>
        <w:t xml:space="preserve">derne politikker i verden med henblik på at fremme bæredygtighed. Vi må fortsætte på denne kurs, men tempoet skal sættes op for at sikre et bæredygtigt Europa i 2030. Vi har ikke råd til at efterlade ansvaret til kommende generationer, og vores tidsvindue </w:t>
      </w:r>
      <w:r>
        <w:rPr>
          <w:rFonts w:ascii="Times New Roman" w:hAnsi="Times New Roman"/>
          <w:noProof/>
          <w:sz w:val="24"/>
        </w:rPr>
        <w:t xml:space="preserve">bliver hele tiden mindre. De beslutninger, som vi træffer eller ikke træffer i de kommende år, vil afgøre, om vi kan få vendt disse tendenser eller ej. </w:t>
      </w:r>
    </w:p>
    <w:p w:rsidR="000E3A3F" w:rsidRDefault="00B958E1">
      <w:pPr>
        <w:pStyle w:val="Heading1"/>
        <w:rPr>
          <w:rFonts w:eastAsia="Times New Roman"/>
          <w:noProof/>
        </w:rPr>
      </w:pPr>
      <w:bookmarkStart w:id="9" w:name="_Toc536442039"/>
      <w:bookmarkStart w:id="10" w:name="_Toc536627471"/>
      <w:r>
        <w:rPr>
          <w:noProof/>
        </w:rPr>
        <w:t>På vej mod et bæredygtigt Europa i 2030</w:t>
      </w:r>
      <w:bookmarkEnd w:id="9"/>
      <w:bookmarkEnd w:id="10"/>
    </w:p>
    <w:p w:rsidR="000E3A3F" w:rsidRDefault="000E3A3F">
      <w:pPr>
        <w:rPr>
          <w:noProof/>
          <w:sz w:val="4"/>
          <w:szCs w:val="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Bæredygtig udvikling handler om at forbedre menneskers levesta</w:t>
      </w:r>
      <w:r>
        <w:rPr>
          <w:rFonts w:ascii="Times New Roman" w:hAnsi="Times New Roman"/>
          <w:noProof/>
          <w:sz w:val="24"/>
        </w:rPr>
        <w:t>ndard ved at give dem reelle valg, skabe gunstige betingelser og formidle viden og bedre information. Dette bør medføre en situation, hvor vi "lever et godt liv i en ressourcebegrænset verden"</w:t>
      </w:r>
      <w:r>
        <w:rPr>
          <w:rStyle w:val="FootnoteReference"/>
          <w:rFonts w:ascii="Times New Roman" w:hAnsi="Times New Roman"/>
          <w:noProof/>
          <w:sz w:val="24"/>
        </w:rPr>
        <w:footnoteReference w:id="31"/>
      </w:r>
      <w:r>
        <w:rPr>
          <w:rFonts w:ascii="Times New Roman" w:hAnsi="Times New Roman"/>
          <w:noProof/>
          <w:sz w:val="24"/>
        </w:rPr>
        <w:t xml:space="preserve"> ved hjælp af smartere anvendelse af ressourcerne og en moderne økonomi, der tjener vores sundhed og velvære.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Vi bør derfor fortsætte på den kurs, vi har udstukket: en omstilling til en CO</w:t>
      </w:r>
      <w:r>
        <w:rPr>
          <w:rFonts w:ascii="Times New Roman" w:hAnsi="Times New Roman"/>
          <w:noProof/>
          <w:sz w:val="24"/>
          <w:vertAlign w:val="subscript"/>
        </w:rPr>
        <w:t>2</w:t>
      </w:r>
      <w:r>
        <w:rPr>
          <w:rFonts w:ascii="Times New Roman" w:hAnsi="Times New Roman"/>
          <w:noProof/>
          <w:sz w:val="24"/>
        </w:rPr>
        <w:t>-fattig, klimaneutral, ressourceeffektiv og biologisk mangfoldig ø</w:t>
      </w:r>
      <w:r>
        <w:rPr>
          <w:rFonts w:ascii="Times New Roman" w:hAnsi="Times New Roman"/>
          <w:noProof/>
          <w:sz w:val="24"/>
        </w:rPr>
        <w:t>konomi i fuld overensstemmelse med FN's 2030-dagsorden og de 17 mål for bæredygtig udvikling. Det er nødvendigt, at denne omstilling gavner alle, ikke efterlader nogen og sikrer lighed og rummelighed. Vores økonomiske vækst er nødt til at være mindre afhæn</w:t>
      </w:r>
      <w:r>
        <w:rPr>
          <w:rFonts w:ascii="Times New Roman" w:hAnsi="Times New Roman"/>
          <w:noProof/>
          <w:sz w:val="24"/>
        </w:rPr>
        <w:t xml:space="preserve">gig af ikkevedvarende ressourcer, så vi kan maksimere anvendelsen af bæredygtigt forvaltede vedvarende ressourcer og økosystemtjenester.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 har allerede iværksat denne omstilling. Mellem år 2000 og 2015 voksede beskæftigelsen i miljøsektoren hurtigere end</w:t>
      </w:r>
      <w:r>
        <w:rPr>
          <w:rFonts w:ascii="Times New Roman" w:hAnsi="Times New Roman"/>
          <w:noProof/>
          <w:sz w:val="24"/>
        </w:rPr>
        <w:t xml:space="preserve"> i den samlede økonomi</w:t>
      </w:r>
      <w:r>
        <w:rPr>
          <w:rStyle w:val="FootnoteReference"/>
          <w:rFonts w:ascii="Times New Roman" w:hAnsi="Times New Roman"/>
          <w:noProof/>
          <w:sz w:val="24"/>
        </w:rPr>
        <w:footnoteReference w:id="32"/>
      </w:r>
      <w:r>
        <w:rPr>
          <w:rFonts w:ascii="Times New Roman" w:hAnsi="Times New Roman"/>
          <w:noProof/>
          <w:sz w:val="24"/>
        </w:rPr>
        <w:t>. Lavemissionsteknologier er i færd med at blive en vigtig handelsvare, og EU nyder godt af væsentlige handelsoverskud. I løbet af perioden 2012-2015 nåede EU's eksport af vedvarende energiteknologier op på 71 mia. EUR og overgik der</w:t>
      </w:r>
      <w:r>
        <w:rPr>
          <w:rFonts w:ascii="Times New Roman" w:hAnsi="Times New Roman"/>
          <w:noProof/>
          <w:sz w:val="24"/>
        </w:rPr>
        <w:t xml:space="preserve">med importen med 11 mia. EUR. EU viser allerede, at det er muligt at få økonomien til at vokse og nedbringe kulstofemissionerne samtidig. </w:t>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B958E1">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446270" cy="33986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48670" cy="3400512"/>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B958E1">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602480" cy="35128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02480" cy="3512820"/>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i/>
          <w:noProof/>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 kan faslægge standarderne for resten af verden, hvis vi går forrest med gennemførelsen af målene for bære</w:t>
      </w:r>
      <w:r>
        <w:rPr>
          <w:rFonts w:ascii="Times New Roman" w:hAnsi="Times New Roman"/>
          <w:noProof/>
          <w:sz w:val="24"/>
        </w:rPr>
        <w:t>dygtig udvikling og omstillingen til en bæredygtig økonomi, herunder gennem intelligente investeringer i innovation og centrale støtteteknologier. EU vil i så fald blive den første til at høste fordelene ved omstillingen og ville også have den største konk</w:t>
      </w:r>
      <w:r>
        <w:rPr>
          <w:rFonts w:ascii="Times New Roman" w:hAnsi="Times New Roman"/>
          <w:noProof/>
          <w:sz w:val="24"/>
        </w:rPr>
        <w:t>urrencemæssige fordel på morgendagens globale markedsplads. Dette vil bidrage til at skabe stærkere medlemsstater i en stærkere Union, hjælpe mennesker med at forfølge deres mål i frihed og velvære og således opfylde EU's vision.</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color w:val="000000"/>
          <w:sz w:val="24"/>
          <w:szCs w:val="24"/>
        </w:rPr>
      </w:pPr>
      <w:r>
        <w:rPr>
          <w:rFonts w:ascii="Times New Roman" w:hAnsi="Times New Roman"/>
          <w:noProof/>
          <w:sz w:val="24"/>
        </w:rPr>
        <w:t>"Grøn vækst vil "løfte al</w:t>
      </w:r>
      <w:r>
        <w:rPr>
          <w:rFonts w:ascii="Times New Roman" w:hAnsi="Times New Roman"/>
          <w:noProof/>
          <w:sz w:val="24"/>
        </w:rPr>
        <w:t>le bådene""</w:t>
      </w:r>
      <w:r>
        <w:rPr>
          <w:rStyle w:val="FootnoteReference"/>
          <w:rFonts w:ascii="Times New Roman" w:hAnsi="Times New Roman"/>
          <w:noProof/>
          <w:sz w:val="24"/>
        </w:rPr>
        <w:footnoteReference w:id="33"/>
      </w:r>
      <w:r>
        <w:rPr>
          <w:rFonts w:ascii="Times New Roman" w:hAnsi="Times New Roman"/>
          <w:noProof/>
          <w:sz w:val="24"/>
        </w:rPr>
        <w:t>, og gavne både producenter og forbrugere. Det anslås, at opnåelse af målene for bæredygtig udvikling inden for fødevarer, landbrug, energi, materialer, byer og sundhed og velvære vil kunne åbne op for markedsmuligheder til en værdi af 10 bio. </w:t>
      </w:r>
      <w:r>
        <w:rPr>
          <w:rFonts w:ascii="Times New Roman" w:hAnsi="Times New Roman"/>
          <w:noProof/>
          <w:sz w:val="24"/>
        </w:rPr>
        <w:t>EUR</w:t>
      </w:r>
      <w:r>
        <w:rPr>
          <w:rStyle w:val="FootnoteReference"/>
          <w:rFonts w:ascii="Times New Roman" w:hAnsi="Times New Roman"/>
          <w:noProof/>
          <w:sz w:val="24"/>
        </w:rPr>
        <w:footnoteReference w:id="34"/>
      </w:r>
      <w:r>
        <w:rPr>
          <w:rFonts w:ascii="Times New Roman" w:hAnsi="Times New Roman"/>
          <w:noProof/>
          <w:sz w:val="24"/>
        </w:rPr>
        <w:t>. EU's ambition om at opnå en ressourceeffektiv og klimaneutral økonomi vil vise, at en grøn omstilling kan gå hånd i hånd med øget velstand. For at nå målet skal EU og medlemsstaterne føre an inden for videnskab, teknologi og moderne infrastruktur. Vi</w:t>
      </w:r>
      <w:r>
        <w:rPr>
          <w:rFonts w:ascii="Times New Roman" w:hAnsi="Times New Roman"/>
          <w:noProof/>
          <w:sz w:val="24"/>
        </w:rPr>
        <w:t xml:space="preserve"> skal også fremme udviklingen af nye forretningsmodeller, nedbryde barriererne i det indre marked og udnytte nye teknologier såsom kunstig intelligens. Vigtige horisontale katalysatorer såsom</w:t>
      </w:r>
      <w:r>
        <w:rPr>
          <w:rFonts w:ascii="Times New Roman" w:hAnsi="Times New Roman"/>
          <w:noProof/>
          <w:color w:val="000000"/>
          <w:sz w:val="24"/>
        </w:rPr>
        <w:t xml:space="preserve"> </w:t>
      </w:r>
      <w:r>
        <w:rPr>
          <w:rFonts w:ascii="Times New Roman" w:hAnsi="Times New Roman"/>
          <w:noProof/>
          <w:sz w:val="24"/>
        </w:rPr>
        <w:t>forskning og innovation, finansiering, prissætning og beskatning</w:t>
      </w:r>
      <w:r>
        <w:rPr>
          <w:rFonts w:ascii="Times New Roman" w:hAnsi="Times New Roman"/>
          <w:noProof/>
          <w:sz w:val="24"/>
        </w:rPr>
        <w:t>, ansvarlig forretningsskik og nye forretningsmodeller og uddannelse vil skabe de rette betingelser for en bæredygtig omstilling, hvis de er målrettet til en innovativ, grøn, inkluderende og socialt retfærdig økonomisk omstilling</w:t>
      </w:r>
      <w:r>
        <w:rPr>
          <w:rFonts w:ascii="Times New Roman" w:hAnsi="Times New Roman"/>
          <w:noProof/>
          <w:color w:val="000000"/>
          <w:sz w:val="24"/>
        </w:rPr>
        <w:t xml:space="preserve">. </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For at nå målet er vi nø</w:t>
      </w:r>
      <w:r>
        <w:rPr>
          <w:rFonts w:ascii="Times New Roman" w:hAnsi="Times New Roman"/>
          <w:noProof/>
          <w:sz w:val="24"/>
        </w:rPr>
        <w:t xml:space="preserve">dt til at fortsætte med at investere i mennesker og i de forskellige systemer, som understøtter vores samfund. </w:t>
      </w:r>
      <w:r>
        <w:rPr>
          <w:rFonts w:ascii="Times New Roman" w:hAnsi="Times New Roman"/>
          <w:noProof/>
          <w:color w:val="000000"/>
          <w:sz w:val="24"/>
        </w:rPr>
        <w:t>Isolerede, fragmenterede tilgange har vist sig at være ineffektive. Vi er nødt til at formulere strategier, der er omfattende og integrerede. Mil</w:t>
      </w:r>
      <w:r>
        <w:rPr>
          <w:rFonts w:ascii="Times New Roman" w:hAnsi="Times New Roman"/>
          <w:noProof/>
          <w:color w:val="000000"/>
          <w:sz w:val="24"/>
        </w:rPr>
        <w:t>jøspørgsmål kan eksempelvis ikke løses blot med miljøpolitikker, hvis de økonomiske politikker fortsætter med at fremme fossile brændstoffer, ressourceineffektivitet eller ikkebæredygtig produktion og ikkebæredygtigt forbrug. På samme måde er socialpolitik</w:t>
      </w:r>
      <w:r>
        <w:rPr>
          <w:rFonts w:ascii="Times New Roman" w:hAnsi="Times New Roman"/>
          <w:noProof/>
          <w:color w:val="000000"/>
          <w:sz w:val="24"/>
        </w:rPr>
        <w:t>ker ikke nok til at ledsage den fjerde industrielle revolution og støtte den arbejdskraft, der berøres af omstillingen til en lavemissionsøkonomi. Stærke politikker inden for uddannelse og undervisning samt forskning og udvikling vil også få afgørende bety</w:t>
      </w:r>
      <w:r>
        <w:rPr>
          <w:rFonts w:ascii="Times New Roman" w:hAnsi="Times New Roman"/>
          <w:noProof/>
          <w:color w:val="000000"/>
          <w:sz w:val="24"/>
        </w:rPr>
        <w:t>dning for opbygningen af den nødvendige modstandsdygtighed i vores samfund.</w:t>
      </w:r>
      <w:r>
        <w:rPr>
          <w:rFonts w:ascii="Times New Roman" w:hAnsi="Times New Roman"/>
          <w:noProof/>
          <w:sz w:val="24"/>
        </w:rPr>
        <w:t xml:space="preserv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Der er behov for handling på alle niveauer. </w:t>
      </w:r>
      <w:r>
        <w:rPr>
          <w:rFonts w:ascii="Times New Roman" w:hAnsi="Times New Roman"/>
          <w:noProof/>
          <w:sz w:val="24"/>
        </w:rPr>
        <w:t>EU-institutionerne, medlemsstaterne og regionerne er nødt til at være med. Byer, kommuner og landområder bør alle blive drivkræfter for forandring. Borgere, virksomheder, arbejdsmarkedets parter og forsknings- og vidensfællesskaber vil være nødt til at slå</w:t>
      </w:r>
      <w:r>
        <w:rPr>
          <w:rFonts w:ascii="Times New Roman" w:hAnsi="Times New Roman"/>
          <w:noProof/>
          <w:sz w:val="24"/>
        </w:rPr>
        <w:t xml:space="preserve"> sig sammen. EU og medlemsstaterne vil være nødt til at samarbejde med internationale partnere. Hvis vi skal nå målet, skal vi trække i samme retning på alle niveauer. </w:t>
      </w:r>
      <w:bookmarkStart w:id="11" w:name="_Toc529710464"/>
      <w:bookmarkStart w:id="12" w:name="_Toc529711035"/>
      <w:bookmarkStart w:id="13" w:name="_Toc529741350"/>
      <w:bookmarkStart w:id="14" w:name="_Toc529879840"/>
    </w:p>
    <w:p w:rsidR="000E3A3F" w:rsidRDefault="00B958E1">
      <w:pPr>
        <w:pStyle w:val="Heading2"/>
        <w:rPr>
          <w:noProof/>
        </w:rPr>
      </w:pPr>
      <w:bookmarkStart w:id="15" w:name="_Toc536442040"/>
      <w:bookmarkStart w:id="16" w:name="_Toc536627472"/>
      <w:r>
        <w:rPr>
          <w:noProof/>
        </w:rPr>
        <w:t>Politisk fundament for en bæredygtig fremtid</w:t>
      </w:r>
      <w:bookmarkEnd w:id="15"/>
      <w:bookmarkEnd w:id="16"/>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Det er derfor af største vigtighed, at all</w:t>
      </w:r>
      <w:r>
        <w:rPr>
          <w:rFonts w:ascii="Times New Roman" w:hAnsi="Times New Roman"/>
          <w:noProof/>
          <w:sz w:val="24"/>
        </w:rPr>
        <w:t xml:space="preserve">e aktører i EU prioriterer omstillingen til bæredygtighed. De må videreudvikle de tværgående politiske dagsordener, som er blevet vedtaget på EU-plan i de seneste år. Væsentlige dele af EU's politikker er allerede målrettet til at nå målene for bæredygtig </w:t>
      </w:r>
      <w:r>
        <w:rPr>
          <w:rFonts w:ascii="Times New Roman" w:hAnsi="Times New Roman"/>
          <w:noProof/>
          <w:sz w:val="24"/>
        </w:rPr>
        <w:t>udvikling, men de skal stadig omsættes til praksis på en integreret måde af medlemsstaterne. Omkostningerne ved at undlade at gennemføre eksisterende EU-politik på miljøområdet anslås til ca. 50 mia. EUR om året i sundhedsudgifter og direkte omkostninger f</w:t>
      </w:r>
      <w:r>
        <w:rPr>
          <w:rFonts w:ascii="Times New Roman" w:hAnsi="Times New Roman"/>
          <w:noProof/>
          <w:sz w:val="24"/>
        </w:rPr>
        <w:t>or miljøet. At opnå fuld overensstemmelse med EU's miljøregler vil ikke blot medføre store fordele for miljøet og vores sundhed, men også skabe jobs</w:t>
      </w:r>
      <w:r>
        <w:rPr>
          <w:rStyle w:val="FootnoteReference"/>
          <w:rFonts w:ascii="Times New Roman" w:hAnsi="Times New Roman"/>
          <w:noProof/>
          <w:sz w:val="24"/>
        </w:rPr>
        <w:footnoteReference w:id="35"/>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På samme måde handler det ikke blot om at øge omfanget af de bæredygtige løsninger og den hastighed, hv</w:t>
      </w:r>
      <w:r>
        <w:rPr>
          <w:rFonts w:ascii="Times New Roman" w:hAnsi="Times New Roman"/>
          <w:noProof/>
          <w:sz w:val="24"/>
        </w:rPr>
        <w:t xml:space="preserve">ormed de gennemføres, men også om at bygge broer og øge sammenhængskraften mellem forskellige dagsordener på alle niveauer. Sammenhæng i politikkerne er en afgørende betingelse for, at vi kan skabe resultater med hensyn til målene for bæredygtig udvikling </w:t>
      </w:r>
      <w:r>
        <w:rPr>
          <w:rFonts w:ascii="Times New Roman" w:hAnsi="Times New Roman"/>
          <w:noProof/>
          <w:sz w:val="24"/>
        </w:rPr>
        <w:t>og sikre langsigtet, grøn og inkluderende vækst i EU.</w:t>
      </w:r>
    </w:p>
    <w:p w:rsidR="000E3A3F" w:rsidRDefault="00B958E1">
      <w:pPr>
        <w:spacing w:line="240" w:lineRule="auto"/>
        <w:jc w:val="both"/>
        <w:rPr>
          <w:rFonts w:ascii="Times New Roman" w:hAnsi="Times New Roman" w:cs="Times New Roman"/>
          <w:b/>
          <w:noProof/>
          <w:color w:val="4F81BD" w:themeColor="accent1"/>
          <w:sz w:val="24"/>
          <w:szCs w:val="24"/>
        </w:rPr>
      </w:pPr>
      <w:r>
        <w:rPr>
          <w:rFonts w:ascii="Times New Roman" w:hAnsi="Times New Roman"/>
          <w:noProof/>
          <w:sz w:val="24"/>
        </w:rPr>
        <w:t xml:space="preserve">I overensstemmelse med det stærke evidensgrundlag for EU's vigtigste bæredygtighedsudfordringer og -muligheder er det vigtigt at fokusere på produktion og forbrug inden for områderne materialer og </w:t>
      </w:r>
      <w:r>
        <w:rPr>
          <w:rFonts w:ascii="Times New Roman" w:hAnsi="Times New Roman"/>
          <w:noProof/>
          <w:sz w:val="24"/>
        </w:rPr>
        <w:t>produkter, fødevarer, energi mobilitet og bebyggede miljøer</w:t>
      </w:r>
      <w:r>
        <w:rPr>
          <w:rStyle w:val="FootnoteReference"/>
          <w:rFonts w:ascii="Times New Roman" w:hAnsi="Times New Roman"/>
          <w:noProof/>
          <w:sz w:val="24"/>
        </w:rPr>
        <w:footnoteReference w:id="36"/>
      </w:r>
      <w:r>
        <w:rPr>
          <w:rFonts w:ascii="Times New Roman" w:hAnsi="Times New Roman"/>
          <w:noProof/>
          <w:sz w:val="24"/>
        </w:rPr>
        <w:t>, under hensyntagen til de sociale konsekvenser, som ændringer på disse områder har. Det er her, ændringer er mest nødvendige og potentielt mest gavnlige for EU's økonomi, samfund og naturlige mil</w:t>
      </w:r>
      <w:r>
        <w:rPr>
          <w:rFonts w:ascii="Times New Roman" w:hAnsi="Times New Roman"/>
          <w:noProof/>
          <w:sz w:val="24"/>
        </w:rPr>
        <w:t>jø, og der forventes betydelige positive afsmittende virkninger. Disse områder fungerer ikke isoleret, men er stærkt forbundet og gensidigt forstærkende</w:t>
      </w:r>
      <w:bookmarkEnd w:id="11"/>
      <w:bookmarkEnd w:id="12"/>
      <w:bookmarkEnd w:id="13"/>
      <w:r>
        <w:rPr>
          <w:rFonts w:ascii="Times New Roman" w:hAnsi="Times New Roman"/>
          <w:noProof/>
          <w:sz w:val="24"/>
        </w:rPr>
        <w:t>.</w:t>
      </w:r>
      <w:bookmarkEnd w:id="14"/>
      <w:r>
        <w:rPr>
          <w:rFonts w:ascii="Times New Roman" w:hAnsi="Times New Roman"/>
          <w:noProof/>
          <w:sz w:val="24"/>
        </w:rPr>
        <w:t xml:space="preserve"> </w:t>
      </w:r>
    </w:p>
    <w:p w:rsidR="000E3A3F" w:rsidRDefault="00B958E1">
      <w:pPr>
        <w:pStyle w:val="Heading3"/>
        <w:rPr>
          <w:noProof/>
        </w:rPr>
      </w:pPr>
      <w:bookmarkStart w:id="17" w:name="_Toc536442041"/>
      <w:bookmarkStart w:id="18" w:name="_Toc536627473"/>
      <w:r>
        <w:rPr>
          <w:noProof/>
        </w:rPr>
        <w:t>Fra lineær til cirkulær økonomi</w:t>
      </w:r>
      <w:bookmarkEnd w:id="17"/>
      <w:bookmarkEnd w:id="18"/>
      <w:r>
        <w:rPr>
          <w:noProof/>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color w:val="000000"/>
          <w:sz w:val="24"/>
        </w:rPr>
        <w:t>Forskellige materialers og produkters øgede tilgængelighed og overko</w:t>
      </w:r>
      <w:r>
        <w:rPr>
          <w:rFonts w:ascii="Times New Roman" w:hAnsi="Times New Roman"/>
          <w:noProof/>
          <w:color w:val="000000"/>
          <w:sz w:val="24"/>
        </w:rPr>
        <w:t>mmelighed</w:t>
      </w:r>
      <w:r>
        <w:rPr>
          <w:rFonts w:ascii="Times New Roman" w:hAnsi="Times New Roman"/>
          <w:noProof/>
          <w:sz w:val="24"/>
        </w:rPr>
        <w:t xml:space="preserve"> har gjort vores liv enklere og bidraget til stigningen i levestandarder og livskvalitet i EU. Vores forbrugskultur har dog resulteret i en umådeholden ressourceudvinding og stigende pres på naturkapital og klima</w:t>
      </w:r>
      <w:r>
        <w:rPr>
          <w:rStyle w:val="FootnoteReference"/>
          <w:rFonts w:ascii="Times New Roman" w:hAnsi="Times New Roman"/>
          <w:noProof/>
          <w:sz w:val="24"/>
        </w:rPr>
        <w:footnoteReference w:id="37"/>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Vi er nødt til at sikre, at vi </w:t>
      </w:r>
      <w:r>
        <w:rPr>
          <w:rFonts w:ascii="Times New Roman" w:hAnsi="Times New Roman"/>
          <w:noProof/>
          <w:sz w:val="24"/>
        </w:rPr>
        <w:t>kan fortsætte med at skabe økonomisk vækst på en bæredygtig måde og skabe de forbedrede levestandarder, som befolkningerne kræver. Dette vil kræve, at materialer og produkter udformes på nye måder, således at vi er ordentligt klædt på til at genanvende, re</w:t>
      </w:r>
      <w:r>
        <w:rPr>
          <w:rFonts w:ascii="Times New Roman" w:hAnsi="Times New Roman"/>
          <w:noProof/>
          <w:sz w:val="24"/>
        </w:rPr>
        <w:t>parere og genbruge mere og mere. Dette vil ikke blot nedbringe affaldsmængden, men også mindske behovet for udvinding af nye ressourcer med store finansielle og miljømæssige omkostninger. Når et produkt når frem til afslutningen på sin livscyklus, uanset o</w:t>
      </w:r>
      <w:r>
        <w:rPr>
          <w:rFonts w:ascii="Times New Roman" w:hAnsi="Times New Roman"/>
          <w:noProof/>
          <w:sz w:val="24"/>
        </w:rPr>
        <w:t>m det er et par bukser, en smartphone, en fødevarebeholder eller et møbel, så sikrer en rigtig cirkulær økonomi, at hovedparten af den materielle værdi bevares, således at det, der tidligere blev betragtet som affald, kan genanvendes til at lave nye produk</w:t>
      </w:r>
      <w:r>
        <w:rPr>
          <w:rFonts w:ascii="Times New Roman" w:hAnsi="Times New Roman"/>
          <w:noProof/>
          <w:sz w:val="24"/>
        </w:rPr>
        <w:t>ter.</w:t>
      </w:r>
    </w:p>
    <w:p w:rsidR="000E3A3F" w:rsidRDefault="00B958E1">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566160" cy="3596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6160" cy="3596640"/>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b/>
          <w:noProof/>
          <w:sz w:val="24"/>
        </w:rPr>
        <w:t>Omstillingen til en cirkulær økonomi</w:t>
      </w:r>
      <w:r>
        <w:rPr>
          <w:rFonts w:ascii="Times New Roman" w:hAnsi="Times New Roman"/>
          <w:noProof/>
          <w:sz w:val="24"/>
        </w:rPr>
        <w:t>, herunder til en cirkulær bioøkonomi, udgør en stor mulighed for at skabe konkurrencemæssige fordele på et bæredygtigt grundlag.</w:t>
      </w:r>
      <w:r>
        <w:rPr>
          <w:rFonts w:ascii="Times New Roman" w:hAnsi="Times New Roman"/>
          <w:b/>
          <w:noProof/>
          <w:sz w:val="24"/>
        </w:rPr>
        <w:t xml:space="preserve"> </w:t>
      </w:r>
      <w:r>
        <w:rPr>
          <w:rFonts w:ascii="Times New Roman" w:hAnsi="Times New Roman"/>
          <w:noProof/>
          <w:sz w:val="24"/>
        </w:rPr>
        <w:t>Anvendelsen af principperne for en cirkulær økonomi i alle sektorer og industrier v</w:t>
      </w:r>
      <w:r>
        <w:rPr>
          <w:rFonts w:ascii="Times New Roman" w:hAnsi="Times New Roman"/>
          <w:noProof/>
          <w:sz w:val="24"/>
        </w:rPr>
        <w:t>il gavne Europa miljømæssigt og socialt og derudover indeholde potentiale til at generere en økonomisk nettogevinst på 1,8 bio. EUR frem mod 2030</w:t>
      </w:r>
      <w:r>
        <w:rPr>
          <w:rStyle w:val="FootnoteReference"/>
          <w:rFonts w:ascii="Times New Roman" w:hAnsi="Times New Roman"/>
          <w:noProof/>
          <w:sz w:val="24"/>
        </w:rPr>
        <w:footnoteReference w:id="38"/>
      </w:r>
      <w:r>
        <w:rPr>
          <w:rFonts w:ascii="Times New Roman" w:hAnsi="Times New Roman"/>
          <w:noProof/>
          <w:sz w:val="24"/>
        </w:rPr>
        <w:t>, skabe over 1 millioner nye jobs i hele EU frem mod 2030</w:t>
      </w:r>
      <w:r>
        <w:rPr>
          <w:rStyle w:val="FootnoteReference"/>
          <w:rFonts w:ascii="Times New Roman" w:hAnsi="Times New Roman"/>
          <w:noProof/>
          <w:sz w:val="24"/>
        </w:rPr>
        <w:footnoteReference w:id="39"/>
      </w:r>
      <w:r>
        <w:rPr>
          <w:rFonts w:ascii="Times New Roman" w:hAnsi="Times New Roman"/>
          <w:noProof/>
          <w:sz w:val="24"/>
        </w:rPr>
        <w:t xml:space="preserve"> og spille en vigtig rolle for nedbringelsen af driv</w:t>
      </w:r>
      <w:r>
        <w:rPr>
          <w:rFonts w:ascii="Times New Roman" w:hAnsi="Times New Roman"/>
          <w:noProof/>
          <w:sz w:val="24"/>
        </w:rPr>
        <w:t>husgasemissioner</w:t>
      </w:r>
      <w:r>
        <w:rPr>
          <w:rStyle w:val="FootnoteReference"/>
          <w:rFonts w:ascii="Times New Roman" w:hAnsi="Times New Roman"/>
          <w:noProof/>
          <w:sz w:val="24"/>
        </w:rPr>
        <w:footnoteReference w:id="40"/>
      </w:r>
      <w:r>
        <w:rPr>
          <w:rFonts w:ascii="Times New Roman" w:hAnsi="Times New Roman"/>
          <w:noProof/>
          <w:sz w:val="24"/>
        </w:rPr>
        <w:t>. I betragtning af EU-produkters store afhængighed af ressourcer fra andre dele af verden vil omstillingen til en cirkulær økonomi også hjælpe EU med at nedbringe det miljømæssige, sociale og økonomiske pres på globalt plan og øge EU's str</w:t>
      </w:r>
      <w:r>
        <w:rPr>
          <w:rFonts w:ascii="Times New Roman" w:hAnsi="Times New Roman"/>
          <w:noProof/>
          <w:sz w:val="24"/>
        </w:rPr>
        <w:t xml:space="preserve">ategiske autonomi. </w:t>
      </w:r>
    </w:p>
    <w:p w:rsidR="000E3A3F" w:rsidRDefault="00B958E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4770120" cy="2887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70120" cy="2887980"/>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EU's økonomi er den økonomi, der er bedst placeret til at nyde godt af omstillingen til en cirkulær økonomi ved at gøre cirkulære produkter til et af sine vigtigste varemærker og dermed generere konkurrencemæssige fordele. For at opre</w:t>
      </w:r>
      <w:r>
        <w:rPr>
          <w:rFonts w:ascii="Times New Roman" w:hAnsi="Times New Roman"/>
          <w:noProof/>
          <w:sz w:val="24"/>
        </w:rPr>
        <w:t>tholde denne fordel bliver vi dog nødt til at optrappe vores indsats. I EU-handlingsplanen for den cirkulære økonomi, som Juncker-Kommissionen vedtog i 2015, fastlægges en række foranstaltninger, som har til formål at styre EU's økonomi over i et cirkulært</w:t>
      </w:r>
      <w:r>
        <w:rPr>
          <w:rFonts w:ascii="Times New Roman" w:hAnsi="Times New Roman"/>
          <w:noProof/>
          <w:sz w:val="24"/>
        </w:rPr>
        <w:t xml:space="preserve"> spor og hjælpe EU med at blive verdensførende med hensyn til denne omstilling. Handlingsplanen indeholder skridt, som har til formål at ændre forbrugs- og produktionsmønstre ved at fokusere på udformningen af produkter (holdbarhed, mulighederne for repara</w:t>
      </w:r>
      <w:r>
        <w:rPr>
          <w:rFonts w:ascii="Times New Roman" w:hAnsi="Times New Roman"/>
          <w:noProof/>
          <w:sz w:val="24"/>
        </w:rPr>
        <w:t>tion, genbrug og genanvendelighed), affaldshåndtering (forebyggelse, genanvendelse af materialer, genvinding af energi og undgåelse af deponering) samt øget forbrugerbevidsthed. Næsten alle elementerne i handlingsplanen er allerede gennemført, men der er b</w:t>
      </w:r>
      <w:r>
        <w:rPr>
          <w:rFonts w:ascii="Times New Roman" w:hAnsi="Times New Roman"/>
          <w:noProof/>
          <w:sz w:val="24"/>
        </w:rPr>
        <w:t xml:space="preserve">ehov for yderligere tiltag for at skabe en rigtig cirkulær europæisk økonomi. </w:t>
      </w:r>
    </w:p>
    <w:p w:rsidR="000E3A3F" w:rsidRDefault="00B958E1">
      <w:pPr>
        <w:spacing w:line="240" w:lineRule="auto"/>
        <w:jc w:val="both"/>
        <w:rPr>
          <w:rFonts w:ascii="Times New Roman" w:hAnsi="Times New Roman" w:cs="Times New Roman"/>
          <w:strike/>
          <w:noProof/>
          <w:sz w:val="24"/>
          <w:szCs w:val="24"/>
        </w:rPr>
      </w:pPr>
      <w:r>
        <w:rPr>
          <w:rFonts w:ascii="Times New Roman" w:hAnsi="Times New Roman"/>
          <w:noProof/>
          <w:sz w:val="24"/>
        </w:rPr>
        <w:t>EU's fornyede strategi for bioøkonomi, som blev fremlagt i 2018, supplerer handlingsplanen for den cirkulære økonomi, forbedrer og opskalerer den bæredygtige anvendelse af vedva</w:t>
      </w:r>
      <w:r>
        <w:rPr>
          <w:rFonts w:ascii="Times New Roman" w:hAnsi="Times New Roman"/>
          <w:noProof/>
          <w:sz w:val="24"/>
        </w:rPr>
        <w:t xml:space="preserve">rende ressourcer og gør det muligt at lave vedvarende råmaterialer og industrielle biprodukter om til biobaserede produkter såsom brændstoffer, kemikalier, kompositmaterialer, møbler og gødningsstoffer.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Det er nu afgørende at omsætte de politikker, der er</w:t>
      </w:r>
      <w:r>
        <w:rPr>
          <w:rFonts w:ascii="Times New Roman" w:hAnsi="Times New Roman"/>
          <w:noProof/>
          <w:sz w:val="24"/>
        </w:rPr>
        <w:t xml:space="preserve"> gennemført, i praksis og fortsætte med at prioritere nye tiltag på alle myndighedsniveauer i EU. Eksempelvis skal medlemsstaterne indføre den ambitiøse modernisering af EU-reglerne om affald i praksis. Livscyklusvurderinger af produkter bør blive normen, </w:t>
      </w:r>
      <w:r>
        <w:rPr>
          <w:rFonts w:ascii="Times New Roman" w:hAnsi="Times New Roman"/>
          <w:noProof/>
          <w:sz w:val="24"/>
        </w:rPr>
        <w:t xml:space="preserve">og rammen for miljøvenligt design, som blev skabt med henblik på at forbedre </w:t>
      </w:r>
      <w:r>
        <w:rPr>
          <w:rStyle w:val="ilfuvd"/>
          <w:rFonts w:ascii="Times New Roman" w:hAnsi="Times New Roman"/>
          <w:noProof/>
          <w:sz w:val="24"/>
        </w:rPr>
        <w:t>produkters evne til at mindske energi- og ressourceforbruget</w:t>
      </w:r>
      <w:r>
        <w:rPr>
          <w:rFonts w:ascii="Times New Roman" w:hAnsi="Times New Roman"/>
          <w:noProof/>
          <w:sz w:val="24"/>
        </w:rPr>
        <w:t xml:space="preserve">, bør udvides så meget som muligt. Det arbejde, der er indledt med hensyn til kemikalier, det ugiftige miljø, </w:t>
      </w:r>
      <w:r>
        <w:rPr>
          <w:rFonts w:ascii="Times New Roman" w:hAnsi="Times New Roman"/>
          <w:noProof/>
          <w:sz w:val="24"/>
        </w:rPr>
        <w:t>miljømærkning og miljøinnovation, kritiske råstoffer og gødningsstoffer, skal fremskyndes. Det skal fortsat have høj prioritet at styrke markedet for sekundære råstoffer. Det vellykkede arbejde med en cirkulær økonomi inden for plastic skal fortsat være et</w:t>
      </w:r>
      <w:r>
        <w:rPr>
          <w:rFonts w:ascii="Times New Roman" w:hAnsi="Times New Roman"/>
          <w:noProof/>
          <w:sz w:val="24"/>
        </w:rPr>
        <w:t xml:space="preserve"> centralt fokusområde, og andre ressource- og forureningsintensive industrier såsom fødevarer, tekstiler og elektronik vil også kræve støtte, hvis de skal gøres cirkulære. Biobaserede sektorer skal opskaleres og styrkes, samtidig med at vores økosystemer b</w:t>
      </w:r>
      <w:r>
        <w:rPr>
          <w:rFonts w:ascii="Times New Roman" w:hAnsi="Times New Roman"/>
          <w:noProof/>
          <w:sz w:val="24"/>
        </w:rPr>
        <w:t>eskyttes og overudnyttelse af naturressourcerne undgås. Vi bør for fremtiden gøre den cirkulære økonomi til rygraden i EU's industrielle strategi, muliggøre cirkularitet inden for nye områder og sektorer, give forbrugerne mulighed for at træffe oplyste val</w:t>
      </w:r>
      <w:r>
        <w:rPr>
          <w:rFonts w:ascii="Times New Roman" w:hAnsi="Times New Roman"/>
          <w:noProof/>
          <w:sz w:val="24"/>
        </w:rPr>
        <w:t>g og forbedre indsatsen i den offentlige sektor gennem bæredygtige offentlige indkøb. Tiden er inde, og den massive offentlige støtte til EU's plaststrategi viser, at der er stigende forståelse for at fortsætte i dette spor.</w:t>
      </w:r>
    </w:p>
    <w:p w:rsidR="000E3A3F" w:rsidRDefault="00B958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b/>
          <w:noProof/>
          <w:sz w:val="24"/>
        </w:rPr>
        <w:t>Indsatsen for en cirkulær økono</w:t>
      </w:r>
      <w:r>
        <w:rPr>
          <w:rFonts w:ascii="Times New Roman" w:hAnsi="Times New Roman"/>
          <w:b/>
          <w:noProof/>
          <w:sz w:val="24"/>
        </w:rPr>
        <w:t xml:space="preserve">mi: EU indfører verdens første omfattende plaststrategi </w:t>
      </w:r>
    </w:p>
    <w:p w:rsidR="000E3A3F" w:rsidRDefault="00B958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EU's plaststrategi</w:t>
      </w:r>
      <w:r>
        <w:rPr>
          <w:rStyle w:val="FootnoteReference"/>
          <w:rFonts w:ascii="Times New Roman" w:hAnsi="Times New Roman"/>
          <w:noProof/>
          <w:sz w:val="24"/>
        </w:rPr>
        <w:footnoteReference w:id="41"/>
      </w:r>
      <w:r>
        <w:rPr>
          <w:rFonts w:ascii="Times New Roman" w:hAnsi="Times New Roman"/>
          <w:noProof/>
          <w:sz w:val="24"/>
        </w:rPr>
        <w:t xml:space="preserve"> og lovgivning vedrørende engangsplastic</w:t>
      </w:r>
      <w:r>
        <w:rPr>
          <w:rStyle w:val="FootnoteReference"/>
          <w:rFonts w:ascii="Times New Roman" w:hAnsi="Times New Roman"/>
          <w:noProof/>
          <w:sz w:val="24"/>
        </w:rPr>
        <w:footnoteReference w:id="42"/>
      </w:r>
      <w:r>
        <w:rPr>
          <w:rFonts w:ascii="Times New Roman" w:hAnsi="Times New Roman"/>
          <w:noProof/>
          <w:sz w:val="24"/>
        </w:rPr>
        <w:t xml:space="preserve"> vil beskytte miljøet fra plasticforurening og samtidig fremme vækst og innovation. Al plastemballage, som markedsføres på EU-markedet, skal kunne genanvendes inden 2030 på en økonomisk bæredygtig måde, bevidst tilsat mikroplast og de mest skadelige engang</w:t>
      </w:r>
      <w:r>
        <w:rPr>
          <w:rFonts w:ascii="Times New Roman" w:hAnsi="Times New Roman"/>
          <w:noProof/>
          <w:sz w:val="24"/>
        </w:rPr>
        <w:t>sprodukter af plast, som der findes alternativer til, vil blive forbudt, og genanvendt plast vil i stigende grad blive brugt til at lave nye produkter.</w:t>
      </w:r>
    </w:p>
    <w:p w:rsidR="000E3A3F" w:rsidRDefault="00B958E1">
      <w:pPr>
        <w:pStyle w:val="Heading3"/>
        <w:rPr>
          <w:noProof/>
        </w:rPr>
      </w:pPr>
      <w:bookmarkStart w:id="19" w:name="_Toc532469542"/>
      <w:bookmarkStart w:id="20" w:name="_Toc536442042"/>
      <w:bookmarkStart w:id="21" w:name="_Toc536627474"/>
      <w:bookmarkEnd w:id="19"/>
      <w:r>
        <w:rPr>
          <w:noProof/>
        </w:rPr>
        <w:t>Bæredygtighed fra gård til gaffel</w:t>
      </w:r>
      <w:bookmarkEnd w:id="20"/>
      <w:bookmarkEnd w:id="21"/>
      <w:r>
        <w:rPr>
          <w:noProof/>
        </w:rPr>
        <w:t xml:space="preserve"> </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EU's landbrugssektor og landområder spiller en afgørende rolle for eu</w:t>
      </w:r>
      <w:r>
        <w:rPr>
          <w:rFonts w:ascii="Times New Roman" w:hAnsi="Times New Roman"/>
          <w:noProof/>
          <w:sz w:val="24"/>
        </w:rPr>
        <w:t xml:space="preserve">ropæernes velvære. Vores </w:t>
      </w:r>
      <w:r>
        <w:rPr>
          <w:rFonts w:ascii="Times New Roman" w:hAnsi="Times New Roman"/>
          <w:b/>
          <w:noProof/>
          <w:sz w:val="24"/>
        </w:rPr>
        <w:t>landbrugs- og fødevareindustri</w:t>
      </w:r>
      <w:r>
        <w:rPr>
          <w:rFonts w:ascii="Times New Roman" w:hAnsi="Times New Roman"/>
          <w:noProof/>
          <w:sz w:val="24"/>
        </w:rPr>
        <w:t xml:space="preserve"> gør EU til en af verdens førende producenter af fødevarer, garant for fødevaresikkerhed og skaber af millioner af jobs til europæerne. EU's landbrugere er også de vigtigste forvaltere af det naturlige</w:t>
      </w:r>
      <w:r>
        <w:rPr>
          <w:rFonts w:ascii="Times New Roman" w:hAnsi="Times New Roman"/>
          <w:noProof/>
          <w:sz w:val="24"/>
        </w:rPr>
        <w:t xml:space="preserve"> miljø, da de plejer naturressourcerne på 48 % af EU's område, med skovbrugere på en andenplads med 40 %. EU's landområder huser innovative sektorer såsom bioøkonomi. Derudover fungerer vores landområder som vigtige rekreations- og turismeområder. Den fort</w:t>
      </w:r>
      <w:r>
        <w:rPr>
          <w:rFonts w:ascii="Times New Roman" w:hAnsi="Times New Roman"/>
          <w:noProof/>
          <w:sz w:val="24"/>
        </w:rPr>
        <w:t>satte stigning i gennemsnitstemperaturene og forringelsen af det naturlige miljø rammer først og fremmest landbrugere og skovbrugere.</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Landbruget i EU har gjort reelle fremskridt på klima- og miljøfronten og nedbragt drivhusgasemissionerne med 20 % og nitr</w:t>
      </w:r>
      <w:r>
        <w:rPr>
          <w:rFonts w:ascii="Times New Roman" w:hAnsi="Times New Roman"/>
          <w:noProof/>
          <w:sz w:val="24"/>
        </w:rPr>
        <w:t xml:space="preserve">atniveauerne med 17,7 % siden 1990. Der er dog fortsat konstaterede udfordringer. Hvis vi skal modernisere vores økonomi, beskytte vores miljø og forbedre kvaliteten af vores fødevarer, så skal ubalancer i fødevarekæden rettes, fra landbrug og fiskeri til </w:t>
      </w:r>
      <w:r>
        <w:rPr>
          <w:rFonts w:ascii="Times New Roman" w:hAnsi="Times New Roman"/>
          <w:noProof/>
          <w:sz w:val="24"/>
        </w:rPr>
        <w:t xml:space="preserve">fødevare- og drikkevareindustrien, transport, distribution og forbrug.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Målene for bæredygtig udvikling tilbyder en vej fremad. Et globalt system for fødevarer og landbrug i overensstemmelse med målene for bæredygtig udvikling anslås at kunne skabe mere en</w:t>
      </w:r>
      <w:r>
        <w:rPr>
          <w:rFonts w:ascii="Times New Roman" w:hAnsi="Times New Roman"/>
          <w:noProof/>
          <w:sz w:val="24"/>
        </w:rPr>
        <w:t>d 1,8 bio. EUR i ny økonomisk værdi frem mod 2030</w:t>
      </w:r>
      <w:r>
        <w:rPr>
          <w:rStyle w:val="FootnoteReference"/>
          <w:rFonts w:ascii="Times New Roman" w:hAnsi="Times New Roman"/>
          <w:noProof/>
          <w:sz w:val="24"/>
        </w:rPr>
        <w:footnoteReference w:id="43"/>
      </w:r>
      <w:r>
        <w:rPr>
          <w:rFonts w:ascii="Times New Roman" w:hAnsi="Times New Roman"/>
          <w:noProof/>
          <w:sz w:val="24"/>
        </w:rPr>
        <w:t>. Det kan levere næringsrige, billige fødevarer til en voksende verdensbefolkning, generere højere indkomster, bidrage til at genskabe skove, ferskvandsressourcer og økosystemer og være meget mere modstands</w:t>
      </w:r>
      <w:r>
        <w:rPr>
          <w:rFonts w:ascii="Times New Roman" w:hAnsi="Times New Roman"/>
          <w:noProof/>
          <w:sz w:val="24"/>
        </w:rPr>
        <w:t>dygtig over for klimarisici</w:t>
      </w:r>
      <w:r>
        <w:rPr>
          <w:rStyle w:val="FootnoteReference"/>
          <w:rFonts w:ascii="Times New Roman" w:hAnsi="Times New Roman"/>
          <w:noProof/>
          <w:sz w:val="24"/>
        </w:rPr>
        <w:footnoteReference w:id="44"/>
      </w:r>
      <w:r>
        <w:rPr>
          <w:rFonts w:ascii="Times New Roman" w:hAnsi="Times New Roman"/>
          <w:noProof/>
          <w:sz w:val="24"/>
        </w:rPr>
        <w:t>. Bæredygtig praksis inden for landbrugs- og fødevareproduktion forventes at skabe mere end 200 millioner fuldtidsjobs på globalt plan frem mod 2050</w:t>
      </w:r>
      <w:r>
        <w:rPr>
          <w:rStyle w:val="FootnoteReference"/>
          <w:rFonts w:ascii="Times New Roman" w:hAnsi="Times New Roman"/>
          <w:noProof/>
          <w:sz w:val="24"/>
        </w:rPr>
        <w:footnoteReference w:id="45"/>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Også på dette område udvikler den offentlige efterspørgsel sig. Borgerne sæt</w:t>
      </w:r>
      <w:r>
        <w:rPr>
          <w:rFonts w:ascii="Times New Roman" w:hAnsi="Times New Roman"/>
          <w:noProof/>
          <w:sz w:val="24"/>
        </w:rPr>
        <w:t>ter i stigende grad pris på fødevarer, som er fremstillet til bredere gavn for samfundet såsom økologiske produkter, produkter med geografiske betegnelser, systemer til lokaliseret fødevareproduktion med lavere CO</w:t>
      </w:r>
      <w:r>
        <w:rPr>
          <w:rFonts w:ascii="Times New Roman" w:hAnsi="Times New Roman"/>
          <w:noProof/>
          <w:sz w:val="24"/>
          <w:vertAlign w:val="subscript"/>
        </w:rPr>
        <w:t>2</w:t>
      </w:r>
      <w:r>
        <w:rPr>
          <w:rFonts w:ascii="Times New Roman" w:hAnsi="Times New Roman"/>
          <w:noProof/>
          <w:sz w:val="24"/>
        </w:rPr>
        <w:t>-fodaftryk og innovative lavemissionsfødev</w:t>
      </w:r>
      <w:r>
        <w:rPr>
          <w:rFonts w:ascii="Times New Roman" w:hAnsi="Times New Roman"/>
          <w:noProof/>
          <w:sz w:val="24"/>
        </w:rPr>
        <w:t>areløsninger. Omfanget af økologisk landbrug med fokus på miljøbeskyttelse og dyrevelfærd er steget støt i alle EU's medlemsstater siden 2005 og forventes at fortsætte med at stige</w:t>
      </w:r>
      <w:r>
        <w:rPr>
          <w:rStyle w:val="FootnoteReference"/>
          <w:rFonts w:ascii="Times New Roman" w:hAnsi="Times New Roman"/>
          <w:noProof/>
          <w:sz w:val="24"/>
        </w:rPr>
        <w:footnoteReference w:id="46"/>
      </w:r>
      <w:r>
        <w:rPr>
          <w:rFonts w:ascii="Times New Roman" w:hAnsi="Times New Roman"/>
          <w:noProof/>
          <w:sz w:val="24"/>
        </w:rPr>
        <w:t xml:space="preserv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3832860" cy="2773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32860" cy="2773680"/>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 er som verdens største eksportør og importør af landbrugsfødevare</w:t>
      </w:r>
      <w:r>
        <w:rPr>
          <w:rFonts w:ascii="Times New Roman" w:hAnsi="Times New Roman"/>
          <w:noProof/>
          <w:sz w:val="24"/>
        </w:rPr>
        <w:t>r</w:t>
      </w:r>
      <w:r>
        <w:rPr>
          <w:rStyle w:val="FootnoteReference"/>
          <w:rFonts w:ascii="Times New Roman" w:hAnsi="Times New Roman"/>
          <w:noProof/>
          <w:sz w:val="24"/>
        </w:rPr>
        <w:footnoteReference w:id="47"/>
      </w:r>
      <w:r>
        <w:rPr>
          <w:rFonts w:ascii="Times New Roman" w:hAnsi="Times New Roman"/>
          <w:noProof/>
          <w:sz w:val="24"/>
        </w:rPr>
        <w:t xml:space="preserve"> godt rustet til at høste fordelene ved denne økonomiske mulighed og blive en global mester i bæredygtige fødevarer. Det er muligt at nå dette mål, men vi har brug for en omfattende tilgang, der resulterer i en reel ændring af den måde, hvorpå vi produce</w:t>
      </w:r>
      <w:r>
        <w:rPr>
          <w:rFonts w:ascii="Times New Roman" w:hAnsi="Times New Roman"/>
          <w:noProof/>
          <w:sz w:val="24"/>
        </w:rPr>
        <w:t xml:space="preserve">rer, omdanner, forbruger og distribuerer fødevarer, ved at fremskynde omstillingen til et </w:t>
      </w:r>
      <w:r>
        <w:rPr>
          <w:rFonts w:ascii="Times New Roman" w:hAnsi="Times New Roman"/>
          <w:b/>
          <w:noProof/>
          <w:sz w:val="24"/>
        </w:rPr>
        <w:t>bæredygtigt fødevaresystem</w:t>
      </w:r>
      <w:r>
        <w:rPr>
          <w:rFonts w:ascii="Times New Roman" w:hAnsi="Times New Roman"/>
          <w:noProof/>
          <w:sz w:val="24"/>
        </w:rPr>
        <w:t>, som er baseret på principperne for den cirkulære økonomi, og gøre innovativ, sund, miljø- og dyrevelfærdsvenlig, sikker og næringsrig føde</w:t>
      </w:r>
      <w:r>
        <w:rPr>
          <w:rFonts w:ascii="Times New Roman" w:hAnsi="Times New Roman"/>
          <w:noProof/>
          <w:sz w:val="24"/>
        </w:rPr>
        <w:t xml:space="preserve">vareproduktion til et af vores europæiske kendetegn.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Kommissionen har foreslået en modernisering af den fælles landbrugspolitik, hvor medlemsstaternes nationale planer skal afspejle de stærke bæredygtighedsprincipper, som er indeholdt i målene for den fæ</w:t>
      </w:r>
      <w:r>
        <w:rPr>
          <w:rFonts w:ascii="Times New Roman" w:hAnsi="Times New Roman"/>
          <w:noProof/>
          <w:sz w:val="24"/>
        </w:rPr>
        <w:t>lles landbrugspolitik. Den fælles fiskeripolitik har ført til betydelige fremskridt med at forbedre europæisk fiskeris bæredygtighed. Det er dog fortsat afgørende, at den fælles fiskeripolitik, herunder bæredygtig forvaltning af alle fiskebestande og udvik</w:t>
      </w:r>
      <w:r>
        <w:rPr>
          <w:rFonts w:ascii="Times New Roman" w:hAnsi="Times New Roman"/>
          <w:noProof/>
          <w:sz w:val="24"/>
        </w:rPr>
        <w:t xml:space="preserve">ling af bæredygtig akvakultur, gennemføres korrekt.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rPr>
      </w:pPr>
      <w:r>
        <w:rPr>
          <w:rFonts w:ascii="Times New Roman" w:hAnsi="Times New Roman"/>
          <w:b/>
          <w:noProof/>
          <w:sz w:val="24"/>
        </w:rPr>
        <w:t xml:space="preserve">Tekstboks: Støtte til omstillingen til bæredygtigt landbrug gennem en modernisering af den fælles landbrugspolitik </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Fremtidens fælles landbrugspolitik (2021 til 2027)</w:t>
      </w:r>
      <w:r>
        <w:rPr>
          <w:rStyle w:val="FootnoteReference"/>
          <w:rFonts w:ascii="Times New Roman" w:hAnsi="Times New Roman"/>
          <w:noProof/>
          <w:sz w:val="24"/>
        </w:rPr>
        <w:footnoteReference w:id="48"/>
      </w:r>
      <w:r>
        <w:rPr>
          <w:rFonts w:ascii="Times New Roman" w:hAnsi="Times New Roman"/>
          <w:noProof/>
          <w:sz w:val="24"/>
        </w:rPr>
        <w:t xml:space="preserve"> vil fortsat sikre adgang til fødevarer af høj kvalitet og stærk støtte til den enestående europæiske landbrugsmodel i form af øget fokus på miljø og klima, støtte til den løbende omstilling i retning af en mere bæredygtig landbrugssektor og udvikling af d</w:t>
      </w:r>
      <w:r>
        <w:rPr>
          <w:rFonts w:ascii="Times New Roman" w:hAnsi="Times New Roman"/>
          <w:noProof/>
          <w:sz w:val="24"/>
        </w:rPr>
        <w:t xml:space="preserve">ynamiske landområder. </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Style w:val="A2"/>
          <w:rFonts w:ascii="Times New Roman" w:hAnsi="Times New Roman" w:cs="Times New Roman"/>
          <w:noProof/>
          <w:sz w:val="24"/>
          <w:szCs w:val="24"/>
        </w:rPr>
      </w:pPr>
      <w:r>
        <w:rPr>
          <w:rStyle w:val="A2"/>
          <w:rFonts w:ascii="Times New Roman" w:hAnsi="Times New Roman"/>
          <w:noProof/>
          <w:sz w:val="24"/>
        </w:rPr>
        <w:t>Nye forpligtelser omfatter bevaring af kulstofrig jord gennem beskyttelse af vådområder eller tørvemoser, en obligatorisk database for næringsstoffer til forbedring af vandkvaliteten og nedbringelse af ammoniak- og dinitrogenoxidkoncentrationen, vekseldrif</w:t>
      </w:r>
      <w:r>
        <w:rPr>
          <w:rStyle w:val="A2"/>
          <w:rFonts w:ascii="Times New Roman" w:hAnsi="Times New Roman"/>
          <w:noProof/>
          <w:sz w:val="24"/>
        </w:rPr>
        <w:t xml:space="preserve">t i stedet for afgrødediversificering. Alle landbrugere, som modtager støtte fra den fælles landbrugspolitik, bliver nødt til at respektere disse grundlæggende standarder. </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
          <w:rFonts w:ascii="Times New Roman" w:hAnsi="Times New Roman"/>
          <w:noProof/>
          <w:sz w:val="24"/>
        </w:rPr>
        <w:t>Alle medlemsstater skal udvikle økologiordninger for at støtte og/eller tilskynde l</w:t>
      </w:r>
      <w:r>
        <w:rPr>
          <w:rStyle w:val="A2"/>
          <w:rFonts w:ascii="Times New Roman" w:hAnsi="Times New Roman"/>
          <w:noProof/>
          <w:sz w:val="24"/>
        </w:rPr>
        <w:t xml:space="preserve">andbrugere til ud over de obligatoriske kriterier at prioritere en klima- og miljøvenlig landbrugspraksis. Landbrugere vil derudover have mulighed for at bidrage yderligere til bedre bæredygtighed ved at modtage ekstra støtte gennem forskellige frivillige </w:t>
      </w:r>
      <w:r>
        <w:rPr>
          <w:rStyle w:val="A2"/>
          <w:rFonts w:ascii="Times New Roman" w:hAnsi="Times New Roman"/>
          <w:noProof/>
          <w:sz w:val="24"/>
        </w:rPr>
        <w:t>ordninger.</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 denne sammenhæng er det vigtigt at håndhæve en mere hensigtsmæssig anvendelse af antimikrobielle stoffer for at nedbringe risikoen for yderligere antimikrobiel resistens hos dyr og mennesker</w:t>
      </w:r>
      <w:r>
        <w:rPr>
          <w:rStyle w:val="FootnoteReference"/>
          <w:rFonts w:ascii="Times New Roman" w:hAnsi="Times New Roman"/>
          <w:noProof/>
          <w:sz w:val="24"/>
        </w:rPr>
        <w:footnoteReference w:id="49"/>
      </w:r>
      <w:r>
        <w:rPr>
          <w:rFonts w:ascii="Times New Roman" w:hAnsi="Times New Roman"/>
          <w:noProof/>
          <w:sz w:val="24"/>
        </w:rPr>
        <w:t>, følge EU's handlingsplan om bekæmpelse af madspild</w:t>
      </w:r>
      <w:r>
        <w:rPr>
          <w:rFonts w:ascii="Times New Roman" w:hAnsi="Times New Roman"/>
          <w:noProof/>
          <w:sz w:val="24"/>
        </w:rPr>
        <w:t>, øge fokus på dyrevelfærdsstandarder, sikre bæredygtig anvendelse af pesticider og omdanne bioaffald, restprodukter og udsmid til værdifulde ressourcer. For at tilbyde reelle, billige og sunde valgmuligheder kan man tilskynde til at gøre værdikæderne mere</w:t>
      </w:r>
      <w:r>
        <w:rPr>
          <w:rFonts w:ascii="Times New Roman" w:hAnsi="Times New Roman"/>
          <w:noProof/>
          <w:sz w:val="24"/>
        </w:rPr>
        <w:t xml:space="preserve"> gennemsigtige og give producenter og supermarkeder incitament til at tilbyde og kunderne til at vælge bæredygtige fødevarer og sund kost gennem hensigtsmæssige og innovative foranstaltninger, herunder bedre uddannelse og forbrugerinformation. En omstillin</w:t>
      </w:r>
      <w:r>
        <w:rPr>
          <w:rFonts w:ascii="Times New Roman" w:hAnsi="Times New Roman"/>
          <w:noProof/>
          <w:sz w:val="24"/>
        </w:rPr>
        <w:t>g til et mere bæredygtigt forbrug vil både medføre væsentlige sundhedsmæssige fordele for forbrugerne og påvirke det naturlige miljø i positiv retning</w:t>
      </w:r>
      <w:r>
        <w:rPr>
          <w:rStyle w:val="FootnoteReference"/>
          <w:rFonts w:ascii="Times New Roman" w:hAnsi="Times New Roman"/>
          <w:noProof/>
          <w:sz w:val="24"/>
        </w:rPr>
        <w:footnoteReference w:id="50"/>
      </w:r>
      <w:r>
        <w:rPr>
          <w:rFonts w:ascii="Times New Roman" w:hAnsi="Times New Roman"/>
          <w:noProof/>
          <w:sz w:val="24"/>
        </w:rPr>
        <w:t xml:space="preserve">.  </w:t>
      </w:r>
    </w:p>
    <w:p w:rsidR="000E3A3F" w:rsidRDefault="00B958E1">
      <w:pPr>
        <w:pStyle w:val="Heading3"/>
        <w:rPr>
          <w:noProof/>
        </w:rPr>
      </w:pPr>
      <w:bookmarkStart w:id="22" w:name="_Toc536442043"/>
      <w:bookmarkStart w:id="23" w:name="_Toc536627475"/>
      <w:r>
        <w:rPr>
          <w:noProof/>
        </w:rPr>
        <w:t>Fremtidssikret energi, byggeri og mobilitet</w:t>
      </w:r>
      <w:bookmarkEnd w:id="22"/>
      <w:bookmarkEnd w:id="23"/>
    </w:p>
    <w:p w:rsidR="000E3A3F" w:rsidRDefault="00B958E1">
      <w:pPr>
        <w:spacing w:line="240" w:lineRule="auto"/>
        <w:jc w:val="both"/>
        <w:rPr>
          <w:rFonts w:ascii="Times New Roman" w:hAnsi="Times New Roman" w:cs="Times New Roman"/>
          <w:noProof/>
          <w:sz w:val="24"/>
          <w:szCs w:val="24"/>
        </w:rPr>
      </w:pPr>
      <w:r>
        <w:rPr>
          <w:rFonts w:ascii="Times New Roman" w:hAnsi="Times New Roman"/>
          <w:b/>
          <w:noProof/>
          <w:color w:val="000000"/>
          <w:sz w:val="24"/>
        </w:rPr>
        <w:t>Ren energi</w:t>
      </w:r>
      <w:r>
        <w:rPr>
          <w:rFonts w:ascii="Times New Roman" w:hAnsi="Times New Roman"/>
          <w:noProof/>
          <w:color w:val="000000"/>
          <w:sz w:val="24"/>
        </w:rPr>
        <w:t xml:space="preserve"> er afgørende for en bæredygtig fremtid. </w:t>
      </w:r>
      <w:r>
        <w:rPr>
          <w:rFonts w:ascii="Times New Roman" w:hAnsi="Times New Roman"/>
          <w:noProof/>
          <w:sz w:val="24"/>
        </w:rPr>
        <w:t xml:space="preserve">Vi er </w:t>
      </w:r>
      <w:r>
        <w:rPr>
          <w:rFonts w:ascii="Times New Roman" w:hAnsi="Times New Roman"/>
          <w:noProof/>
          <w:sz w:val="24"/>
        </w:rPr>
        <w:t xml:space="preserve">nødt til at producere, lagre og forbruge energi på en bæredygtig måde for at mindske vores miljøbelastning og beskytte europæernes sundhed.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 er allerede en af de mest CO</w:t>
      </w:r>
      <w:r>
        <w:rPr>
          <w:rFonts w:ascii="Times New Roman" w:hAnsi="Times New Roman"/>
          <w:noProof/>
          <w:sz w:val="24"/>
          <w:vertAlign w:val="subscript"/>
        </w:rPr>
        <w:t>2</w:t>
      </w:r>
      <w:r>
        <w:rPr>
          <w:rFonts w:ascii="Times New Roman" w:hAnsi="Times New Roman"/>
          <w:noProof/>
          <w:sz w:val="24"/>
        </w:rPr>
        <w:t>-effektive økonomier i verden.</w:t>
      </w:r>
      <w:r>
        <w:rPr>
          <w:rFonts w:ascii="Times New Roman" w:hAnsi="Times New Roman"/>
          <w:noProof/>
          <w:color w:val="000000"/>
          <w:sz w:val="24"/>
        </w:rPr>
        <w:t xml:space="preserve"> Vedvarende energi er en integreret del af Europas en</w:t>
      </w:r>
      <w:r>
        <w:rPr>
          <w:rFonts w:ascii="Times New Roman" w:hAnsi="Times New Roman"/>
          <w:noProof/>
          <w:color w:val="000000"/>
          <w:sz w:val="24"/>
        </w:rPr>
        <w:t>ergimiks, og over</w:t>
      </w:r>
      <w:r>
        <w:rPr>
          <w:rFonts w:ascii="Times New Roman" w:hAnsi="Times New Roman"/>
          <w:noProof/>
          <w:sz w:val="24"/>
        </w:rPr>
        <w:t xml:space="preserve"> halvdelen af EU's elforsyning er klimaneutral. </w:t>
      </w:r>
      <w:r>
        <w:rPr>
          <w:rFonts w:ascii="Times New Roman" w:hAnsi="Times New Roman"/>
          <w:noProof/>
          <w:color w:val="000000"/>
          <w:sz w:val="24"/>
        </w:rPr>
        <w:t>Energieffektivitetsforanstaltninger, herunder energimærkning, har mindsket energiforbruget i de seneste år</w:t>
      </w:r>
      <w:r>
        <w:rPr>
          <w:rStyle w:val="FootnoteReference"/>
          <w:rFonts w:ascii="Times New Roman" w:hAnsi="Times New Roman"/>
          <w:noProof/>
          <w:color w:val="000000"/>
          <w:sz w:val="24"/>
        </w:rPr>
        <w:footnoteReference w:id="51"/>
      </w:r>
      <w:r>
        <w:rPr>
          <w:rFonts w:ascii="Times New Roman" w:hAnsi="Times New Roman"/>
          <w:noProof/>
          <w:color w:val="000000"/>
          <w:sz w:val="24"/>
        </w:rPr>
        <w:t>.</w:t>
      </w:r>
      <w:r>
        <w:rPr>
          <w:noProof/>
        </w:rPr>
        <w:t xml:space="preserve"> </w:t>
      </w:r>
      <w:r>
        <w:rPr>
          <w:rFonts w:ascii="Times New Roman" w:hAnsi="Times New Roman"/>
          <w:noProof/>
          <w:color w:val="000000"/>
          <w:sz w:val="24"/>
        </w:rPr>
        <w:t>Ved køb af husholdningsapparater vælger forbrugerne i stigende grad den energieffe</w:t>
      </w:r>
      <w:r>
        <w:rPr>
          <w:rFonts w:ascii="Times New Roman" w:hAnsi="Times New Roman"/>
          <w:noProof/>
          <w:color w:val="000000"/>
          <w:sz w:val="24"/>
        </w:rPr>
        <w:t xml:space="preserve">ktive løsning. Der er </w:t>
      </w:r>
      <w:r>
        <w:rPr>
          <w:rFonts w:ascii="Times New Roman" w:hAnsi="Times New Roman"/>
          <w:noProof/>
          <w:sz w:val="24"/>
        </w:rPr>
        <w:t>næsten 1,5 millioner arbejdspladser</w:t>
      </w:r>
      <w:r>
        <w:rPr>
          <w:rFonts w:ascii="Times New Roman" w:hAnsi="Times New Roman"/>
          <w:noProof/>
          <w:color w:val="000000"/>
          <w:sz w:val="24"/>
        </w:rPr>
        <w:t xml:space="preserve"> inden for sektoren for vedvarende energi og energieffektivitet </w:t>
      </w:r>
      <w:r>
        <w:rPr>
          <w:rFonts w:ascii="Times New Roman" w:hAnsi="Times New Roman"/>
          <w:noProof/>
          <w:sz w:val="24"/>
        </w:rPr>
        <w:t>i Europa.</w:t>
      </w:r>
      <w:r>
        <w:rPr>
          <w:rFonts w:ascii="Times New Roman" w:hAnsi="Times New Roman"/>
          <w:noProof/>
          <w:color w:val="000000"/>
          <w:sz w:val="24"/>
        </w:rPr>
        <w:t xml:space="preserve"> </w:t>
      </w:r>
    </w:p>
    <w:p w:rsidR="000E3A3F" w:rsidRDefault="000E3A3F">
      <w:pPr>
        <w:spacing w:after="120" w:line="240" w:lineRule="auto"/>
        <w:jc w:val="both"/>
        <w:rPr>
          <w:rFonts w:ascii="Times New Roman" w:hAnsi="Times New Roman" w:cs="Times New Roman"/>
          <w:noProof/>
          <w:color w:val="000000"/>
          <w:sz w:val="24"/>
          <w:szCs w:val="24"/>
        </w:rPr>
      </w:pPr>
    </w:p>
    <w:p w:rsidR="000E3A3F" w:rsidRDefault="000E3A3F">
      <w:pPr>
        <w:spacing w:after="120" w:line="240" w:lineRule="auto"/>
        <w:jc w:val="both"/>
        <w:rPr>
          <w:rFonts w:ascii="Times New Roman" w:hAnsi="Times New Roman" w:cs="Times New Roman"/>
          <w:noProof/>
          <w:color w:val="000000"/>
          <w:sz w:val="24"/>
          <w:szCs w:val="24"/>
        </w:rPr>
      </w:pPr>
    </w:p>
    <w:p w:rsidR="000E3A3F" w:rsidRDefault="000E3A3F">
      <w:pPr>
        <w:spacing w:after="120" w:line="240" w:lineRule="auto"/>
        <w:jc w:val="both"/>
        <w:rPr>
          <w:rFonts w:ascii="Times New Roman" w:hAnsi="Times New Roman" w:cs="Times New Roman"/>
          <w:noProof/>
          <w:color w:val="000000"/>
          <w:sz w:val="24"/>
          <w:szCs w:val="24"/>
        </w:rPr>
      </w:pPr>
    </w:p>
    <w:p w:rsidR="000E3A3F" w:rsidRDefault="00B958E1">
      <w:pPr>
        <w:spacing w:after="12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710940" cy="45643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0940" cy="4564380"/>
                    </a:xfrm>
                    <a:prstGeom prst="rect">
                      <a:avLst/>
                    </a:prstGeom>
                  </pic:spPr>
                </pic:pic>
              </a:graphicData>
            </a:graphic>
          </wp:inline>
        </w:drawing>
      </w:r>
    </w:p>
    <w:p w:rsidR="000E3A3F" w:rsidRDefault="00B958E1">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 xml:space="preserve">Europa-Kommissionen har med energiunionen indført en af de mest omfattende globale politiske rammer for energiomstilling og økonomisk modernisering, inden for hvilke klima-, energi-, transport- og forskningspolitikkerne og andre politikker er samlet under </w:t>
      </w:r>
      <w:r>
        <w:rPr>
          <w:rFonts w:ascii="Times New Roman" w:hAnsi="Times New Roman"/>
          <w:noProof/>
          <w:color w:val="000000"/>
          <w:sz w:val="24"/>
        </w:rPr>
        <w:t xml:space="preserve">ét. Som led i energilovgivningen vil de på EU-plan fastsatte mål om, at vedvarende energi skal udgøre mindst 32 % af det samlede energiforbrug, og om at opnå en energieffektivitet på mindst 32,5 % i 2030 give </w:t>
      </w:r>
      <w:r>
        <w:rPr>
          <w:rFonts w:ascii="Times New Roman" w:hAnsi="Times New Roman"/>
          <w:noProof/>
          <w:sz w:val="24"/>
        </w:rPr>
        <w:t>os mulighed for at gå ud over vores tilsagn i h</w:t>
      </w:r>
      <w:r>
        <w:rPr>
          <w:rFonts w:ascii="Times New Roman" w:hAnsi="Times New Roman"/>
          <w:noProof/>
          <w:sz w:val="24"/>
        </w:rPr>
        <w:t>enhold til Parisaftalen om at reducere drivhusgasemissionerne med mindst 40 % frem til 2030 i forhold til 1990-niveauet.</w:t>
      </w:r>
    </w:p>
    <w:p w:rsidR="000E3A3F" w:rsidRDefault="00B958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Tekstboks: Ren energi er en mulighed for at skabe arbejdspladser og vækst</w:t>
      </w:r>
    </w:p>
    <w:p w:rsidR="000E3A3F" w:rsidRDefault="00B958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 xml:space="preserve">I perioden 2008-2014 steg antallet af arbejdspladser inden </w:t>
      </w:r>
      <w:r>
        <w:rPr>
          <w:rFonts w:ascii="Times New Roman" w:hAnsi="Times New Roman"/>
          <w:noProof/>
          <w:sz w:val="24"/>
        </w:rPr>
        <w:t xml:space="preserve">for teknologier for vedvarende energi med 70 %. Der er potentiale til at skabe yderligere 900 000 arbejdspladser inden 2030, forudsat at der mobiliseres offentlig og privat investering. Der kan genereres op til 400 000 yderligere arbejdspladser i sektoren </w:t>
      </w:r>
      <w:r>
        <w:rPr>
          <w:rFonts w:ascii="Times New Roman" w:hAnsi="Times New Roman"/>
          <w:noProof/>
          <w:sz w:val="24"/>
        </w:rPr>
        <w:t>for energieffektivitet.</w:t>
      </w:r>
    </w:p>
    <w:p w:rsidR="000E3A3F" w:rsidRDefault="000E3A3F">
      <w:pPr>
        <w:spacing w:after="0" w:line="240" w:lineRule="auto"/>
        <w:jc w:val="both"/>
        <w:rPr>
          <w:rFonts w:ascii="Times New Roman" w:hAnsi="Times New Roman" w:cs="Times New Roman"/>
          <w:noProof/>
          <w:sz w:val="24"/>
          <w:szCs w:val="24"/>
        </w:rPr>
      </w:pPr>
    </w:p>
    <w:p w:rsidR="000E3A3F" w:rsidRDefault="00B958E1">
      <w:pPr>
        <w:pStyle w:val="Body"/>
        <w:rPr>
          <w:rFonts w:ascii="Times New Roman" w:hAnsi="Times New Roman" w:cs="Times New Roman"/>
          <w:noProof/>
        </w:rPr>
      </w:pPr>
      <w:r>
        <w:rPr>
          <w:rFonts w:ascii="Times New Roman" w:hAnsi="Times New Roman"/>
          <w:noProof/>
        </w:rPr>
        <w:t>Efter 2030 kræves en større indsats for at leve op til såvel teksten som ånden i Parisaftalen og udnytte energiomstillingens fulde økonomiske potentiale. EU kan i væsentlig grad begrænse sin dyre afhængighed af fossile brændstoffer</w:t>
      </w:r>
      <w:r>
        <w:rPr>
          <w:rFonts w:ascii="Times New Roman" w:hAnsi="Times New Roman"/>
          <w:noProof/>
        </w:rPr>
        <w:t>, mindske sin import af fossile brændstoffer med omkring 260 mia. EUR, øge sin energiuafhængighed og bidrage til et mere retfærdigt energimarked.</w:t>
      </w:r>
      <w:r>
        <w:rPr>
          <w:rFonts w:ascii="Times New Roman" w:hAnsi="Times New Roman"/>
          <w:b/>
          <w:noProof/>
        </w:rPr>
        <w:t xml:space="preserve"> </w:t>
      </w:r>
      <w:r>
        <w:rPr>
          <w:rFonts w:ascii="Times New Roman" w:hAnsi="Times New Roman"/>
          <w:noProof/>
        </w:rPr>
        <w:t xml:space="preserve">Det er vigtigt, at vi fortsætter integrationen af energimarkedet ved at anlægge de manglende samkøringslinjer </w:t>
      </w:r>
      <w:r>
        <w:rPr>
          <w:rFonts w:ascii="Times New Roman" w:hAnsi="Times New Roman"/>
          <w:noProof/>
        </w:rPr>
        <w:t xml:space="preserve">og fremme grænseoverskridende energihandel. Omstillingen til ren energi kan også understøttes af havenergi og offshorevindenergi. EU bør som førende på dette område fortsat udnytte sine "first mover"-fordele. </w:t>
      </w:r>
    </w:p>
    <w:p w:rsidR="000E3A3F" w:rsidRDefault="00B958E1">
      <w:pPr>
        <w:pStyle w:val="Body"/>
        <w:rPr>
          <w:rFonts w:ascii="Times New Roman" w:hAnsi="Times New Roman" w:cs="Times New Roman"/>
          <w:noProof/>
        </w:rPr>
      </w:pPr>
      <w:r>
        <w:rPr>
          <w:rFonts w:ascii="Times New Roman" w:hAnsi="Times New Roman"/>
          <w:noProof/>
        </w:rPr>
        <w:t xml:space="preserve">Eftersom </w:t>
      </w:r>
      <w:r>
        <w:rPr>
          <w:rFonts w:ascii="Times New Roman" w:hAnsi="Times New Roman"/>
          <w:b/>
          <w:noProof/>
        </w:rPr>
        <w:t>bygninger</w:t>
      </w:r>
      <w:r>
        <w:rPr>
          <w:rFonts w:ascii="Times New Roman" w:hAnsi="Times New Roman"/>
          <w:noProof/>
        </w:rPr>
        <w:t xml:space="preserve"> i dag står for omkring 40 %</w:t>
      </w:r>
      <w:r>
        <w:rPr>
          <w:rFonts w:ascii="Times New Roman" w:hAnsi="Times New Roman"/>
          <w:noProof/>
        </w:rPr>
        <w:t xml:space="preserve"> af energiforbruget, er der behov for at fremme bedre energieffektivitet i bygninger gennem renovering og modernisering. Denne indsats er allerede begyndt. F.eks. står de miljøindustrier, der særligt beskæftiger sig med renovering af bygninger, for mere en</w:t>
      </w:r>
      <w:r>
        <w:rPr>
          <w:rFonts w:ascii="Times New Roman" w:hAnsi="Times New Roman"/>
          <w:noProof/>
        </w:rPr>
        <w:t>d 3,4 millioner arbejdspladser i Europa. En reduktion af energiefterspørgslen i bygninger kræver ikke kun øget anvendelse af effektiv og ren elektrisk opvarmning, men også mere intelligente bygninger og husholdningsapparater samt bedre isoleringsmaterialer</w:t>
      </w:r>
      <w:r>
        <w:rPr>
          <w:rFonts w:ascii="Times New Roman" w:hAnsi="Times New Roman"/>
          <w:noProof/>
        </w:rPr>
        <w:t xml:space="preserve">, der er i fuld overensstemmelse med den cirkulære økonomis principper. Direktivet om bygningers energimæssige ydeevne sigter mod at forbedre livskvaliteten ved at gøre vores huse bedre isolerede og ventilerede og dermed til bedre steder at bo og samtidig </w:t>
      </w:r>
      <w:r>
        <w:rPr>
          <w:rFonts w:ascii="Times New Roman" w:hAnsi="Times New Roman"/>
          <w:noProof/>
        </w:rPr>
        <w:t xml:space="preserve">gennemføre en dekarbonisering af vores bygningsmasse frem til 2050. Sådanne tiltag vil føre til lavere leveomkostninger og dermed flere penge i folks pengepung. Det er dog nødvendigt at finde metoder og midler, der til at begynde med kan bistå folk med at </w:t>
      </w:r>
      <w:r>
        <w:rPr>
          <w:rFonts w:ascii="Times New Roman" w:hAnsi="Times New Roman"/>
          <w:noProof/>
        </w:rPr>
        <w:t>gennemføre denne omstilling.</w:t>
      </w:r>
    </w:p>
    <w:p w:rsidR="000E3A3F" w:rsidRDefault="00B958E1">
      <w:pPr>
        <w:spacing w:line="240" w:lineRule="auto"/>
        <w:jc w:val="both"/>
        <w:rPr>
          <w:rFonts w:ascii="Times New Roman" w:hAnsi="Times New Roman" w:cs="Times New Roman"/>
          <w:noProof/>
        </w:rPr>
      </w:pPr>
      <w:r>
        <w:rPr>
          <w:rFonts w:ascii="Times New Roman" w:hAnsi="Times New Roman"/>
          <w:noProof/>
          <w:sz w:val="24"/>
        </w:rPr>
        <w:t xml:space="preserve">En anden vigtig drivkraft for omstillingen til en ren, ressourceeffektiv og kulstofneutral fremtid er </w:t>
      </w:r>
      <w:r>
        <w:rPr>
          <w:rFonts w:ascii="Times New Roman" w:hAnsi="Times New Roman"/>
          <w:b/>
          <w:noProof/>
          <w:sz w:val="24"/>
        </w:rPr>
        <w:t>mobilitetssektoren</w:t>
      </w:r>
      <w:r>
        <w:rPr>
          <w:rFonts w:ascii="Times New Roman" w:hAnsi="Times New Roman"/>
          <w:noProof/>
          <w:sz w:val="24"/>
        </w:rPr>
        <w:t>, lige fra bytransport til transeuropæiske net, vejtransport og sø- og luftfart. Transport- og mobilitetstj</w:t>
      </w:r>
      <w:r>
        <w:rPr>
          <w:rFonts w:ascii="Times New Roman" w:hAnsi="Times New Roman"/>
          <w:noProof/>
          <w:sz w:val="24"/>
        </w:rPr>
        <w:t xml:space="preserve">enesterne beskæftiger omkring 11 millioner mennesker, og der er i dag stor efterspørgsel efter mobilitet. Transport er dog i dag årsag til luftforurening, støj, trængsel og vejulykker. Sektoren står allerede for næsten en fjerdedel af Europas udledning af </w:t>
      </w:r>
      <w:r>
        <w:rPr>
          <w:rFonts w:ascii="Times New Roman" w:hAnsi="Times New Roman"/>
          <w:noProof/>
          <w:sz w:val="24"/>
        </w:rPr>
        <w:t>drivhusgasser, og dens CO</w:t>
      </w:r>
      <w:r>
        <w:rPr>
          <w:rFonts w:ascii="Times New Roman" w:hAnsi="Times New Roman"/>
          <w:noProof/>
          <w:sz w:val="24"/>
          <w:vertAlign w:val="subscript"/>
        </w:rPr>
        <w:t>2</w:t>
      </w:r>
      <w:r>
        <w:rPr>
          <w:rFonts w:ascii="Times New Roman" w:hAnsi="Times New Roman"/>
          <w:noProof/>
          <w:sz w:val="24"/>
        </w:rPr>
        <w:t>-fodaftryk er stigende. Handlingsplanen om lavemissionsmobilitet, som Kommissionen foreslog i 2016, samt de deraf følgende forslag om et mobilt Europa indeholder adskillige foranstaltninger til at gøre vores transportsystem mere b</w:t>
      </w:r>
      <w:r>
        <w:rPr>
          <w:rFonts w:ascii="Times New Roman" w:hAnsi="Times New Roman"/>
          <w:noProof/>
          <w:sz w:val="24"/>
        </w:rPr>
        <w:t>æredygtigt. Disse tiltag sigter mod at mindske udledningen af drivhusgasser og sender et signal til virksomhederne i EU om, at de skal investere i ren transport. Dette vil også bidrage til beskæftigelse og vækst. Vi er nødt til at prioritere rene og økonom</w:t>
      </w:r>
      <w:r>
        <w:rPr>
          <w:rFonts w:ascii="Times New Roman" w:hAnsi="Times New Roman"/>
          <w:noProof/>
          <w:sz w:val="24"/>
        </w:rPr>
        <w:t xml:space="preserve">isk overkommelige alternativer for kun at have nulemissionskøretøjer kørende på vejene i EU og for bedst muligt at udnytte digitale teknologier til støtte for nedbringelsen af brændselsforbruget. På samme måde bidrager EU's satellitnavigationssystemer til </w:t>
      </w:r>
      <w:r>
        <w:rPr>
          <w:rFonts w:ascii="Times New Roman" w:hAnsi="Times New Roman"/>
          <w:noProof/>
          <w:sz w:val="24"/>
        </w:rPr>
        <w:t>at mindske udledningerne, f.eks. inden for luft- og vejtransport.</w:t>
      </w:r>
    </w:p>
    <w:p w:rsidR="000E3A3F" w:rsidRDefault="000E3A3F">
      <w:pPr>
        <w:pStyle w:val="Body"/>
        <w:rPr>
          <w:rFonts w:ascii="Times New Roman" w:hAnsi="Times New Roman" w:cs="Times New Roman"/>
          <w:i/>
          <w:noProof/>
        </w:rPr>
      </w:pPr>
    </w:p>
    <w:p w:rsidR="000E3A3F" w:rsidRDefault="00B958E1">
      <w:pPr>
        <w:pStyle w:val="Body"/>
        <w:jc w:val="center"/>
        <w:rPr>
          <w:rFonts w:ascii="Times New Roman" w:hAnsi="Times New Roman" w:cs="Times New Roman"/>
          <w:i/>
          <w:noProof/>
        </w:rPr>
      </w:pPr>
      <w:r>
        <w:rPr>
          <w:noProof/>
          <w:lang w:val="en-GB" w:eastAsia="en-GB" w:bidi="ar-SA"/>
        </w:rPr>
        <w:drawing>
          <wp:inline distT="0" distB="0" distL="0" distR="0">
            <wp:extent cx="2887980" cy="14554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87980" cy="1455420"/>
                    </a:xfrm>
                    <a:prstGeom prst="rect">
                      <a:avLst/>
                    </a:prstGeom>
                  </pic:spPr>
                </pic:pic>
              </a:graphicData>
            </a:graphic>
          </wp:inline>
        </w:drawing>
      </w:r>
    </w:p>
    <w:p w:rsidR="000E3A3F" w:rsidRDefault="00B958E1">
      <w:pPr>
        <w:pStyle w:val="Body"/>
        <w:rPr>
          <w:rFonts w:ascii="Times New Roman" w:hAnsi="Times New Roman" w:cs="Times New Roman"/>
          <w:noProof/>
        </w:rPr>
      </w:pPr>
      <w:r>
        <w:rPr>
          <w:rFonts w:ascii="Times New Roman" w:hAnsi="Times New Roman"/>
          <w:noProof/>
        </w:rPr>
        <w:t>Byerne går forrest hvad angår omstillingen til bæredygtig mobilitet. Gennem bæredygtig byplanlægning, der integrerer fysisk planlægning og imødekommer behov og infrastruktur på mobilitets</w:t>
      </w:r>
      <w:r>
        <w:rPr>
          <w:rFonts w:ascii="Times New Roman" w:hAnsi="Times New Roman"/>
          <w:noProof/>
        </w:rPr>
        <w:t>området, har byerne en vigtig rolle at spille. Byområderne bør ligeledes bistås, når det kommer til digitalisering, automatisering og andre innovative løsninger, og bør fremme aktiv og fælles transport, lige fra mere befordring til fods og på cykel til del</w:t>
      </w:r>
      <w:r>
        <w:rPr>
          <w:rFonts w:ascii="Times New Roman" w:hAnsi="Times New Roman"/>
          <w:noProof/>
        </w:rPr>
        <w:t xml:space="preserve">ebilstjenester og samkørsel. </w:t>
      </w:r>
    </w:p>
    <w:p w:rsidR="000E3A3F" w:rsidRDefault="00B958E1">
      <w:pPr>
        <w:pStyle w:val="Body"/>
        <w:rPr>
          <w:rFonts w:ascii="Times New Roman" w:hAnsi="Times New Roman" w:cs="Times New Roman"/>
          <w:noProof/>
        </w:rPr>
      </w:pPr>
      <w:r>
        <w:rPr>
          <w:rFonts w:ascii="Times New Roman" w:hAnsi="Times New Roman"/>
          <w:noProof/>
        </w:rPr>
        <w:t>Herudover er det vigtigt at se nærmere på udformningen og udrangeringen af køretøjer og på transportinfrastrukturen, så det sikres, at de muligheder, som overgangen til den cirkulære økonomi bringer, udnyttes fuldt ud. Køretøj</w:t>
      </w:r>
      <w:r>
        <w:rPr>
          <w:rFonts w:ascii="Times New Roman" w:hAnsi="Times New Roman"/>
          <w:noProof/>
        </w:rPr>
        <w:t>er, der er klar til at blive udrangeret, indeholder stadig mange værdifulde materialer. EU's lovgivningsmæssige rammer for udrangerede køretøjer kræver, at producenterne udformer og fremstiller nye køretøjer uden farlige stoffer og på en sådan måde, at det</w:t>
      </w:r>
      <w:r>
        <w:rPr>
          <w:rFonts w:ascii="Times New Roman" w:hAnsi="Times New Roman"/>
          <w:noProof/>
        </w:rPr>
        <w:t xml:space="preserve"> er nemt at genbruge og genanvende materialerne fra et gammelt køretøj til at fremstille nye produkter. </w:t>
      </w:r>
    </w:p>
    <w:p w:rsidR="000E3A3F" w:rsidRDefault="00B958E1">
      <w:pPr>
        <w:pStyle w:val="Body"/>
        <w:rPr>
          <w:rFonts w:ascii="Times New Roman" w:hAnsi="Times New Roman" w:cs="Times New Roman"/>
          <w:noProof/>
        </w:rPr>
      </w:pPr>
      <w:r>
        <w:rPr>
          <w:rFonts w:ascii="Times New Roman" w:hAnsi="Times New Roman"/>
          <w:noProof/>
        </w:rPr>
        <w:t xml:space="preserve">Der kan og bør gøres mere brug af genanvendt indhold i køretøjer og transportinfrastrukturer for at opnå en mere effektiv genanvendelse. </w:t>
      </w:r>
      <w:r>
        <w:rPr>
          <w:rStyle w:val="Strong"/>
          <w:rFonts w:ascii="Times New Roman" w:hAnsi="Times New Roman"/>
          <w:b w:val="0"/>
          <w:noProof/>
        </w:rPr>
        <w:t xml:space="preserve">F.eks. kan en </w:t>
      </w:r>
      <w:r>
        <w:rPr>
          <w:rStyle w:val="Strong"/>
          <w:rFonts w:ascii="Times New Roman" w:hAnsi="Times New Roman"/>
          <w:b w:val="0"/>
          <w:noProof/>
        </w:rPr>
        <w:t>øget indsamling og genanvendelse af bilbatterier i EU mindske afhængigheden af importerede materialer og medvirke til at bevare værdien af genvundne materialer i EU's økonomi</w:t>
      </w:r>
      <w:r>
        <w:rPr>
          <w:rFonts w:ascii="Times New Roman" w:hAnsi="Times New Roman"/>
          <w:noProof/>
        </w:rPr>
        <w:t>. Det vil være vigtigt med yderligere incitamenter, både lovgivningsmæssige og fin</w:t>
      </w:r>
      <w:r>
        <w:rPr>
          <w:rFonts w:ascii="Times New Roman" w:hAnsi="Times New Roman"/>
          <w:noProof/>
        </w:rPr>
        <w:t>ansielle, for at få mest ud af den cirkulære økonomis potentiale i transportsektoren.</w:t>
      </w:r>
    </w:p>
    <w:p w:rsidR="000E3A3F" w:rsidRDefault="00B958E1">
      <w:pPr>
        <w:pStyle w:val="Heading3"/>
        <w:rPr>
          <w:noProof/>
        </w:rPr>
      </w:pPr>
      <w:bookmarkStart w:id="24" w:name="_Toc536442044"/>
      <w:bookmarkStart w:id="25" w:name="_Toc536627476"/>
      <w:r>
        <w:rPr>
          <w:noProof/>
        </w:rPr>
        <w:t>Sikring af en socialt retfærdig omstilling</w:t>
      </w:r>
      <w:bookmarkEnd w:id="24"/>
      <w:bookmarkEnd w:id="25"/>
      <w:r>
        <w:rPr>
          <w:noProof/>
        </w:rPr>
        <w:t xml:space="preserve">   </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Solidaritet og velstand er dyder i sig selv og udgør grundlaget for vores frie og demokratiske samfund. Overgangen til en mi</w:t>
      </w:r>
      <w:r>
        <w:rPr>
          <w:rFonts w:ascii="Times New Roman" w:hAnsi="Times New Roman"/>
          <w:noProof/>
          <w:sz w:val="24"/>
        </w:rPr>
        <w:t>ljømæssigt bæredygtig økonomisk vækst og konkurrenceevne kan kun lykkes, hvis den samtidig er inklusiv. Bæredygtig forandring handler derfor også om at fremme sociale rettigheder og velfærd for alle og således bidrage til social samhørighed i medlemsstater</w:t>
      </w:r>
      <w:r>
        <w:rPr>
          <w:rFonts w:ascii="Times New Roman" w:hAnsi="Times New Roman"/>
          <w:noProof/>
          <w:sz w:val="24"/>
        </w:rPr>
        <w:t xml:space="preserve">ne og hele EU.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Omstillingen til bæredygtighed kan have store positive afsmittende virkninger for den sociale velfærd. Ud over at udgøre fundamentet for anstændigt arbejde kan den også medføre bemærkelsesværdige sundhedsmæssige fordele. Det er almindeligt</w:t>
      </w:r>
      <w:r>
        <w:rPr>
          <w:rFonts w:ascii="Times New Roman" w:hAnsi="Times New Roman"/>
          <w:noProof/>
          <w:sz w:val="24"/>
        </w:rPr>
        <w:t xml:space="preserve"> anerkendt, at et godt helbred hænger tæt sammen med miljøets tilstand. De skadelige virkninger ved luft- og vandforurening er et godt eksempel i denne forbindelse. Bæredygtige fødevaresystemer kan give alle borgere nærende fødevarer af høj kvalitet.</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Tekstboks:</w:t>
      </w:r>
      <w:r>
        <w:rPr>
          <w:rFonts w:ascii="Times New Roman" w:hAnsi="Times New Roman"/>
          <w:noProof/>
          <w:sz w:val="24"/>
        </w:rPr>
        <w:t xml:space="preserve"> EU's kemikalielovgivning har i væsentlig grad bidraget til sikringen af et højt beskyttelsesniveau for menneskers sundhed. I løbet af de seneste fire årtier er menneskers og miljøets eksponering for farlige stoffer faldet drastisk. EU's lovgivni</w:t>
      </w:r>
      <w:r>
        <w:rPr>
          <w:rFonts w:ascii="Times New Roman" w:hAnsi="Times New Roman"/>
          <w:noProof/>
          <w:sz w:val="24"/>
        </w:rPr>
        <w:t>ng har medvirket til at mindske eksponeringen for visse kræftfremkaldende stoffer på arbejdspladsen og ført til forebyggelsen af omkring én million nye kræfttilfælde i EU i løbet af de seneste 20 år.</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Oprettelsen af synergier og moderniseringen af vores øko</w:t>
      </w:r>
      <w:r>
        <w:rPr>
          <w:rFonts w:ascii="Times New Roman" w:hAnsi="Times New Roman"/>
          <w:noProof/>
          <w:sz w:val="24"/>
        </w:rPr>
        <w:t>nomi indebærer også nogle gange vanskelige kompromiser. Selv om der i forbindelse med omstillingen til bæredygtighed vil blive skabt nye arbejdspladser, er det muligt, at traditionelle erhverv forsvinder eller omdannes, bl.a. gennem digitalisering og autom</w:t>
      </w:r>
      <w:r>
        <w:rPr>
          <w:rFonts w:ascii="Times New Roman" w:hAnsi="Times New Roman"/>
          <w:noProof/>
          <w:sz w:val="24"/>
        </w:rPr>
        <w:t xml:space="preserve">atisering, hvilket kan skabe midlertidige gnidninger på arbejdsmarkedet. Hvad angår arbejdsmarkedet er det f.eks. i øjeblikket ikke klart, hvilke virkninger kunstig intelligens helt præcist vil få.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Selv om mange husholdninger har svært ved at få økonomien til at hænge sammen, er der en stigende offentlig forståelse af, at vi er nødt til at ændre den måde, hvorpå vi producerer og forbruger. Alligevel er der en risiko for, at disse udfordringer ikke bl</w:t>
      </w:r>
      <w:r>
        <w:rPr>
          <w:rFonts w:ascii="Times New Roman" w:hAnsi="Times New Roman"/>
          <w:noProof/>
          <w:sz w:val="24"/>
        </w:rPr>
        <w:t xml:space="preserve">ot rammer middelklassen og den lavere middelklasse relativt hårdere, men at omkostningerne forbundet med opgraderingen af deres huse, deres biler eller deres færdigheder også udgør en større byrde for dem.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Denne omstilling har konsekvenser for de personer</w:t>
      </w:r>
      <w:r>
        <w:rPr>
          <w:rFonts w:ascii="Times New Roman" w:hAnsi="Times New Roman"/>
          <w:noProof/>
          <w:sz w:val="24"/>
        </w:rPr>
        <w:t>, der er ansat i de berørte virksomheder, og nogle gange for hele regioner. Som grundlæggende princip for omstillingen bør ingen lades i stikken. Vi kan simpelthen ikke gennemføre omstillingen til bæredygtighed på bekostning af befolkningsgrupper, lokalsam</w:t>
      </w:r>
      <w:r>
        <w:rPr>
          <w:rFonts w:ascii="Times New Roman" w:hAnsi="Times New Roman"/>
          <w:noProof/>
          <w:sz w:val="24"/>
        </w:rPr>
        <w:t>fund, sektorer eller regioner. Alle medlemmer af vores samfund skal have lige muligheder for at bidrage til en bæredygtig europæisk fremtid og drage nytte af omstillingen. Vi er nødt til at styrke kvinderne, så de kan komme ind på jobmarkedet og få mulighe</w:t>
      </w:r>
      <w:r>
        <w:rPr>
          <w:rFonts w:ascii="Times New Roman" w:hAnsi="Times New Roman"/>
          <w:noProof/>
          <w:sz w:val="24"/>
        </w:rPr>
        <w:t>d for at blive økonomisk uafhængige.</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Hvis det skal lykkes os at sætte en bæredygtig kurs for vores samfund, er vi nødt til at sikre, at vores politikker hjælper alle europæere med at gennemføre denne ændring, bl.a. ved at udruste dem med de nødvendige færd</w:t>
      </w:r>
      <w:r>
        <w:rPr>
          <w:rFonts w:ascii="Times New Roman" w:hAnsi="Times New Roman"/>
          <w:noProof/>
          <w:sz w:val="24"/>
        </w:rPr>
        <w:t>igheder. Kommissionen iværksatte f.eks. initiativet vedrørende kulregioner under omstilling, som er med til at udarbejde strategier og projekter for en varig social, økonomisk og teknologisk omstilling i visse regioner i EU, og som vil blive udvidet til at</w:t>
      </w:r>
      <w:r>
        <w:rPr>
          <w:rFonts w:ascii="Times New Roman" w:hAnsi="Times New Roman"/>
          <w:noProof/>
          <w:sz w:val="24"/>
        </w:rPr>
        <w:t xml:space="preserve"> omfatte kulstofintensive regioner. Sådanne tidlige initiativer, der foregriber udfordringer forbundet med omstillingen, bør styrkes og udvides til andre sektorer, hvor der er behov for omstilling, f.eks. bilindustrien og visse fødevarebrancher. </w:t>
      </w:r>
    </w:p>
    <w:p w:rsidR="000E3A3F" w:rsidRDefault="00B958E1">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381500" cy="5425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81500" cy="5425440"/>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For at </w:t>
      </w:r>
      <w:r>
        <w:rPr>
          <w:rFonts w:ascii="Times New Roman" w:hAnsi="Times New Roman"/>
          <w:noProof/>
          <w:sz w:val="24"/>
        </w:rPr>
        <w:t>opnå offentlighedens accept af de fornødne skridt og sørge for en vellykket omstilling for alle vil det også være af afgørende betydning at sikre en socialt inkluderende, rimelig og retfærdig omstilling. Dette indebærer en højere og mere retfærdig arbejdsm</w:t>
      </w:r>
      <w:r>
        <w:rPr>
          <w:rFonts w:ascii="Times New Roman" w:hAnsi="Times New Roman"/>
          <w:noProof/>
          <w:sz w:val="24"/>
        </w:rPr>
        <w:t xml:space="preserve">arkedsdeltagelse, med fokus på jobkvalitet og arbejdsvilkår, samt overholdelsen af minoritetsrettigheder.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I den forbindelse kan en velordnet, lovlig og velforvaltet migration skabe muligheder for den europæiske økonomi ved at imødegå demografiske ændringe</w:t>
      </w:r>
      <w:r>
        <w:rPr>
          <w:rFonts w:ascii="Times New Roman" w:hAnsi="Times New Roman"/>
          <w:noProof/>
          <w:sz w:val="24"/>
        </w:rPr>
        <w:t>r, både i migranternes oprindelseslande og bestemmelseslande. Integration og en fuld inddragelse i samfundet – hvad enten det er kulturelt, socialt eller økonomisk – af alle migranter, der med rette og lovligt opholder sig i EU, er et fælles ansvar samt al</w:t>
      </w:r>
      <w:r>
        <w:rPr>
          <w:rFonts w:ascii="Times New Roman" w:hAnsi="Times New Roman"/>
          <w:noProof/>
          <w:sz w:val="24"/>
        </w:rPr>
        <w:t>tafgørende for at sikre social samhørighed</w:t>
      </w:r>
      <w:r>
        <w:rPr>
          <w:rStyle w:val="FootnoteReference"/>
          <w:rFonts w:ascii="Times New Roman" w:hAnsi="Times New Roman"/>
          <w:noProof/>
          <w:sz w:val="24"/>
        </w:rPr>
        <w:footnoteReference w:id="52"/>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Omstillingen til bæredygtighed kræver også investeringer i effektive og integrerede socialsikringsordninger, herunder kvalitetstjenester som f.eks. uddannelse, undervisning, livslang læring, børnepasning, skole</w:t>
      </w:r>
      <w:r>
        <w:rPr>
          <w:rFonts w:ascii="Times New Roman" w:hAnsi="Times New Roman"/>
          <w:noProof/>
          <w:sz w:val="24"/>
        </w:rPr>
        <w:t>fritidsordninger og sundheds- og langtidspleje. Dette er vigtigt for at sikre lige muligheder for alle og for at fremme økonomisk og social konvergens. Navnlig sundhedssystemerne skal udvikles, således at de er lettilgængelige og økonomisk overkommelige fo</w:t>
      </w:r>
      <w:r>
        <w:rPr>
          <w:rFonts w:ascii="Times New Roman" w:hAnsi="Times New Roman"/>
          <w:noProof/>
          <w:sz w:val="24"/>
        </w:rPr>
        <w:t>r alle, bl.a. med bedre adgang til lægemidler, mere patientorienterede og stærkt fokuserede på sundhedsfremme og forebyggelse af sygdomme. De bør desuden være mere og bedre i stand til at planlægge og forudberegne arbejdsstyrken i sundhedssektoren og anven</w:t>
      </w:r>
      <w:r>
        <w:rPr>
          <w:rFonts w:ascii="Times New Roman" w:hAnsi="Times New Roman"/>
          <w:noProof/>
          <w:sz w:val="24"/>
        </w:rPr>
        <w:t>de omkostningseffektive digitale teknologier mere bredt</w:t>
      </w:r>
      <w:r>
        <w:rPr>
          <w:rStyle w:val="FootnoteReference"/>
          <w:rFonts w:ascii="Times New Roman" w:hAnsi="Times New Roman"/>
          <w:noProof/>
          <w:sz w:val="24"/>
        </w:rPr>
        <w:footnoteReference w:id="53"/>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Sociale investeringer bør derfor fortsat prioriteres højt i EU og medlemsstaterne. Oplægget om et socialt Europa</w:t>
      </w:r>
      <w:r>
        <w:rPr>
          <w:rStyle w:val="FootnoteReference"/>
          <w:rFonts w:ascii="Times New Roman" w:hAnsi="Times New Roman"/>
          <w:noProof/>
          <w:sz w:val="24"/>
        </w:rPr>
        <w:footnoteReference w:id="54"/>
      </w:r>
      <w:r>
        <w:rPr>
          <w:rFonts w:ascii="Times New Roman" w:hAnsi="Times New Roman"/>
          <w:noProof/>
          <w:sz w:val="24"/>
        </w:rPr>
        <w:t xml:space="preserve"> udgør et vigtigt referencepunkt og omfatter en næremere undersøgelse af mulighedern</w:t>
      </w:r>
      <w:r>
        <w:rPr>
          <w:rFonts w:ascii="Times New Roman" w:hAnsi="Times New Roman"/>
          <w:noProof/>
          <w:sz w:val="24"/>
        </w:rPr>
        <w:t>e for at tilpasse vores sociale modeller til de udfordringer, vi står over for. De vigtigste rammer for EU's vej frem er den europæiske søjle for sociale rettigheder, som EU-institutionerne proklamerede i november 2017. Formålet med søjlen er at styre en f</w:t>
      </w:r>
      <w:r>
        <w:rPr>
          <w:rFonts w:ascii="Times New Roman" w:hAnsi="Times New Roman"/>
          <w:noProof/>
          <w:sz w:val="24"/>
        </w:rPr>
        <w:t xml:space="preserve">ornyet proces til forbedring af arbejds- og levevilkår. Der fastsættes vigtige principper og rettigheder på det beskæftigelsesmæssige og sociale område. Vores fokus bør nu være at omsætte søjlen til virkelighed. På vejen frem er vi også nødt til at sikre, </w:t>
      </w:r>
      <w:r>
        <w:rPr>
          <w:rFonts w:ascii="Times New Roman" w:hAnsi="Times New Roman"/>
          <w:noProof/>
          <w:sz w:val="24"/>
        </w:rPr>
        <w:t xml:space="preserve">at gennemførelsen af søjlen er med til at udruste folk med de rette færdigheder til de rette job, som er orienterede mod grøn økonomisk omstilling.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Omstillingen til bæredygtighed skal også fortsat hjælpe medlemsstaterne og regionerne med at vokse i retnin</w:t>
      </w:r>
      <w:r>
        <w:rPr>
          <w:rFonts w:ascii="Times New Roman" w:hAnsi="Times New Roman"/>
          <w:noProof/>
          <w:sz w:val="24"/>
        </w:rPr>
        <w:t xml:space="preserve">g af hinanden, idet der bør undgås vidtrækkende uretfærdighed og ulighed i EU inden for og mellem by- og landområderne. </w:t>
      </w:r>
    </w:p>
    <w:p w:rsidR="000E3A3F" w:rsidRDefault="00B958E1">
      <w:pPr>
        <w:spacing w:line="240" w:lineRule="auto"/>
        <w:jc w:val="both"/>
        <w:rPr>
          <w:rFonts w:ascii="Times New Roman" w:hAnsi="Times New Roman" w:cs="Times New Roman"/>
          <w:b/>
          <w:i/>
          <w:noProof/>
          <w:sz w:val="24"/>
          <w:szCs w:val="24"/>
          <w:u w:val="single"/>
        </w:rPr>
      </w:pPr>
      <w:r>
        <w:rPr>
          <w:rFonts w:ascii="Times New Roman" w:hAnsi="Times New Roman"/>
          <w:noProof/>
          <w:color w:val="000000"/>
          <w:sz w:val="24"/>
        </w:rPr>
        <w:t xml:space="preserve">Selv om 75 % af EU's område består af landbrugsarealer, bor mere end to tredjedele af EU's befolkning i </w:t>
      </w:r>
      <w:r>
        <w:rPr>
          <w:rFonts w:ascii="Times New Roman" w:hAnsi="Times New Roman"/>
          <w:noProof/>
          <w:sz w:val="24"/>
        </w:rPr>
        <w:t>byområder. Disse genererer op t</w:t>
      </w:r>
      <w:r>
        <w:rPr>
          <w:rFonts w:ascii="Times New Roman" w:hAnsi="Times New Roman"/>
          <w:noProof/>
          <w:sz w:val="24"/>
        </w:rPr>
        <w:t>il 85 % af EU's BNP, tegner sig for omkring 60-80 % af energiforbruget og står typisk over for udfordringer som f.eks. trængsel, boligmangel, luftforurening og nedslidt infrastruktur</w:t>
      </w:r>
      <w:r>
        <w:rPr>
          <w:rStyle w:val="FootnoteReference"/>
          <w:rFonts w:ascii="Times New Roman" w:hAnsi="Times New Roman"/>
          <w:noProof/>
          <w:sz w:val="24"/>
        </w:rPr>
        <w:footnoteReference w:id="55"/>
      </w:r>
      <w:r>
        <w:rPr>
          <w:rFonts w:ascii="Times New Roman" w:hAnsi="Times New Roman"/>
          <w:noProof/>
          <w:sz w:val="24"/>
        </w:rPr>
        <w:t xml:space="preserve">. Gennemførelsen og udviklingen af EU's dagsorden for byerne bør fortsat </w:t>
      </w:r>
      <w:r>
        <w:rPr>
          <w:rFonts w:ascii="Times New Roman" w:hAnsi="Times New Roman"/>
          <w:noProof/>
          <w:sz w:val="24"/>
        </w:rPr>
        <w:t xml:space="preserve">prioriteres, og synergier med forskellige bæredygtighedspolitikker og andre instrumenter bør intensiveres.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Landdistrikterne er også de vigtigste leverandører af de fødevarer, energikilder og materialer, vi forbruger, og er derfor afgørende for omstillinge</w:t>
      </w:r>
      <w:r>
        <w:rPr>
          <w:rFonts w:ascii="Times New Roman" w:hAnsi="Times New Roman"/>
          <w:noProof/>
          <w:sz w:val="24"/>
        </w:rPr>
        <w:t>n til bæredygtighed. Bioøkonomien er et af de områder, hvor der kan ydes et vigtigt bidrag til at dekarbonisere vores økonomi og samtidig skabe arbejdspladser i landdistrikterne. Bæredygtig turisme og bæredygtige fødevaresystemer er ligeledes gode eksemple</w:t>
      </w:r>
      <w:r>
        <w:rPr>
          <w:rFonts w:ascii="Times New Roman" w:hAnsi="Times New Roman"/>
          <w:noProof/>
          <w:sz w:val="24"/>
        </w:rPr>
        <w:t xml:space="preserve">r på økonomiske muligheder i landdistrikterne, der omfatter beskyttelse og styrkelse af kultur- og naturarv. </w:t>
      </w:r>
    </w:p>
    <w:p w:rsidR="000E3A3F" w:rsidRDefault="00B958E1">
      <w:pPr>
        <w:pStyle w:val="CommentText"/>
        <w:jc w:val="both"/>
        <w:rPr>
          <w:rFonts w:ascii="Times New Roman" w:hAnsi="Times New Roman" w:cs="Times New Roman"/>
          <w:noProof/>
          <w:sz w:val="24"/>
          <w:szCs w:val="24"/>
        </w:rPr>
      </w:pPr>
      <w:r>
        <w:rPr>
          <w:rFonts w:ascii="Times New Roman" w:hAnsi="Times New Roman"/>
          <w:noProof/>
          <w:sz w:val="24"/>
        </w:rPr>
        <w:t>EU-foranstaltninger alene, f.eks. samhørighedspolitikken og politikker for udvikling af landdistrikter, herunder EU's indsats for intelligente lan</w:t>
      </w:r>
      <w:r>
        <w:rPr>
          <w:rFonts w:ascii="Times New Roman" w:hAnsi="Times New Roman"/>
          <w:noProof/>
          <w:sz w:val="24"/>
        </w:rPr>
        <w:t>dsbyer, vil ikke være nok, og alle aktører, herunder på nationalt og regionalt plan, vil skulle bidrage for at fremskynde omstillingen til bæredygtighed og anvende de passende lovgivningsmæssige og andre tilgange, der styrker landdistrikterne og sikrer lig</w:t>
      </w:r>
      <w:r>
        <w:rPr>
          <w:rFonts w:ascii="Times New Roman" w:hAnsi="Times New Roman"/>
          <w:noProof/>
          <w:sz w:val="24"/>
        </w:rPr>
        <w:t xml:space="preserve">e levevilkår. </w:t>
      </w:r>
    </w:p>
    <w:p w:rsidR="000E3A3F" w:rsidRDefault="00B958E1">
      <w:pPr>
        <w:pStyle w:val="Heading2"/>
        <w:rPr>
          <w:noProof/>
        </w:rPr>
      </w:pPr>
      <w:bookmarkStart w:id="26" w:name="_Toc532469546"/>
      <w:bookmarkStart w:id="27" w:name="_Toc532469547"/>
      <w:bookmarkStart w:id="28" w:name="_Toc536442045"/>
      <w:bookmarkStart w:id="29" w:name="_Toc536627477"/>
      <w:bookmarkEnd w:id="26"/>
      <w:bookmarkEnd w:id="27"/>
      <w:r>
        <w:rPr>
          <w:noProof/>
        </w:rPr>
        <w:t>Horisontale katalysatorer for en omstilling til bæredygtighed</w:t>
      </w:r>
      <w:bookmarkEnd w:id="28"/>
      <w:bookmarkEnd w:id="29"/>
    </w:p>
    <w:p w:rsidR="000E3A3F" w:rsidRDefault="00B958E1">
      <w:pPr>
        <w:pStyle w:val="Heading3"/>
        <w:rPr>
          <w:noProof/>
        </w:rPr>
      </w:pPr>
      <w:bookmarkStart w:id="30" w:name="_Toc536442046"/>
      <w:bookmarkStart w:id="31" w:name="_Toc536627478"/>
      <w:r>
        <w:rPr>
          <w:noProof/>
        </w:rPr>
        <w:t>Uddannelse, videnskab, teknologi, forskning, innovation og digitalisering</w:t>
      </w:r>
      <w:bookmarkEnd w:id="30"/>
      <w:bookmarkEnd w:id="31"/>
      <w:r>
        <w:rPr>
          <w:noProof/>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Uddannelse, videnskab, teknologi, forskning og innovation er en forudsætning for at opnå en bæredygtig ø</w:t>
      </w:r>
      <w:r>
        <w:rPr>
          <w:rFonts w:ascii="Times New Roman" w:hAnsi="Times New Roman"/>
          <w:noProof/>
          <w:sz w:val="24"/>
        </w:rPr>
        <w:t>konomi i EU, som opfylder målene for bæredygtig udvikling</w:t>
      </w:r>
      <w:r>
        <w:rPr>
          <w:rStyle w:val="FootnoteReference"/>
          <w:rFonts w:ascii="Times New Roman" w:hAnsi="Times New Roman"/>
          <w:noProof/>
          <w:sz w:val="24"/>
        </w:rPr>
        <w:footnoteReference w:id="56"/>
      </w:r>
      <w:r>
        <w:rPr>
          <w:noProof/>
        </w:rPr>
        <w:t>.</w:t>
      </w:r>
      <w:r>
        <w:rPr>
          <w:rFonts w:ascii="Times New Roman" w:hAnsi="Times New Roman"/>
          <w:noProof/>
          <w:sz w:val="24"/>
        </w:rPr>
        <w:t xml:space="preserve"> Vi er nødt til fortsat at øge vores bevidsthed, forbedre vores viden og skærpe vores kompetencer. Vi bør investere mere på disse områder og tilpasse dem til målene for bæredygtig udvikling.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Uddan</w:t>
      </w:r>
      <w:r>
        <w:rPr>
          <w:rFonts w:ascii="Times New Roman" w:hAnsi="Times New Roman"/>
          <w:noProof/>
          <w:sz w:val="24"/>
        </w:rPr>
        <w:t>nelse, undervisning og livslang læring er uundværlige, når det gælder om at skabe en bæredygtig kultur. EU's stats- og regeringschefer er blevet enige om at arbejde hen imod et europæisk uddannelsesområde inden 2025 for at udnytte det fulde potentiale, der</w:t>
      </w:r>
      <w:r>
        <w:rPr>
          <w:rFonts w:ascii="Times New Roman" w:hAnsi="Times New Roman"/>
          <w:noProof/>
          <w:sz w:val="24"/>
        </w:rPr>
        <w:t xml:space="preserve"> ligger i uddannelse, undervisning og kultur som drivkræfter for jobskabelse, økonomisk vækst og social retfærdighed. Uddannelse er både en dyd i sig selv og et uvurderligt middel til at opnå bæredygtig udvikling. Derfor bør der særligt fokuseres på at for</w:t>
      </w:r>
      <w:r>
        <w:rPr>
          <w:rFonts w:ascii="Times New Roman" w:hAnsi="Times New Roman"/>
          <w:noProof/>
          <w:sz w:val="24"/>
        </w:rPr>
        <w:t>bedre den lige adgang til inklusiv uddannelse og undervisning af høj kvalitet i alle livets faser, lige fra vuggestue til videregående uddannelse og voksenundervisning. Uddannelsesinstitutioner på alle niveauer bør tilskyndes til at tilslutte sig målene fo</w:t>
      </w:r>
      <w:r>
        <w:rPr>
          <w:rFonts w:ascii="Times New Roman" w:hAnsi="Times New Roman"/>
          <w:noProof/>
          <w:sz w:val="24"/>
        </w:rPr>
        <w:t>r bæredygtig udvikling som retningslinjer for deres aktiviteter, og de bør støttes, så de bliver steder, hvor man ikke blot underviser i kompetencer inden for bæredygtighed, men også aktivt praktiserer dem. Der bør ligeledes fokuseres på at foretage en ref</w:t>
      </w:r>
      <w:r>
        <w:rPr>
          <w:rFonts w:ascii="Times New Roman" w:hAnsi="Times New Roman"/>
          <w:noProof/>
          <w:sz w:val="24"/>
        </w:rPr>
        <w:t xml:space="preserve">orm og modernisering af uddannelsessystemerne, lige fra opførelsen af grønne skoler og universiteter til udviklingen af nye færdigheder inden for den digitale økonomi.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Bedre IKT-færdigheder og digitale kernekompetencer i tråd med EU's handlingsplan for di</w:t>
      </w:r>
      <w:r>
        <w:rPr>
          <w:rFonts w:ascii="Times New Roman" w:hAnsi="Times New Roman"/>
          <w:noProof/>
          <w:sz w:val="24"/>
        </w:rPr>
        <w:t>gital uddannelse</w:t>
      </w:r>
      <w:r>
        <w:rPr>
          <w:rStyle w:val="FootnoteReference"/>
          <w:rFonts w:ascii="Times New Roman" w:hAnsi="Times New Roman"/>
          <w:noProof/>
          <w:sz w:val="24"/>
        </w:rPr>
        <w:footnoteReference w:id="57"/>
      </w:r>
      <w:r>
        <w:rPr>
          <w:rFonts w:ascii="Times New Roman" w:hAnsi="Times New Roman"/>
          <w:noProof/>
          <w:sz w:val="24"/>
        </w:rPr>
        <w:t xml:space="preserve"> og større fokus på kunstig intelligens</w:t>
      </w:r>
      <w:r>
        <w:rPr>
          <w:rStyle w:val="FootnoteReference"/>
          <w:rFonts w:ascii="Times New Roman" w:hAnsi="Times New Roman"/>
          <w:noProof/>
          <w:sz w:val="24"/>
        </w:rPr>
        <w:footnoteReference w:id="58"/>
      </w:r>
      <w:r>
        <w:rPr>
          <w:rFonts w:ascii="Times New Roman" w:hAnsi="Times New Roman"/>
          <w:noProof/>
          <w:sz w:val="24"/>
        </w:rPr>
        <w:t xml:space="preserve"> bør prioriteres højt fremover. Udnyttelsen af den digitale omstillings styrke for at nå målene for bæredygtig udvikling er en klar prioritet. EU er fast besluttet på at udvikle kapacitet og eksperti</w:t>
      </w:r>
      <w:r>
        <w:rPr>
          <w:rFonts w:ascii="Times New Roman" w:hAnsi="Times New Roman"/>
          <w:noProof/>
          <w:sz w:val="24"/>
        </w:rPr>
        <w:t>se inden for vigtige digitale teknologier som f.eks. konnektivitet, tingenes internet, cybersikkerhed, blockchain eller højtydende databehandling og er samtidig opmærksom på de potentielle negative eksterne omkostninger, der er forbundet med digitale infra</w:t>
      </w:r>
      <w:r>
        <w:rPr>
          <w:rFonts w:ascii="Times New Roman" w:hAnsi="Times New Roman"/>
          <w:noProof/>
          <w:sz w:val="24"/>
        </w:rPr>
        <w:t xml:space="preserve">strukturer.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Kunstig intelligens er et område, hvor EU sakker bagud i forhold til Kina og USA</w:t>
      </w:r>
      <w:r>
        <w:rPr>
          <w:rStyle w:val="FootnoteReference"/>
          <w:rFonts w:ascii="Times New Roman" w:hAnsi="Times New Roman"/>
          <w:noProof/>
          <w:sz w:val="24"/>
        </w:rPr>
        <w:footnoteReference w:id="59"/>
      </w:r>
      <w:r>
        <w:rPr>
          <w:noProof/>
        </w:rPr>
        <w:t>.</w:t>
      </w:r>
      <w:r>
        <w:rPr>
          <w:rFonts w:ascii="Times New Roman" w:hAnsi="Times New Roman"/>
          <w:noProof/>
          <w:sz w:val="24"/>
        </w:rPr>
        <w:t xml:space="preserve"> EU er nødt til at indhente de andre hurtigt for at høste de økonomiske fordele og samtidig indtage en ledende rolle i udformningen af de nye etiske retningslinjer, som skal ledsage denne nye teknologi. Således kan EU være med til at sikre, at kunstig inte</w:t>
      </w:r>
      <w:r>
        <w:rPr>
          <w:rFonts w:ascii="Times New Roman" w:hAnsi="Times New Roman"/>
          <w:noProof/>
          <w:sz w:val="24"/>
        </w:rPr>
        <w:t>lligens er en nettogevinst for menneskers liv og arbejde. Med sin kapacitet til at behandle store datamængder samtidigt har kunstig intelligens potentiale til i væsentlig grad at øge produktiviteten på mange områder såsom sundhedspleje, energi, landbrug, u</w:t>
      </w:r>
      <w:r>
        <w:rPr>
          <w:rFonts w:ascii="Times New Roman" w:hAnsi="Times New Roman"/>
          <w:noProof/>
          <w:sz w:val="24"/>
        </w:rPr>
        <w:t>ddannelse og miljøbeskyttelse. F.eks. gør forskere inden for landbrugssektoren i øjeblikket brug af kunstig intelligens og big data til at forudse høstudbyttet flere måneder før høsten, hvilket potentielt kan hjælpe landbrugerne med at øge deres produktivi</w:t>
      </w:r>
      <w:r>
        <w:rPr>
          <w:rFonts w:ascii="Times New Roman" w:hAnsi="Times New Roman"/>
          <w:noProof/>
          <w:sz w:val="24"/>
        </w:rPr>
        <w:t>tet, træffe informerede beslutninger for så vidt angår afgrøder og i sidste ende forbedre fødevaresikkerheden</w:t>
      </w:r>
      <w:r>
        <w:rPr>
          <w:rStyle w:val="FootnoteReference"/>
          <w:rFonts w:ascii="Times New Roman" w:hAnsi="Times New Roman"/>
          <w:noProof/>
          <w:sz w:val="24"/>
        </w:rPr>
        <w:footnoteReference w:id="60"/>
      </w:r>
      <w:r>
        <w:rPr>
          <w:noProof/>
        </w:rPr>
        <w:t>.</w:t>
      </w:r>
    </w:p>
    <w:p w:rsidR="000E3A3F" w:rsidRDefault="00B958E1">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 xml:space="preserve">Forskning og innovation spiller en vigtig rolle som katalysator for forandring. De udgør et værktøj til analyse af følgerne ved forandring samt </w:t>
      </w:r>
      <w:r>
        <w:rPr>
          <w:rFonts w:ascii="Times New Roman" w:hAnsi="Times New Roman"/>
          <w:noProof/>
          <w:color w:val="000000"/>
          <w:sz w:val="24"/>
          <w:u w:color="000000"/>
          <w:bdr w:val="nil"/>
        </w:rPr>
        <w:t xml:space="preserve">et middel til at sikre, at enhver omstilling fører til øget velfærd. De giver os ligeledes mulighed for at spare penge. </w:t>
      </w:r>
      <w:r>
        <w:rPr>
          <w:rFonts w:ascii="Times New Roman" w:hAnsi="Times New Roman"/>
          <w:noProof/>
          <w:sz w:val="24"/>
        </w:rPr>
        <w:t>Flere investeringer i innovation og teknologisk udvikling i dag vil på længere sigt hjælpe os med at sænke de omkostninger, der skal til</w:t>
      </w:r>
      <w:r>
        <w:rPr>
          <w:rFonts w:ascii="Times New Roman" w:hAnsi="Times New Roman"/>
          <w:noProof/>
          <w:sz w:val="24"/>
        </w:rPr>
        <w:t xml:space="preserve"> for at opfylde vores langsigtede politiske mål som f.eks. inden for klima og miljø. </w:t>
      </w:r>
      <w:r>
        <w:rPr>
          <w:rFonts w:ascii="Times New Roman" w:hAnsi="Times New Roman"/>
          <w:noProof/>
          <w:color w:val="000000"/>
          <w:sz w:val="24"/>
          <w:u w:color="000000"/>
          <w:bdr w:val="nil"/>
        </w:rPr>
        <w:t xml:space="preserve">Europa har talenterne, færdighederne og den iboende kreativitet. Med sit rige forsker- og innovatorsamfund har EU et særdeles godt udgangspunkt for at blive førende inden </w:t>
      </w:r>
      <w:r>
        <w:rPr>
          <w:rFonts w:ascii="Times New Roman" w:hAnsi="Times New Roman"/>
          <w:noProof/>
          <w:color w:val="000000"/>
          <w:sz w:val="24"/>
          <w:u w:color="000000"/>
          <w:bdr w:val="nil"/>
        </w:rPr>
        <w:t xml:space="preserve">for udvikling og udbredelse af banebrydende løsninger på området grøn og inklusiv vækst, der vil kunne anvendes i EU såvel som på verdensplan. </w:t>
      </w:r>
    </w:p>
    <w:p w:rsidR="000E3A3F" w:rsidRDefault="00B958E1">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For at udnytte dette potentiale fuldt ud er EU-medlemsstaterne dog nødt til at øge deres udgifter til forskning.</w:t>
      </w:r>
      <w:r>
        <w:rPr>
          <w:rFonts w:ascii="Times New Roman" w:hAnsi="Times New Roman"/>
          <w:noProof/>
          <w:color w:val="000000"/>
          <w:sz w:val="24"/>
          <w:u w:color="000000"/>
          <w:bdr w:val="nil"/>
        </w:rPr>
        <w:t xml:space="preserve"> EU er nået til enighed om, at 3 % af EU-medlemsstaternes BNP i 2020 bør investeres i forskning, udvikling og innovation, men vi er stadig langt fra at nå dette mål.</w:t>
      </w:r>
    </w:p>
    <w:p w:rsidR="000E3A3F" w:rsidRDefault="00B958E1">
      <w:pPr>
        <w:spacing w:line="240" w:lineRule="auto"/>
        <w:jc w:val="center"/>
        <w:rPr>
          <w:rFonts w:ascii="Times New Roman" w:eastAsia="Helvetica" w:hAnsi="Times New Roman" w:cs="Times New Roman"/>
          <w:noProof/>
          <w:color w:val="000000"/>
          <w:sz w:val="24"/>
          <w:szCs w:val="24"/>
          <w:u w:color="000000"/>
          <w:bdr w:val="nil"/>
        </w:rPr>
      </w:pPr>
      <w:r>
        <w:rPr>
          <w:noProof/>
          <w:lang w:val="en-GB" w:eastAsia="en-GB" w:bidi="ar-SA"/>
        </w:rPr>
        <w:drawing>
          <wp:inline distT="0" distB="0" distL="0" distR="0">
            <wp:extent cx="4876800" cy="3680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76800" cy="3680460"/>
                    </a:xfrm>
                    <a:prstGeom prst="rect">
                      <a:avLst/>
                    </a:prstGeom>
                  </pic:spPr>
                </pic:pic>
              </a:graphicData>
            </a:graphic>
          </wp:inline>
        </w:drawing>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color w:val="000000"/>
          <w:sz w:val="24"/>
          <w:u w:color="000000"/>
          <w:bdr w:val="nil"/>
        </w:rPr>
        <w:t>På EU-plan er rammeprogrammerne for forskning og innovation katalysator for bæredygtig k</w:t>
      </w:r>
      <w:r>
        <w:rPr>
          <w:rFonts w:ascii="Times New Roman" w:hAnsi="Times New Roman"/>
          <w:noProof/>
          <w:color w:val="000000"/>
          <w:sz w:val="24"/>
          <w:u w:color="000000"/>
          <w:bdr w:val="nil"/>
        </w:rPr>
        <w:t>onkurrenceevne, vækst og investeringer. For at fremskynde omstillingen til bæredygtighed skal finansieringen af forskning og innovation suppleres med en strategisk tilgang til investering, som gør det muligt for innovative løsninger at nå ud på markedet, i</w:t>
      </w:r>
      <w:r>
        <w:rPr>
          <w:rFonts w:ascii="Times New Roman" w:hAnsi="Times New Roman"/>
          <w:noProof/>
          <w:color w:val="000000"/>
          <w:sz w:val="24"/>
          <w:u w:color="000000"/>
          <w:bdr w:val="nil"/>
        </w:rPr>
        <w:t xml:space="preserve">det disse </w:t>
      </w:r>
      <w:r>
        <w:rPr>
          <w:rFonts w:ascii="Times New Roman" w:hAnsi="Times New Roman"/>
          <w:noProof/>
          <w:sz w:val="24"/>
        </w:rPr>
        <w:t>ofte kræver kapitalintensive og højrisikable investeringer. Instrumenter som f.eks. Den Europæiske Fond for Strategiske Investeringer er blevet oprettet for at hjælpe med at nedbringe risiciene ved sådanne investeringer og dermed gøre dem mere at</w:t>
      </w:r>
      <w:r>
        <w:rPr>
          <w:rFonts w:ascii="Times New Roman" w:hAnsi="Times New Roman"/>
          <w:noProof/>
          <w:sz w:val="24"/>
        </w:rPr>
        <w:t xml:space="preserve">traktive for private interessenter. Det nyligt foreslåede Europæiske Innovationsråd kan også yde støtte i denne henseende ved </w:t>
      </w:r>
      <w:r>
        <w:rPr>
          <w:rFonts w:ascii="Times New Roman" w:hAnsi="Times New Roman"/>
          <w:noProof/>
          <w:color w:val="000000"/>
          <w:sz w:val="24"/>
        </w:rPr>
        <w:t>at bistå topinnovatorer, nystartede virksomheder, små virksomheder og forskere med at gennemføre innovative højrisikoprojekter, vo</w:t>
      </w:r>
      <w:r>
        <w:rPr>
          <w:rFonts w:ascii="Times New Roman" w:hAnsi="Times New Roman"/>
          <w:noProof/>
          <w:color w:val="000000"/>
          <w:sz w:val="24"/>
        </w:rPr>
        <w:t xml:space="preserve">kse på internationalt plan og nyde godt af tværfaglig vidensudveksling.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 og medlemsstaterne kunne fokusere på at finansiere banebrydende og disruptive teknologier og innovative virksomheder med potentiale til at blive førende på EU-markedet og det globa</w:t>
      </w:r>
      <w:r>
        <w:rPr>
          <w:rFonts w:ascii="Times New Roman" w:hAnsi="Times New Roman"/>
          <w:noProof/>
          <w:sz w:val="24"/>
        </w:rPr>
        <w:t xml:space="preserve">le marked, når det gælder om en omstilling til bæredygtighed, samt på effektiv og rettidig udnyttelse af disse innovationer. Der bør lægges særlig vægt på bæredygtige og innovative landbrugs- og fødevaresystemer, ren teknologi, menneskers og dyrs sundhed, </w:t>
      </w:r>
      <w:r>
        <w:rPr>
          <w:rFonts w:ascii="Times New Roman" w:hAnsi="Times New Roman"/>
          <w:noProof/>
          <w:sz w:val="24"/>
        </w:rPr>
        <w:t>økosystemløsninger og ressourceeffektive produkter og produktionsmetoder. Desuden er der behov for en understøttende retlig ramme til at stimulere en effektiv udbredelse af innovation med henblik på bæredygtig udvikling.</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EU og dets medlemsstater ville også</w:t>
      </w:r>
      <w:r>
        <w:rPr>
          <w:rFonts w:ascii="Times New Roman" w:hAnsi="Times New Roman"/>
          <w:noProof/>
          <w:sz w:val="24"/>
        </w:rPr>
        <w:t xml:space="preserve"> skulle fremme stærkere forbindelser mellem forskere og erhvervslivet. EU's knudepunkter og -væksthuse for forskning, udvikling og innovation er vigtige for at støtte bæredygtig udvikling, således at forskere og virksomheder kan mødes, udveksle bedste prak</w:t>
      </w:r>
      <w:r>
        <w:rPr>
          <w:rFonts w:ascii="Times New Roman" w:hAnsi="Times New Roman"/>
          <w:noProof/>
          <w:sz w:val="24"/>
        </w:rPr>
        <w:t>sis og fremme innovation. Mens store virksomheder kan have midlerne til at udvikle deres forskningsaktiviteter internt, er dette ofte ikke tilfældet for små og mellemstore virksomheder. Stærkere og mere direkte forbindelser med forskersamfundet har potenti</w:t>
      </w:r>
      <w:r>
        <w:rPr>
          <w:rFonts w:ascii="Times New Roman" w:hAnsi="Times New Roman"/>
          <w:noProof/>
          <w:sz w:val="24"/>
        </w:rPr>
        <w:t>ale til at slå bro over denne kløft.</w:t>
      </w:r>
    </w:p>
    <w:p w:rsidR="000E3A3F" w:rsidRDefault="00B958E1">
      <w:pPr>
        <w:pStyle w:val="CommentText"/>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noProof/>
          <w:sz w:val="24"/>
        </w:rPr>
        <w:t>Tekstboks: Med 40 innovationsknudepunkter i hele EU samler Det Europæiske Institut for Innovation og Teknologi (EIT) den videnstrekant, som uddannelse, forskning og erhvervsliv tilsammen udgør. Der er lanceret adskillig</w:t>
      </w:r>
      <w:r>
        <w:rPr>
          <w:rFonts w:ascii="Times New Roman" w:hAnsi="Times New Roman"/>
          <w:noProof/>
          <w:sz w:val="24"/>
        </w:rPr>
        <w:t xml:space="preserve">e </w:t>
      </w:r>
      <w:r>
        <w:rPr>
          <w:rFonts w:ascii="Times New Roman" w:hAnsi="Times New Roman"/>
          <w:b/>
          <w:noProof/>
          <w:sz w:val="24"/>
        </w:rPr>
        <w:t>videns- og innovationsfællesskaber</w:t>
      </w:r>
      <w:r>
        <w:rPr>
          <w:rFonts w:ascii="Times New Roman" w:hAnsi="Times New Roman"/>
          <w:noProof/>
          <w:sz w:val="24"/>
        </w:rPr>
        <w:t xml:space="preserve"> (VIF'er), og flere følger. Disse fællesskaber </w:t>
      </w:r>
      <w:r>
        <w:rPr>
          <w:rFonts w:ascii="Times New Roman" w:hAnsi="Times New Roman"/>
          <w:b/>
          <w:noProof/>
          <w:sz w:val="24"/>
        </w:rPr>
        <w:t>tager fat på store samfundsmæssige udfordringer i EU for så vidt angår målene for bæredygtig udvikling</w:t>
      </w:r>
      <w:r>
        <w:rPr>
          <w:rFonts w:ascii="Times New Roman" w:hAnsi="Times New Roman"/>
          <w:noProof/>
          <w:sz w:val="24"/>
        </w:rPr>
        <w:t xml:space="preserve"> såsom klima, energi, fødevarer, sundhed, råvarer, digitalisering, bytr</w:t>
      </w:r>
      <w:r>
        <w:rPr>
          <w:rFonts w:ascii="Times New Roman" w:hAnsi="Times New Roman"/>
          <w:noProof/>
          <w:sz w:val="24"/>
        </w:rPr>
        <w:t xml:space="preserve">afik og kompleks fremstillingsvirksomhed. Mere end 1 200 partnere fra erhvervslivet og forsknings- og uddannelsesmiljøet samles for at løfte disse udfordringer. </w:t>
      </w:r>
    </w:p>
    <w:p w:rsidR="000E3A3F" w:rsidRDefault="00B958E1">
      <w:pPr>
        <w:pStyle w:val="Heading3"/>
        <w:rPr>
          <w:noProof/>
        </w:rPr>
      </w:pPr>
      <w:bookmarkStart w:id="32" w:name="_Toc536442047"/>
      <w:bookmarkStart w:id="33" w:name="_Toc536627479"/>
      <w:r>
        <w:rPr>
          <w:noProof/>
        </w:rPr>
        <w:t>Finansiering, prissætning, beskatning og konkurrence</w:t>
      </w:r>
      <w:bookmarkEnd w:id="32"/>
      <w:bookmarkEnd w:id="33"/>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Omkostningerne ved ikke at gøre noget er </w:t>
      </w:r>
      <w:r>
        <w:rPr>
          <w:rFonts w:ascii="Times New Roman" w:hAnsi="Times New Roman"/>
          <w:noProof/>
          <w:sz w:val="24"/>
        </w:rPr>
        <w:t>store på mellemlang og lang sigt. Samtidig indebærer omstillingen til bæredygtighed væsentlige investeringer på kort sigt og en betydelig ændring i, hvordan det finansielle system fungerer. På verdensplan forventes det at kræve omkring 4,5-6 bio. EUR at nå</w:t>
      </w:r>
      <w:r>
        <w:rPr>
          <w:rFonts w:ascii="Times New Roman" w:hAnsi="Times New Roman"/>
          <w:noProof/>
          <w:sz w:val="24"/>
        </w:rPr>
        <w:t xml:space="preserve"> målene for bæredygtig udvikling</w:t>
      </w:r>
      <w:r>
        <w:rPr>
          <w:rStyle w:val="FootnoteReference"/>
          <w:rFonts w:ascii="Times New Roman" w:hAnsi="Times New Roman"/>
          <w:noProof/>
          <w:sz w:val="24"/>
        </w:rPr>
        <w:footnoteReference w:id="61"/>
      </w:r>
      <w:r>
        <w:rPr>
          <w:rFonts w:ascii="Times New Roman" w:hAnsi="Times New Roman"/>
          <w:noProof/>
          <w:sz w:val="24"/>
        </w:rPr>
        <w:t>. Der er behov for yderligere investeringer på omkring 180 mia. EUR for at nå EU's 2030-mål, der blev aftalt i Paris, herunder en reduktion af drivhusgasemissionerne på 40 %. De offentlige midler skal målrettes bedre og mer</w:t>
      </w:r>
      <w:r>
        <w:rPr>
          <w:rFonts w:ascii="Times New Roman" w:hAnsi="Times New Roman"/>
          <w:noProof/>
          <w:sz w:val="24"/>
        </w:rPr>
        <w:t>e fornuftigt forfølgelsen af målene for bæredygtig udvikling, men vi kan ikke opfylde vores behov, hvis den private sektor ikke også gennemfører en bæredygtig omstilling. Mobiliseringen af midler til finansiering af omstillingen skal gå hånd i hånd med udf</w:t>
      </w:r>
      <w:r>
        <w:rPr>
          <w:rFonts w:ascii="Times New Roman" w:hAnsi="Times New Roman"/>
          <w:noProof/>
          <w:sz w:val="24"/>
        </w:rPr>
        <w:t xml:space="preserve">asningen af finansiering af projekter til skade for grøn og inklusiv økonomisk vækst.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Investeringsplanen for Europa har til formål at mobilisere privat finansiering til gavn for offentligheden. Den i 2015 lancerede Europæiske Fond for Strategiske Invester</w:t>
      </w:r>
      <w:r>
        <w:rPr>
          <w:rFonts w:ascii="Times New Roman" w:hAnsi="Times New Roman"/>
          <w:noProof/>
          <w:sz w:val="24"/>
        </w:rPr>
        <w:t>inger har via sin finansieringsdel indtil videre mobiliseret i alt 370 mia. EUR til investeringer inden for nøgleområder, som er nødvendige for moderniseringen af den europæiske økonomi. Dette omfatter vedvarende energi, energieffektivitet, forskning, udvi</w:t>
      </w:r>
      <w:r>
        <w:rPr>
          <w:rFonts w:ascii="Times New Roman" w:hAnsi="Times New Roman"/>
          <w:noProof/>
          <w:sz w:val="24"/>
        </w:rPr>
        <w:t>kling og innovation samt social infrastruktur som f.eks. sociale eller økonomisk overkommelige boliger. Med henblik på den næste budgetramme for perioden 2021-2027 foreslog Kommissionen at fordoble budgetmidlerne til den sociale sektor, herunder til social</w:t>
      </w:r>
      <w:r>
        <w:rPr>
          <w:rFonts w:ascii="Times New Roman" w:hAnsi="Times New Roman"/>
          <w:noProof/>
          <w:sz w:val="24"/>
        </w:rPr>
        <w:t xml:space="preserve">t iværksætteri, samt kun at finansiere bæredygtige infrastrukturer. Den Europæiske Investeringsbank-Gruppen er allerede i dag den største multilaterale yder af klimafinansiering på verdensplan og har afsat mindst 25 % af sine investeringer til modvirkning </w:t>
      </w:r>
      <w:r>
        <w:rPr>
          <w:rFonts w:ascii="Times New Roman" w:hAnsi="Times New Roman"/>
          <w:noProof/>
          <w:sz w:val="24"/>
        </w:rPr>
        <w:t xml:space="preserve">af og tilpasning til klimaforandringer.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Kommissionen har på grundlag af anbefalinger fra en ekspertgruppe også fastlagt en køreplan for at styrke den rolle, som finansiering spiller i bestræbelserne på at opnå en velfungerende økonomi i topform, der samti</w:t>
      </w:r>
      <w:r>
        <w:rPr>
          <w:rFonts w:ascii="Times New Roman" w:hAnsi="Times New Roman"/>
          <w:noProof/>
          <w:sz w:val="24"/>
        </w:rPr>
        <w:t>dig skaber resultater med hensyn til de miljømæssige og sociale mål. Handlingsplanen for bæredygtig finansiering</w:t>
      </w:r>
      <w:r>
        <w:rPr>
          <w:rStyle w:val="FootnoteReference"/>
          <w:rFonts w:ascii="Times New Roman" w:hAnsi="Times New Roman"/>
          <w:noProof/>
          <w:sz w:val="24"/>
        </w:rPr>
        <w:footnoteReference w:id="62"/>
      </w:r>
      <w:r>
        <w:rPr>
          <w:rFonts w:ascii="Times New Roman" w:hAnsi="Times New Roman"/>
          <w:noProof/>
          <w:sz w:val="24"/>
        </w:rPr>
        <w:t xml:space="preserve"> og de deraf følgende lovgivningsforslag vil hjælpe investorer med at træffe informerede investeringsbeslutninger baseret på klare kriterier fo</w:t>
      </w:r>
      <w:r>
        <w:rPr>
          <w:rFonts w:ascii="Times New Roman" w:hAnsi="Times New Roman"/>
          <w:noProof/>
          <w:sz w:val="24"/>
        </w:rPr>
        <w:t>r, hvad der er en bæredygtig investering. Dette bør lette fremskyndelsen og udbredelsen af mere omfattende investeringer i bæredygtige projekter både i EU og på verdensplan samt tilskynde investorer til at trække sig ud af investeringer, der ikke er bæredy</w:t>
      </w:r>
      <w:r>
        <w:rPr>
          <w:rFonts w:ascii="Times New Roman" w:hAnsi="Times New Roman"/>
          <w:noProof/>
          <w:sz w:val="24"/>
        </w:rPr>
        <w:t xml:space="preserve">gtige. </w:t>
      </w:r>
    </w:p>
    <w:p w:rsidR="000E3A3F" w:rsidRDefault="000E3A3F">
      <w:pPr>
        <w:autoSpaceDE w:val="0"/>
        <w:autoSpaceDN w:val="0"/>
        <w:adjustRightInd w:val="0"/>
        <w:spacing w:after="0" w:line="240" w:lineRule="auto"/>
        <w:jc w:val="both"/>
        <w:rPr>
          <w:rFonts w:ascii="Times New Roman" w:hAnsi="Times New Roman" w:cs="Times New Roman"/>
          <w:i/>
          <w:noProof/>
          <w:color w:val="000000"/>
          <w:sz w:val="24"/>
          <w:szCs w:val="24"/>
        </w:rPr>
      </w:pPr>
    </w:p>
    <w:p w:rsidR="000E3A3F" w:rsidRDefault="00B958E1">
      <w:pPr>
        <w:autoSpaceDE w:val="0"/>
        <w:autoSpaceDN w:val="0"/>
        <w:adjustRightInd w:val="0"/>
        <w:spacing w:after="0" w:line="240" w:lineRule="auto"/>
        <w:jc w:val="center"/>
        <w:rPr>
          <w:rFonts w:ascii="Times New Roman" w:hAnsi="Times New Roman" w:cs="Times New Roman"/>
          <w:i/>
          <w:noProof/>
          <w:color w:val="000000"/>
          <w:sz w:val="24"/>
          <w:szCs w:val="24"/>
        </w:rPr>
      </w:pPr>
      <w:r>
        <w:rPr>
          <w:noProof/>
          <w:lang w:val="en-GB" w:eastAsia="en-GB" w:bidi="ar-SA"/>
        </w:rPr>
        <w:drawing>
          <wp:inline distT="0" distB="0" distL="0" distR="0">
            <wp:extent cx="3512820" cy="3337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12820" cy="3337560"/>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i/>
          <w:noProof/>
          <w:color w:val="000000"/>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Der bør fokuseres yderligere på at sammenkoble bæredygtig finansiering med realøkonomien, således at den øgede efterspørgsel efter bæredygtige produkter og tjenester fra investorer vil blive modsvaret af et øget udbud. I den forbindelse vil en </w:t>
      </w:r>
      <w:r>
        <w:rPr>
          <w:rFonts w:ascii="Times New Roman" w:hAnsi="Times New Roman"/>
          <w:noProof/>
          <w:sz w:val="24"/>
        </w:rPr>
        <w:t>effektiv prissætning af eksterne omkostninger være afgørende. Ligeledes bør der gøres en yderligere indsats for at oplyse de europæiske borgere om finansieringssystemet, således at de er mere opmærksomme på de erhvervsaktiviteter, de finansierer, og på, hv</w:t>
      </w:r>
      <w:r>
        <w:rPr>
          <w:rFonts w:ascii="Times New Roman" w:hAnsi="Times New Roman"/>
          <w:noProof/>
          <w:sz w:val="24"/>
        </w:rPr>
        <w:t>ordan de skal stille fondsforvaltere til regnskab, såfremt deres penge ikke forvaltes bæredygtigt.</w:t>
      </w:r>
    </w:p>
    <w:p w:rsidR="000E3A3F" w:rsidRDefault="00B958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EU står i spidsen for en omfattende omlægning af det finansielle system hen imod en mere bæredygtig kurs gennem:</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Oprettelse af et fælles sprog</w:t>
      </w:r>
      <w:r>
        <w:rPr>
          <w:rFonts w:ascii="Times New Roman" w:hAnsi="Times New Roman"/>
          <w:noProof/>
          <w:sz w:val="24"/>
        </w:rPr>
        <w:t xml:space="preserve">: et fælles EU-klassifikationssystem ("taksonomi") for at definere, hvilke økonomiske aktiviteter der er bæredygtige, og kortlægge områder, hvor bæredygtige investeringer kan få størst virkning. </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Mindskelse af risikoen for grønvaskning</w:t>
      </w:r>
      <w:r>
        <w:rPr>
          <w:rFonts w:ascii="Times New Roman" w:hAnsi="Times New Roman"/>
          <w:noProof/>
          <w:sz w:val="24"/>
        </w:rPr>
        <w:t>: oprettelse af stand</w:t>
      </w:r>
      <w:r>
        <w:rPr>
          <w:rFonts w:ascii="Times New Roman" w:hAnsi="Times New Roman"/>
          <w:noProof/>
          <w:sz w:val="24"/>
        </w:rPr>
        <w:t xml:space="preserve">arder og </w:t>
      </w:r>
      <w:r>
        <w:rPr>
          <w:rStyle w:val="Strong"/>
          <w:rFonts w:ascii="Times New Roman" w:hAnsi="Times New Roman"/>
          <w:b w:val="0"/>
          <w:noProof/>
          <w:sz w:val="24"/>
        </w:rPr>
        <w:t>mærker</w:t>
      </w:r>
      <w:r>
        <w:rPr>
          <w:rFonts w:ascii="Times New Roman" w:hAnsi="Times New Roman"/>
          <w:noProof/>
          <w:sz w:val="24"/>
        </w:rPr>
        <w:t xml:space="preserve"> for grønne finansielle produkter, som giver investorer mulighed for let at identificere investeringer, der opfylder grønne eller kulstoffattige kriterier. </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Indarbejdelse af bæredygtighed i investeringsrådgivning</w:t>
      </w:r>
      <w:r>
        <w:rPr>
          <w:rFonts w:ascii="Times New Roman" w:hAnsi="Times New Roman"/>
          <w:noProof/>
          <w:sz w:val="24"/>
        </w:rPr>
        <w:t>: krav om, at forsikringssels</w:t>
      </w:r>
      <w:r>
        <w:rPr>
          <w:rFonts w:ascii="Times New Roman" w:hAnsi="Times New Roman"/>
          <w:noProof/>
          <w:sz w:val="24"/>
        </w:rPr>
        <w:t>kaber og investeringsvirksomheder rådgiver kunder på grundlag af deres præferencer vedrørende bæredygtighed.</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Udvikling af bæredygtighedsbenchmarks og fremme af deres gennemsigtighed.</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Identificering af</w:t>
      </w:r>
      <w:r>
        <w:rPr>
          <w:rFonts w:ascii="Times New Roman" w:hAnsi="Times New Roman"/>
          <w:noProof/>
          <w:sz w:val="24"/>
        </w:rPr>
        <w:t xml:space="preserve"> </w:t>
      </w:r>
      <w:r>
        <w:rPr>
          <w:rFonts w:ascii="Times New Roman" w:hAnsi="Times New Roman"/>
          <w:b/>
          <w:noProof/>
          <w:sz w:val="24"/>
        </w:rPr>
        <w:t>forpligtelserne for institutionelle investorer og kapit</w:t>
      </w:r>
      <w:r>
        <w:rPr>
          <w:rFonts w:ascii="Times New Roman" w:hAnsi="Times New Roman"/>
          <w:b/>
          <w:noProof/>
          <w:sz w:val="24"/>
        </w:rPr>
        <w:t>alforvaltere</w:t>
      </w:r>
      <w:r>
        <w:rPr>
          <w:rFonts w:ascii="Times New Roman" w:hAnsi="Times New Roman"/>
          <w:noProof/>
          <w:sz w:val="24"/>
        </w:rPr>
        <w:t>: sikring af, at de i deres investeringsbeslutninger tager hensyn til bæredygtighed og styrker deres oplysningskrav.</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Øget</w:t>
      </w:r>
      <w:r>
        <w:rPr>
          <w:rFonts w:ascii="Times New Roman" w:hAnsi="Times New Roman"/>
          <w:noProof/>
          <w:sz w:val="24"/>
        </w:rPr>
        <w:t xml:space="preserve"> </w:t>
      </w:r>
      <w:r>
        <w:rPr>
          <w:rFonts w:ascii="Times New Roman" w:hAnsi="Times New Roman"/>
          <w:b/>
          <w:noProof/>
          <w:sz w:val="24"/>
        </w:rPr>
        <w:t>gennemsigtighed i</w:t>
      </w:r>
      <w:r>
        <w:rPr>
          <w:rFonts w:ascii="Times New Roman" w:hAnsi="Times New Roman"/>
          <w:noProof/>
          <w:sz w:val="24"/>
        </w:rPr>
        <w:t xml:space="preserve"> </w:t>
      </w:r>
      <w:r>
        <w:rPr>
          <w:rStyle w:val="Strong"/>
          <w:rFonts w:ascii="Times New Roman" w:hAnsi="Times New Roman"/>
          <w:noProof/>
          <w:sz w:val="24"/>
        </w:rPr>
        <w:t>virksomhedsrapportering</w:t>
      </w:r>
      <w:r>
        <w:rPr>
          <w:rFonts w:ascii="Times New Roman" w:hAnsi="Times New Roman"/>
          <w:noProof/>
          <w:sz w:val="24"/>
        </w:rPr>
        <w:t>: revision af retningslinjerne om offentliggørelse af ikkefinansielle oplysninger</w:t>
      </w:r>
      <w:r>
        <w:rPr>
          <w:rFonts w:ascii="Times New Roman" w:hAnsi="Times New Roman"/>
          <w:noProof/>
          <w:sz w:val="24"/>
        </w:rPr>
        <w:t xml:space="preserve">. </w:t>
      </w:r>
    </w:p>
    <w:p w:rsidR="000E3A3F" w:rsidRDefault="00B958E1">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b/>
          <w:noProof/>
          <w:sz w:val="24"/>
        </w:rPr>
        <w:t>Indarbejdelse af bæredygtighed i tilsynskrav</w:t>
      </w:r>
      <w:r>
        <w:rPr>
          <w:rFonts w:ascii="Times New Roman" w:hAnsi="Times New Roman"/>
          <w:noProof/>
          <w:sz w:val="24"/>
        </w:rPr>
        <w:t>: indførelsen af en grøn støttefaktor, når det for at sikre finansiel stabilitet er berettiget ud fra en risikobetragtning.</w:t>
      </w:r>
    </w:p>
    <w:p w:rsidR="000E3A3F" w:rsidRDefault="000E3A3F">
      <w:pPr>
        <w:spacing w:line="240" w:lineRule="auto"/>
        <w:jc w:val="both"/>
        <w:rPr>
          <w:rFonts w:ascii="Times New Roman" w:hAnsi="Times New Roman" w:cs="Times New Roman"/>
          <w:noProof/>
          <w:sz w:val="24"/>
          <w:szCs w:val="24"/>
        </w:rPr>
      </w:pPr>
    </w:p>
    <w:p w:rsidR="000E3A3F" w:rsidRDefault="00B958E1">
      <w:pPr>
        <w:spacing w:after="0" w:line="240" w:lineRule="auto"/>
        <w:jc w:val="both"/>
        <w:rPr>
          <w:rFonts w:ascii="Times New Roman" w:hAnsi="Times New Roman" w:cs="Times New Roman"/>
          <w:noProof/>
          <w:sz w:val="24"/>
          <w:szCs w:val="24"/>
        </w:rPr>
      </w:pPr>
      <w:r>
        <w:rPr>
          <w:rFonts w:ascii="Times New Roman" w:hAnsi="Times New Roman"/>
          <w:noProof/>
          <w:sz w:val="24"/>
        </w:rPr>
        <w:t>For at sikre de offentlige myndigheders finansielle kapacitet til at investere i bæredygtig omstilling er der også behov for en bæredygtig finanspolitisk reform på alle niveauer. Vi bør styrke bekæmpelsen af skatteunddragelse og selskabsskatteundgåelse. De</w:t>
      </w:r>
      <w:r>
        <w:rPr>
          <w:rFonts w:ascii="Times New Roman" w:hAnsi="Times New Roman"/>
          <w:noProof/>
          <w:sz w:val="24"/>
        </w:rPr>
        <w:t xml:space="preserve">t er nødvendigt med samarbejde på tværs af grænserne for at tage fat på spørgsmålet om skattely, der udhuler skattegrundlaget i både EU og udviklingslandene. </w:t>
      </w:r>
    </w:p>
    <w:p w:rsidR="000E3A3F" w:rsidRDefault="000E3A3F">
      <w:pPr>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Mere grundlæggende bør EU's skattesystemer og prissætning udformes således, at de afspejler de f</w:t>
      </w:r>
      <w:r>
        <w:rPr>
          <w:rFonts w:ascii="Times New Roman" w:hAnsi="Times New Roman"/>
          <w:noProof/>
          <w:sz w:val="24"/>
        </w:rPr>
        <w:t>aktiske omkostninger, imødegår vores vigtigste sociale og miljømæssige udfordringer og udløser en adfærdsændring i hele økonomien. Bæredygtig konkurrence afhænger af priser, der afspejler de reelle produktions- og brugsomkostninger, dvs. at eksterne omkost</w:t>
      </w:r>
      <w:r>
        <w:rPr>
          <w:rFonts w:ascii="Times New Roman" w:hAnsi="Times New Roman"/>
          <w:noProof/>
          <w:sz w:val="24"/>
        </w:rPr>
        <w:t>ninger internaliseres</w:t>
      </w:r>
      <w:r>
        <w:rPr>
          <w:rStyle w:val="FootnoteReference"/>
          <w:rFonts w:ascii="Times New Roman" w:hAnsi="Times New Roman"/>
          <w:noProof/>
          <w:sz w:val="24"/>
        </w:rPr>
        <w:footnoteReference w:id="63"/>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Myndigheder, erhvervsledere og civilsamfundet er nødt til at samarbejde for at sikre lige konkurrencevilkår i tråd med målene for bæredygtig udvikling og stimulere en udvikling, der fører til, at bæredygtige produkter og tjenester </w:t>
      </w:r>
      <w:r>
        <w:rPr>
          <w:rFonts w:ascii="Times New Roman" w:hAnsi="Times New Roman"/>
          <w:noProof/>
          <w:sz w:val="24"/>
        </w:rPr>
        <w:t xml:space="preserve">bliver de mest økonomisk overkommelige.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Dette bør omfatte ændringer i skattesystemerne, således at medlemsstaterne mindsker skatten på arbejde og øger afgifterne på kapital, forurening, for lavt prissatte ressourcer og andre eksterne miljømæssige omkostni</w:t>
      </w:r>
      <w:r>
        <w:rPr>
          <w:rFonts w:ascii="Times New Roman" w:hAnsi="Times New Roman"/>
          <w:noProof/>
          <w:sz w:val="24"/>
        </w:rPr>
        <w:t>nger</w:t>
      </w:r>
      <w:r>
        <w:rPr>
          <w:rStyle w:val="FootnoteReference"/>
          <w:rFonts w:ascii="Times New Roman" w:hAnsi="Times New Roman"/>
          <w:noProof/>
          <w:sz w:val="24"/>
        </w:rPr>
        <w:footnoteReference w:id="64"/>
      </w:r>
      <w:r>
        <w:rPr>
          <w:noProof/>
        </w:rPr>
        <w:t>.</w:t>
      </w:r>
      <w:r>
        <w:rPr>
          <w:rFonts w:ascii="Times New Roman" w:hAnsi="Times New Roman"/>
          <w:noProof/>
          <w:sz w:val="24"/>
        </w:rPr>
        <w:t xml:space="preserve"> "Brugeren betaler"-princippet og "forureneren betaler"-princippet skal anvendes for at forebygge og rette op miljøforringelse og for at undgå at overvælte byrden på skatteyderne. I øjeblikket er skatteindtægterne fra arbejde fortsat otte gange højer</w:t>
      </w:r>
      <w:r>
        <w:rPr>
          <w:rFonts w:ascii="Times New Roman" w:hAnsi="Times New Roman"/>
          <w:noProof/>
          <w:sz w:val="24"/>
        </w:rPr>
        <w:t xml:space="preserve">e end indtægterne fra miljøafgifter i EU, og i årenes løb har kun et begrænset antal EU-medlemsstater skåret ned på skatteindtægterne og indført flere miljøafgifter.  </w:t>
      </w:r>
    </w:p>
    <w:p w:rsidR="000E3A3F" w:rsidRDefault="000E3A3F">
      <w:pPr>
        <w:spacing w:line="240" w:lineRule="auto"/>
        <w:jc w:val="both"/>
        <w:rPr>
          <w:rFonts w:ascii="Times New Roman" w:hAnsi="Times New Roman" w:cs="Times New Roman"/>
          <w:noProof/>
          <w:sz w:val="24"/>
          <w:szCs w:val="24"/>
        </w:rPr>
      </w:pPr>
    </w:p>
    <w:p w:rsidR="000E3A3F" w:rsidRDefault="00B958E1">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842260" cy="1394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42260" cy="1394460"/>
                    </a:xfrm>
                    <a:prstGeom prst="rect">
                      <a:avLst/>
                    </a:prstGeom>
                  </pic:spPr>
                </pic:pic>
              </a:graphicData>
            </a:graphic>
          </wp:inline>
        </w:drawing>
      </w:r>
    </w:p>
    <w:p w:rsidR="000E3A3F" w:rsidRDefault="00B958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rPr>
      </w:pPr>
      <w:r>
        <w:rPr>
          <w:rFonts w:ascii="Times New Roman" w:hAnsi="Times New Roman"/>
          <w:b/>
          <w:noProof/>
          <w:color w:val="000000"/>
          <w:sz w:val="24"/>
        </w:rPr>
        <w:t>De eksterne transportomkostninger i EU er betydelige</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 xml:space="preserve">Europa-Kommissionen har </w:t>
      </w:r>
      <w:r>
        <w:rPr>
          <w:rFonts w:ascii="Times New Roman" w:hAnsi="Times New Roman"/>
          <w:noProof/>
          <w:sz w:val="24"/>
        </w:rPr>
        <w:t>foretaget en undersøgelse om internaliseringen af eksterne omkostninger, der vedrører alle transportformer og omfatter trængsel, ulykker, CO</w:t>
      </w:r>
      <w:r>
        <w:rPr>
          <w:rFonts w:ascii="Times New Roman" w:hAnsi="Times New Roman"/>
          <w:noProof/>
          <w:sz w:val="24"/>
          <w:vertAlign w:val="subscript"/>
        </w:rPr>
        <w:t>2</w:t>
      </w:r>
      <w:r>
        <w:rPr>
          <w:rFonts w:ascii="Times New Roman" w:hAnsi="Times New Roman"/>
          <w:noProof/>
          <w:sz w:val="24"/>
        </w:rPr>
        <w:t>-udledninger, støj, luftforurening og skader på habitater, og som sammenligner disse omkostninger med de omkostning</w:t>
      </w:r>
      <w:r>
        <w:rPr>
          <w:rFonts w:ascii="Times New Roman" w:hAnsi="Times New Roman"/>
          <w:noProof/>
          <w:sz w:val="24"/>
        </w:rPr>
        <w:t>er, der betales af brugerne. Formålet er at vurdere, i hvilket omfang "brugeren betaler"-princippet og "forureneren betaler"-princippet gennemføres i EU, samt at finde frem til løsningsmodeller for yderligere internalisering af de negative eksterne omkostn</w:t>
      </w:r>
      <w:r>
        <w:rPr>
          <w:rFonts w:ascii="Times New Roman" w:hAnsi="Times New Roman"/>
          <w:noProof/>
          <w:sz w:val="24"/>
        </w:rPr>
        <w:t>inger. Ifølge de foreløbige resultater anslås det overordnede niveau for eksterne transportomkostninger i EU-medlemsstaterne til omkring 1 000 mia. EUR om året, hvilket svarer til næsten 7 % af BNP. Resultaterne af denne undersøgelse, der skal være afslutt</w:t>
      </w:r>
      <w:r>
        <w:rPr>
          <w:rFonts w:ascii="Times New Roman" w:hAnsi="Times New Roman"/>
          <w:noProof/>
          <w:sz w:val="24"/>
        </w:rPr>
        <w:t xml:space="preserve">et inden midten af 2019, vil udgøre et vigtigt input til de kommende debatter om EU's fremtidige transportpolitik.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Vi er også nødt til at sikre, at omstillingen er socialt retfærdig, at omkostningerne forbundet hermed fordeles ligeligt mellem skatteyderne</w:t>
      </w:r>
      <w:r>
        <w:rPr>
          <w:rFonts w:ascii="Times New Roman" w:hAnsi="Times New Roman"/>
          <w:noProof/>
          <w:sz w:val="24"/>
        </w:rPr>
        <w:t>, og at alle betaler deres rimelige andel. Den nødvendige omlægning af afgifter og fjernelse af kontraproduktive finansielle incitamenter som f.eks. tilskud til fossile brændstoffer kan have regressive virkninger og ramme de fattige hårdere. De politiske b</w:t>
      </w:r>
      <w:r>
        <w:rPr>
          <w:rFonts w:ascii="Times New Roman" w:hAnsi="Times New Roman"/>
          <w:noProof/>
          <w:sz w:val="24"/>
        </w:rPr>
        <w:t xml:space="preserve">eslutningstagere er derfor nødt til at tage alle relevante instrumenter i brug og bør foruden f.eks. aktive arbejdsmarkedsforanstaltninger, uddannelse og undervisning sikre, at omstillingen går hånd i hånd med foranstaltninger, der gør skattesystemerne og </w:t>
      </w:r>
      <w:r>
        <w:rPr>
          <w:rFonts w:ascii="Times New Roman" w:hAnsi="Times New Roman"/>
          <w:noProof/>
          <w:sz w:val="24"/>
        </w:rPr>
        <w:t>afgifterne mere progressive og tager højde for de mest sårbare grupper</w:t>
      </w:r>
      <w:r>
        <w:rPr>
          <w:rStyle w:val="FootnoteReference"/>
          <w:rFonts w:ascii="Times New Roman" w:hAnsi="Times New Roman"/>
          <w:noProof/>
          <w:sz w:val="24"/>
        </w:rPr>
        <w:footnoteReference w:id="65"/>
      </w:r>
      <w:r>
        <w:rPr>
          <w:rFonts w:ascii="Times New Roman" w:hAnsi="Times New Roman"/>
          <w:noProof/>
          <w:sz w:val="24"/>
        </w:rPr>
        <w:t xml:space="preserv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På vejen frem vil en harmoniseret beskatning af negative sociale og miljømæssige eksterne omkostninger i EU's indre marked også være vigtig for at gøre det muligt for EU at overgå t</w:t>
      </w:r>
      <w:r>
        <w:rPr>
          <w:rFonts w:ascii="Times New Roman" w:hAnsi="Times New Roman"/>
          <w:noProof/>
          <w:sz w:val="24"/>
        </w:rPr>
        <w:t>il en mere effektiv og bæredygtig økonomi og sikre lige konkurrencevilkår for virksomheder</w:t>
      </w:r>
      <w:r>
        <w:rPr>
          <w:rStyle w:val="FootnoteReference"/>
          <w:rFonts w:ascii="Times New Roman" w:hAnsi="Times New Roman"/>
          <w:noProof/>
          <w:sz w:val="24"/>
        </w:rPr>
        <w:footnoteReference w:id="66"/>
      </w:r>
      <w:r>
        <w:rPr>
          <w:rFonts w:ascii="Times New Roman" w:hAnsi="Times New Roman"/>
          <w:noProof/>
          <w:sz w:val="24"/>
        </w:rPr>
        <w:t>.  F.eks. strider EU's retlige ramme for energibeskatning stadig imod EU's miljø- og klimamål</w:t>
      </w:r>
      <w:r>
        <w:rPr>
          <w:rStyle w:val="FootnoteReference"/>
          <w:rFonts w:ascii="Times New Roman" w:hAnsi="Times New Roman"/>
          <w:noProof/>
          <w:sz w:val="24"/>
        </w:rPr>
        <w:footnoteReference w:id="67"/>
      </w:r>
      <w:r>
        <w:rPr>
          <w:rFonts w:ascii="Times New Roman" w:hAnsi="Times New Roman"/>
          <w:noProof/>
          <w:sz w:val="24"/>
        </w:rPr>
        <w:t>, hvilket har skadelig indvirkning på de aftalte politiske mål. Et skif</w:t>
      </w:r>
      <w:r>
        <w:rPr>
          <w:rFonts w:ascii="Times New Roman" w:hAnsi="Times New Roman"/>
          <w:noProof/>
          <w:sz w:val="24"/>
        </w:rPr>
        <w:t>t væk fra enstemmighed i Rådet i overensstemmelse med Kommissionens meddelelse "På vej mod en mere effektiv og demokratisk beslutningstagning inden for EU's skattepolitik"</w:t>
      </w:r>
      <w:r>
        <w:rPr>
          <w:rStyle w:val="FootnoteReference"/>
          <w:rFonts w:ascii="Times New Roman" w:hAnsi="Times New Roman"/>
          <w:noProof/>
          <w:sz w:val="24"/>
        </w:rPr>
        <w:footnoteReference w:id="68"/>
      </w:r>
      <w:r>
        <w:rPr>
          <w:rFonts w:ascii="Times New Roman" w:hAnsi="Times New Roman"/>
          <w:noProof/>
          <w:sz w:val="24"/>
        </w:rPr>
        <w:t xml:space="preserve"> vil være en nødvendig forudsætning for forandring.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color w:val="000000"/>
          <w:sz w:val="24"/>
        </w:rPr>
        <w:t xml:space="preserve">Herudover udgør konkurrence er </w:t>
      </w:r>
      <w:r>
        <w:rPr>
          <w:rFonts w:ascii="Times New Roman" w:hAnsi="Times New Roman"/>
          <w:noProof/>
          <w:color w:val="000000"/>
          <w:sz w:val="24"/>
        </w:rPr>
        <w:t>en vigtig del af den overordnede politiksammensætning og af omstillingen til bæredygtighed. Konkurrencepolitikken bidrager til "økonomisk demokrati" og ligestilling. Den muliggør økonomisk overkommelige priser, kvalitet og udvalg og begrænser rodfæstet øko</w:t>
      </w:r>
      <w:r>
        <w:rPr>
          <w:rFonts w:ascii="Times New Roman" w:hAnsi="Times New Roman"/>
          <w:noProof/>
          <w:color w:val="000000"/>
          <w:sz w:val="24"/>
        </w:rPr>
        <w:t>nomisk magt, der ikke bygger på fortjeneste. Der er dokumentation</w:t>
      </w:r>
      <w:r>
        <w:rPr>
          <w:rStyle w:val="FootnoteReference"/>
          <w:rFonts w:ascii="Times New Roman" w:hAnsi="Times New Roman"/>
          <w:noProof/>
          <w:color w:val="000000"/>
          <w:sz w:val="24"/>
        </w:rPr>
        <w:footnoteReference w:id="69"/>
      </w:r>
      <w:r>
        <w:rPr>
          <w:rFonts w:ascii="Times New Roman" w:hAnsi="Times New Roman"/>
          <w:noProof/>
          <w:color w:val="000000"/>
          <w:sz w:val="24"/>
        </w:rPr>
        <w:t xml:space="preserve"> for, at konkurrencepolitikken relativt set er til mere fordel for fattigere husholdninger end rigere husholdninger, og at den fører til en mere effektiv fordeling af ressourcer samt fremsky</w:t>
      </w:r>
      <w:r>
        <w:rPr>
          <w:rFonts w:ascii="Times New Roman" w:hAnsi="Times New Roman"/>
          <w:noProof/>
          <w:color w:val="000000"/>
          <w:sz w:val="24"/>
        </w:rPr>
        <w:t xml:space="preserve">nder innovation, navnlig inden for det teknologiske forskningsområde. </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Style w:val="SubtleEmphasis"/>
          <w:rFonts w:ascii="Times New Roman" w:hAnsi="Times New Roman" w:cs="Times New Roman"/>
          <w:i w:val="0"/>
          <w:iCs w:val="0"/>
          <w:noProof/>
          <w:color w:val="auto"/>
          <w:sz w:val="24"/>
          <w:szCs w:val="24"/>
        </w:rPr>
      </w:pPr>
      <w:r>
        <w:rPr>
          <w:rFonts w:ascii="Times New Roman" w:hAnsi="Times New Roman"/>
          <w:b/>
          <w:noProof/>
          <w:color w:val="000000"/>
          <w:sz w:val="24"/>
        </w:rPr>
        <w:t>Tekstboks:</w:t>
      </w:r>
      <w:r>
        <w:rPr>
          <w:rFonts w:ascii="Times New Roman" w:hAnsi="Times New Roman"/>
          <w:noProof/>
          <w:color w:val="000000"/>
          <w:sz w:val="24"/>
        </w:rPr>
        <w:t xml:space="preserve"> EU's statsstøttepolitik, navnlig siden dens fornyelse i de seneste år, har været rettet mod bæredygtighed. 94 % af den samlede statsstøtte i EU var rettet mod horisontale mål af fælles interesse som f.eks. miljøbeskyttelse, forskning, udvikling, innovatio</w:t>
      </w:r>
      <w:r>
        <w:rPr>
          <w:rFonts w:ascii="Times New Roman" w:hAnsi="Times New Roman"/>
          <w:noProof/>
          <w:color w:val="000000"/>
          <w:sz w:val="24"/>
        </w:rPr>
        <w:t>n og regional udvikling. Af de samlede udgifter var 54 % til støtte for miljøet og energibesparelser</w:t>
      </w:r>
      <w:r>
        <w:rPr>
          <w:rStyle w:val="FootnoteReference"/>
          <w:rFonts w:ascii="Times New Roman" w:hAnsi="Times New Roman"/>
          <w:noProof/>
          <w:color w:val="000000"/>
          <w:sz w:val="24"/>
        </w:rPr>
        <w:footnoteReference w:id="70"/>
      </w:r>
      <w:r>
        <w:rPr>
          <w:rFonts w:ascii="Times New Roman" w:hAnsi="Times New Roman"/>
          <w:noProof/>
          <w:color w:val="000000"/>
          <w:sz w:val="24"/>
        </w:rPr>
        <w:t>.</w:t>
      </w:r>
      <w:bookmarkStart w:id="34" w:name="_Toc532469551"/>
      <w:bookmarkEnd w:id="34"/>
    </w:p>
    <w:p w:rsidR="000E3A3F" w:rsidRDefault="00B958E1">
      <w:pPr>
        <w:pStyle w:val="Heading3"/>
        <w:rPr>
          <w:noProof/>
        </w:rPr>
      </w:pPr>
      <w:bookmarkStart w:id="35" w:name="_Toc536442048"/>
      <w:bookmarkStart w:id="36" w:name="_Toc536627480"/>
      <w:r>
        <w:rPr>
          <w:noProof/>
        </w:rPr>
        <w:t>Ansvarlig forretningsskik, virksomhedernes sociale ansvar og nye forretningsmodeller</w:t>
      </w:r>
      <w:bookmarkEnd w:id="35"/>
      <w:bookmarkEnd w:id="36"/>
      <w:r>
        <w:rPr>
          <w:noProof/>
        </w:rPr>
        <w:t xml:space="preserve"> </w:t>
      </w: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Virksomhederne spiller en afgørende rolle i omstillingen til bæredy</w:t>
      </w:r>
      <w:r>
        <w:rPr>
          <w:rFonts w:ascii="Times New Roman" w:hAnsi="Times New Roman"/>
          <w:noProof/>
          <w:sz w:val="24"/>
        </w:rPr>
        <w:t>gtighed. I løbet af de seneste årtier har et stadig større antal virksomheder både frivilligt og på foranledning af offentlige myndigheder gjort miljømæssig og social ansvarlighed til en vigtig del af deres virksomhedsformål. Flere og flere virksomheder be</w:t>
      </w:r>
      <w:r>
        <w:rPr>
          <w:rFonts w:ascii="Times New Roman" w:hAnsi="Times New Roman"/>
          <w:noProof/>
          <w:sz w:val="24"/>
        </w:rPr>
        <w:t>tragter målene for bæredygtig udvikling som en integreret del af deres konkurrenceevne og vækststrategi. De har forstået, at en ansvarlig forretningsskik kan føre til mere bæredygtig fortjeneste og vækst, nye markedsmuligheder og langsigtede værdier for de</w:t>
      </w:r>
      <w:r>
        <w:rPr>
          <w:rFonts w:ascii="Times New Roman" w:hAnsi="Times New Roman"/>
          <w:noProof/>
          <w:sz w:val="24"/>
        </w:rPr>
        <w:t xml:space="preserve">res aktionærer.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2834640" cy="14478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34640" cy="1447800"/>
                    </a:xfrm>
                    <a:prstGeom prst="rect">
                      <a:avLst/>
                    </a:prstGeom>
                  </pic:spPr>
                </pic:pic>
              </a:graphicData>
            </a:graphic>
          </wp:inline>
        </w:drawing>
      </w: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0E3A3F">
      <w:pPr>
        <w:autoSpaceDE w:val="0"/>
        <w:autoSpaceDN w:val="0"/>
        <w:adjustRightInd w:val="0"/>
        <w:spacing w:after="0" w:line="240" w:lineRule="auto"/>
        <w:jc w:val="both"/>
        <w:rPr>
          <w:rFonts w:ascii="Times New Roman" w:hAnsi="Times New Roman" w:cs="Times New Roman"/>
          <w:noProof/>
          <w:color w:val="000000"/>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 betragtning af den stigende kompleksitet i og globalisering af forsyningskæder er det vigtigt også at fremme anvendelsen af høje bæredygtighedsstandarder i tredjelande. EU-virksomhedernes og forbrugernes forretningspraksis og forbr</w:t>
      </w:r>
      <w:r>
        <w:rPr>
          <w:rFonts w:ascii="Times New Roman" w:hAnsi="Times New Roman"/>
          <w:noProof/>
          <w:sz w:val="24"/>
        </w:rPr>
        <w:t xml:space="preserve">ugs- og produktionsmønstre bør ikke indirekte bidrage til krænkelser af menneskerettighederne eller miljøforringelse andre steder i verden.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spacing w:after="240" w:line="240" w:lineRule="auto"/>
        <w:jc w:val="both"/>
        <w:rPr>
          <w:rFonts w:ascii="Times New Roman" w:hAnsi="Times New Roman" w:cs="Times New Roman"/>
          <w:noProof/>
          <w:sz w:val="24"/>
          <w:szCs w:val="24"/>
        </w:rPr>
      </w:pPr>
      <w:r>
        <w:rPr>
          <w:rFonts w:ascii="Times New Roman" w:hAnsi="Times New Roman"/>
          <w:noProof/>
          <w:sz w:val="24"/>
        </w:rPr>
        <w:t>I løbet af de seneste to år har EU styrket aktionærernes</w:t>
      </w:r>
      <w:r>
        <w:rPr>
          <w:rFonts w:ascii="Times New Roman" w:hAnsi="Times New Roman"/>
          <w:noProof/>
          <w:sz w:val="24"/>
          <w:vertAlign w:val="superscript"/>
        </w:rPr>
        <w:footnoteReference w:id="71"/>
      </w:r>
      <w:r>
        <w:rPr>
          <w:rFonts w:ascii="Times New Roman" w:hAnsi="Times New Roman"/>
          <w:noProof/>
          <w:sz w:val="24"/>
        </w:rPr>
        <w:t xml:space="preserve"> og investorernes</w:t>
      </w:r>
      <w:r>
        <w:rPr>
          <w:rStyle w:val="FootnoteReference"/>
          <w:rFonts w:ascii="Times New Roman" w:hAnsi="Times New Roman"/>
          <w:noProof/>
          <w:sz w:val="24"/>
        </w:rPr>
        <w:footnoteReference w:id="72"/>
      </w:r>
      <w:r>
        <w:rPr>
          <w:rFonts w:ascii="Times New Roman" w:hAnsi="Times New Roman"/>
          <w:noProof/>
          <w:sz w:val="24"/>
        </w:rPr>
        <w:t xml:space="preserve"> rettigheder og hjulpet dem med at forstå både de finansielle og ikkefinansielle aspekter af virksomhedernes resultater og med at blive bedre i stand til at drage virksomhederne til ansvar. EU har ligeledes indført nye miljømæssige og sociale kriterier i s</w:t>
      </w:r>
      <w:r>
        <w:rPr>
          <w:rFonts w:ascii="Times New Roman" w:hAnsi="Times New Roman"/>
          <w:noProof/>
          <w:sz w:val="24"/>
        </w:rPr>
        <w:t>in lovgivning om offentlige udbud for at tilskynde virksomheder til at udvikle socialt ansvarlige produkter og tjenester. EU har vedtaget forordningen om konfliktmineraler</w:t>
      </w:r>
      <w:r>
        <w:rPr>
          <w:rFonts w:ascii="Times New Roman" w:hAnsi="Times New Roman"/>
          <w:noProof/>
          <w:sz w:val="24"/>
          <w:vertAlign w:val="superscript"/>
        </w:rPr>
        <w:footnoteReference w:id="73"/>
      </w:r>
      <w:r>
        <w:rPr>
          <w:rFonts w:ascii="Times New Roman" w:hAnsi="Times New Roman"/>
          <w:noProof/>
          <w:sz w:val="24"/>
          <w:vertAlign w:val="superscript"/>
        </w:rPr>
        <w:t xml:space="preserve"> </w:t>
      </w:r>
      <w:r>
        <w:rPr>
          <w:rFonts w:ascii="Times New Roman" w:hAnsi="Times New Roman"/>
          <w:noProof/>
          <w:sz w:val="24"/>
        </w:rPr>
        <w:t>med det formål at sikre, at virksomheder i EU kun importerer visse mineraler og met</w:t>
      </w:r>
      <w:r>
        <w:rPr>
          <w:rFonts w:ascii="Times New Roman" w:hAnsi="Times New Roman"/>
          <w:noProof/>
          <w:sz w:val="24"/>
        </w:rPr>
        <w:t>aller fra ansvarlige kilder, der ikke bruger fortjenesterne til at finansiere væbnede konflikter. I denne forbindelse er den nyligt vedtagne handlingsplan om bæredygtig finansiering ligeledes relevant, idet den forbinder finansieringssystemet med mere bære</w:t>
      </w:r>
      <w:r>
        <w:rPr>
          <w:rFonts w:ascii="Times New Roman" w:hAnsi="Times New Roman"/>
          <w:noProof/>
          <w:sz w:val="24"/>
        </w:rPr>
        <w:t>dygtige projekter</w:t>
      </w:r>
      <w:r>
        <w:rPr>
          <w:rStyle w:val="FootnoteReference"/>
          <w:rFonts w:ascii="Times New Roman" w:hAnsi="Times New Roman"/>
          <w:noProof/>
          <w:sz w:val="24"/>
        </w:rPr>
        <w:footnoteReference w:id="74"/>
      </w:r>
      <w:r>
        <w:rPr>
          <w:rFonts w:ascii="Times New Roman" w:hAnsi="Times New Roman"/>
          <w:noProof/>
          <w:sz w:val="24"/>
        </w:rPr>
        <w:t>.</w:t>
      </w:r>
    </w:p>
    <w:p w:rsidR="000E3A3F" w:rsidRDefault="00B958E1">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Der er dog tydeligvis plads til yderligere fremskridt på alle niveauer. På EU-plan kan arbejdet med at identificere en række passende foranstaltninger og konkrete måder, hvorpå en mere bæredygtig forretningsskik kan blive fremmet, give </w:t>
      </w:r>
      <w:r>
        <w:rPr>
          <w:rFonts w:ascii="Times New Roman" w:hAnsi="Times New Roman"/>
          <w:noProof/>
          <w:sz w:val="24"/>
        </w:rPr>
        <w:t>yderligere resultater og styrke EU-virksomhedernes konkurrencefordel på dette område. Vi vil skulle overveje forskellige former for yderligere incitamenter for virksomheder, således at de i deres aktiviteter integrerer målene for bæredygtig udvikling, heru</w:t>
      </w:r>
      <w:r>
        <w:rPr>
          <w:rFonts w:ascii="Times New Roman" w:hAnsi="Times New Roman"/>
          <w:noProof/>
          <w:sz w:val="24"/>
        </w:rPr>
        <w:t>nder undersøger potentialet af fremspirende teknologier og den cirkulære økonomi. EU er i sine interne såvel som eksterne tiltag nødt til fortsat at fremme gennemførelsen af internationalt vedtagne retningslinjer og principper for ansvarlig forretningsskik</w:t>
      </w:r>
      <w:r>
        <w:rPr>
          <w:rFonts w:ascii="Times New Roman" w:hAnsi="Times New Roman"/>
          <w:noProof/>
          <w:sz w:val="24"/>
        </w:rPr>
        <w:t xml:space="preserve"> såsom FN's vejledende principper om erhvervslivet og menneskerettigheder. Dette er også vigtigt for at sikre lige konkurrencevilkår på internationalt plan.</w:t>
      </w:r>
    </w:p>
    <w:p w:rsidR="000E3A3F" w:rsidRDefault="00B958E1">
      <w:pPr>
        <w:spacing w:after="240" w:line="240" w:lineRule="auto"/>
        <w:jc w:val="both"/>
        <w:rPr>
          <w:rFonts w:ascii="Times New Roman" w:hAnsi="Times New Roman" w:cs="Times New Roman"/>
          <w:noProof/>
          <w:sz w:val="24"/>
          <w:szCs w:val="24"/>
        </w:rPr>
      </w:pPr>
      <w:r>
        <w:rPr>
          <w:rFonts w:ascii="Times New Roman" w:hAnsi="Times New Roman"/>
          <w:noProof/>
          <w:sz w:val="24"/>
        </w:rPr>
        <w:t>Med henblik på fremtiden kan den kollaborative økonomi – hvor forbrugerne kan handle direkte med hinanden – udgøre et vigtigt bidrag til bæredygtig vækst og fremkomsten af mere bæredygtige forretningsmodeller, når de fremmes og udvikles på en ansvarlig måd</w:t>
      </w:r>
      <w:r>
        <w:rPr>
          <w:rFonts w:ascii="Times New Roman" w:hAnsi="Times New Roman"/>
          <w:noProof/>
          <w:sz w:val="24"/>
        </w:rPr>
        <w:t>e. I øjeblikket skaber kludetæppet af forskellige lovgivningsmæssige tiltag på tværs af EU imidlertid usikkerhed for såvel traditionelle erhvervsdrivende, nye tjenesteydere som forbrugere og hindrer den kollaborative økonomis vækst i EU og de nye og innova</w:t>
      </w:r>
      <w:r>
        <w:rPr>
          <w:rFonts w:ascii="Times New Roman" w:hAnsi="Times New Roman"/>
          <w:noProof/>
          <w:sz w:val="24"/>
        </w:rPr>
        <w:t xml:space="preserve">tive tjenester, der er forbundet hermed. </w:t>
      </w:r>
    </w:p>
    <w:p w:rsidR="000E3A3F" w:rsidRDefault="00B958E1">
      <w:pPr>
        <w:spacing w:after="240" w:line="240" w:lineRule="auto"/>
        <w:jc w:val="both"/>
        <w:rPr>
          <w:rFonts w:ascii="Times New Roman" w:hAnsi="Times New Roman" w:cs="Times New Roman"/>
          <w:noProof/>
          <w:sz w:val="24"/>
          <w:szCs w:val="24"/>
        </w:rPr>
      </w:pPr>
      <w:r>
        <w:rPr>
          <w:rFonts w:ascii="Times New Roman" w:hAnsi="Times New Roman"/>
          <w:noProof/>
          <w:sz w:val="24"/>
        </w:rPr>
        <w:t>Socialt iværksætteri – der sigter mod at løse lokale problemer – kan ligeledes spille en vigtig rolle, når det gælder om at imødegå bæredygtighedsudfordringer og samtidig fremme inklusiv vækst og jobskabelse lokalt</w:t>
      </w:r>
      <w:r>
        <w:rPr>
          <w:rFonts w:ascii="Times New Roman" w:hAnsi="Times New Roman"/>
          <w:noProof/>
          <w:sz w:val="24"/>
        </w:rPr>
        <w:t>, fælles velstand og inklusion. Der er tendens til, at nuværende sociale virksomheder er koncentreret i specifikke nicher – navnlig i lokale sammenhænge – og har svært ved at blive større i EU. Finansiering er fortsat et vigtigt spørgsmål, hvorfor EU afsæt</w:t>
      </w:r>
      <w:r>
        <w:rPr>
          <w:rFonts w:ascii="Times New Roman" w:hAnsi="Times New Roman"/>
          <w:noProof/>
          <w:sz w:val="24"/>
        </w:rPr>
        <w:t xml:space="preserve">ter flere midler til sociale virksomheder. Ligesom med den kollaborative økonomi kan den komplekse eller manglende lovgivningsmæssige ramme udgøre en hindring. I Frankrig har man med en målrettet lovgivningsmæssig ramme, der blev indført i 2014, anerkendt </w:t>
      </w:r>
      <w:r>
        <w:rPr>
          <w:rFonts w:ascii="Times New Roman" w:hAnsi="Times New Roman"/>
          <w:noProof/>
          <w:sz w:val="24"/>
        </w:rPr>
        <w:t xml:space="preserve">de særlige forhold, der kendetegner sektoren, hvilket har sat nyt skub i disse virksomheder. </w:t>
      </w:r>
    </w:p>
    <w:p w:rsidR="000E3A3F" w:rsidRDefault="00B958E1">
      <w:pPr>
        <w:pStyle w:val="Heading3"/>
        <w:rPr>
          <w:noProof/>
        </w:rPr>
      </w:pPr>
      <w:bookmarkStart w:id="37" w:name="_Toc536442049"/>
      <w:bookmarkStart w:id="38" w:name="_Toc536627481"/>
      <w:r>
        <w:rPr>
          <w:noProof/>
        </w:rPr>
        <w:t>Åben og regelbaseret handel</w:t>
      </w:r>
      <w:bookmarkEnd w:id="37"/>
      <w:bookmarkEnd w:id="38"/>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Åben og regelbaseret handel er et af de bedste redskaber til at øge vores og vores partneres velstand og forbedre vores levestandarder</w:t>
      </w:r>
      <w:r>
        <w:rPr>
          <w:rFonts w:ascii="Times New Roman" w:hAnsi="Times New Roman"/>
          <w:noProof/>
          <w:sz w:val="24"/>
        </w:rPr>
        <w:t xml:space="preserve"> og vores planets og demokratiers bæredygtighed. Hvis vi ønsker at opnå et bæredygtigt Europa i en bæredygtig verden, er det vigtigt at gøre brug af vores multilaterale institutioner og bilaterale og multilaterale handelsaftaler til at udforme globale stan</w:t>
      </w:r>
      <w:r>
        <w:rPr>
          <w:rFonts w:ascii="Times New Roman" w:hAnsi="Times New Roman"/>
          <w:noProof/>
          <w:sz w:val="24"/>
        </w:rPr>
        <w:t xml:space="preserve">darder.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Protektionistiske tendenser og en "mit land først"-tilgang er tilbøjelige til at føre til konflikter. Desuden udgør de store hindringer for opbygningen af en bæredygtig planet, hvilket typisk er et mål, der kræver internationalt samarbejde. Af man</w:t>
      </w:r>
      <w:r>
        <w:rPr>
          <w:rFonts w:ascii="Times New Roman" w:hAnsi="Times New Roman"/>
          <w:noProof/>
          <w:sz w:val="24"/>
        </w:rPr>
        <w:t xml:space="preserve">ge årsager er det i EU's vitale interesse at yde markant støtte til og fastholde det multilaterale system.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I forbindelse med omstillingen til bæredygtighed er vi nødt til at arbejde mere aktivt sammen med ligesindede partnere for at forhandle sig frem til</w:t>
      </w:r>
      <w:r>
        <w:rPr>
          <w:rFonts w:ascii="Times New Roman" w:hAnsi="Times New Roman"/>
          <w:noProof/>
          <w:sz w:val="24"/>
        </w:rPr>
        <w:t xml:space="preserve"> progressive nye regler, der tager hensyn til FN's 2030-dagsorden. Med sidstnævnte anerkendes den nøglerolle, som det regelbaserede multilaterale handelssystem med Verdenshandelsorganisationen (WTO) i centrum spiller, når det drejer sig om at bidrage til m</w:t>
      </w:r>
      <w:r>
        <w:rPr>
          <w:rFonts w:ascii="Times New Roman" w:hAnsi="Times New Roman"/>
          <w:noProof/>
          <w:sz w:val="24"/>
        </w:rPr>
        <w:t xml:space="preserve">ålene for bæredygtig udvikling. EU's løbende konstruktive bestræbelser på at modernisere WTO er derfor afgørende.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 xml:space="preserve">I takt med at visse magter trækker sig tilbage fra internationale handelsaftaler, opstår der nye muligheder for EU. Denne Union med det mest </w:t>
      </w:r>
      <w:r>
        <w:rPr>
          <w:rFonts w:ascii="Times New Roman" w:hAnsi="Times New Roman"/>
          <w:noProof/>
          <w:sz w:val="24"/>
        </w:rPr>
        <w:t>udviklede indre marked i verden og med knap en halv milliard forbrugere kan træde ind, hvor andre træder ud, hvilket den har gjort. Desuden har den skabt et nyt og mere bæredygtigt grundlag for handel. Alle nye EU-handels- og investeringsaftaler indeholder</w:t>
      </w:r>
      <w:r>
        <w:rPr>
          <w:rFonts w:ascii="Times New Roman" w:hAnsi="Times New Roman"/>
          <w:noProof/>
          <w:sz w:val="24"/>
        </w:rPr>
        <w:t xml:space="preserve"> nu et kapitel om bæredygtig udvikling, der opretholder og fremmer sociale og miljømæssige standarder. Den økonomiske partnerskabsaftale, der blev undertegnet med Japan i juli 2018, er den første aftale, der uddyber de med Parisaftalen indgåede forpligtels</w:t>
      </w:r>
      <w:r>
        <w:rPr>
          <w:rFonts w:ascii="Times New Roman" w:hAnsi="Times New Roman"/>
          <w:noProof/>
          <w:sz w:val="24"/>
        </w:rPr>
        <w:t xml:space="preserve">er. I september 2018 blev EU og Canada enige om at samarbejde om handel og klimaændringer inden for rammerne af den samlede økonomi- og handelsaftale (CETA). EU er i færd med at forhandle om kønsspecifikke bestemmelser i forbindelse med moderniseringen af </w:t>
      </w:r>
      <w:r>
        <w:rPr>
          <w:rFonts w:ascii="Times New Roman" w:hAnsi="Times New Roman"/>
          <w:noProof/>
          <w:sz w:val="24"/>
        </w:rPr>
        <w:t>vores associeringsaftale med Chile.</w:t>
      </w:r>
    </w:p>
    <w:p w:rsidR="000E3A3F" w:rsidRDefault="00B958E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Tekstboks: Juncker-kommissionen har vedtaget eller indledt gennemførelsen af otte handelsaftaler med 15 lande, bl.a. Canada, Ukraine, Singapore, Vietnam, Japan og adskillige lande i Afrika og Stillehavet</w:t>
      </w:r>
      <w:r>
        <w:rPr>
          <w:rStyle w:val="FootnoteReference"/>
          <w:rFonts w:ascii="Times New Roman" w:hAnsi="Times New Roman"/>
          <w:noProof/>
          <w:sz w:val="24"/>
        </w:rPr>
        <w:footnoteReference w:id="75"/>
      </w:r>
      <w:r>
        <w:rPr>
          <w:rFonts w:ascii="Times New Roman" w:hAnsi="Times New Roman"/>
          <w:noProof/>
          <w:sz w:val="24"/>
        </w:rPr>
        <w:t>. EU har nu 39 E</w:t>
      </w:r>
      <w:r>
        <w:rPr>
          <w:rFonts w:ascii="Times New Roman" w:hAnsi="Times New Roman"/>
          <w:noProof/>
          <w:sz w:val="24"/>
        </w:rPr>
        <w:t>U-handelsaftaler på plads med 70 lande over hele verden. Bestemmelser om handel og bæredygtig udvikling har været en central del af EU's frihandelsaftaler siden 2010.</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Kommissionen foreslog 15 punkter til styrkelse af gennemførelsen og håndhævelsen af kapit</w:t>
      </w:r>
      <w:r>
        <w:rPr>
          <w:rFonts w:ascii="Times New Roman" w:hAnsi="Times New Roman"/>
          <w:noProof/>
          <w:sz w:val="24"/>
        </w:rPr>
        <w:t>lerne om handel og bæredygtig udvikling i EU's handelsaftaler</w:t>
      </w:r>
      <w:r>
        <w:rPr>
          <w:rStyle w:val="FootnoteReference"/>
          <w:rFonts w:ascii="Times New Roman" w:hAnsi="Times New Roman"/>
          <w:noProof/>
          <w:sz w:val="24"/>
        </w:rPr>
        <w:footnoteReference w:id="76"/>
      </w:r>
      <w:r>
        <w:rPr>
          <w:rFonts w:ascii="Times New Roman" w:hAnsi="Times New Roman"/>
          <w:noProof/>
          <w:sz w:val="24"/>
        </w:rPr>
        <w:t>. Fokus er på stærkere samarbejde mellem forskellige aktører, mere effektiv håndhævelse, herunder en mere bestemt anvendelse af kapitlerne om bæredygtighed i den eksisterende tvistbilæggelsesmek</w:t>
      </w:r>
      <w:r>
        <w:rPr>
          <w:rFonts w:ascii="Times New Roman" w:hAnsi="Times New Roman"/>
          <w:noProof/>
          <w:sz w:val="24"/>
        </w:rPr>
        <w:t xml:space="preserve">anisme, og forbedret kommunikation og gennemsigtighed. </w:t>
      </w: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Som led i sine bestræbelser på at bistå udviklingslande indrømmer EU inden for rammerne af den generelle toldpræferenceordning unilaterale handelspræferencer. Disse er betinget af de præferenceberetti</w:t>
      </w:r>
      <w:r>
        <w:rPr>
          <w:rFonts w:ascii="Times New Roman" w:hAnsi="Times New Roman"/>
          <w:noProof/>
          <w:sz w:val="24"/>
        </w:rPr>
        <w:t>gede landes overholdelse af gennemførelsen af centrale internationale konventioner og aftaler om menneske- og arbejdstagerrettigheder, miljøbeskyttelse og god regeringsførelse og skaber således et incitament for udviklingslandene til at opbygge deres model</w:t>
      </w:r>
      <w:r>
        <w:rPr>
          <w:rFonts w:ascii="Times New Roman" w:hAnsi="Times New Roman"/>
          <w:noProof/>
          <w:sz w:val="24"/>
        </w:rPr>
        <w:t>ler for økonomisk vækst på et bæredygtigt grundlag. I tilfælde af alvorlige og systematiske overtrædelser af disse konventioners principper kan Kommissionen midlertidigt trække disse præferencer tilbage.</w:t>
      </w:r>
    </w:p>
    <w:p w:rsidR="000E3A3F" w:rsidRDefault="00B958E1">
      <w:pPr>
        <w:pStyle w:val="Heading3"/>
        <w:rPr>
          <w:noProof/>
        </w:rPr>
      </w:pPr>
      <w:bookmarkStart w:id="39" w:name="_Toc536442050"/>
      <w:bookmarkStart w:id="40" w:name="_Toc536627482"/>
      <w:r>
        <w:rPr>
          <w:noProof/>
        </w:rPr>
        <w:t>Styring og sikring af sammenhæng i politikkerne på a</w:t>
      </w:r>
      <w:r>
        <w:rPr>
          <w:noProof/>
        </w:rPr>
        <w:t>lle niveauer</w:t>
      </w:r>
      <w:bookmarkEnd w:id="39"/>
      <w:bookmarkEnd w:id="40"/>
      <w:r>
        <w:rPr>
          <w:noProof/>
        </w:rPr>
        <w:t xml:space="preserve"> </w:t>
      </w:r>
    </w:p>
    <w:p w:rsidR="000E3A3F" w:rsidRDefault="00B958E1">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En reel omstilling til bæredygtighed til fordel for alle europæere ved at nå målene for bæredygtig udvikling kræver en samlet tilgang. EU, dets medlemsstater og dets partnere er nødt til at tage hensyn til de indbyrdes forbindelser mellem de </w:t>
      </w:r>
      <w:r>
        <w:rPr>
          <w:rFonts w:ascii="Times New Roman" w:hAnsi="Times New Roman"/>
          <w:noProof/>
          <w:sz w:val="24"/>
        </w:rPr>
        <w:t xml:space="preserve">forskellige udfordringer og muligheder for bæredygtigheden og støtte sammenhængen mellem forskellige politikområder, sektorer og trin i beslutningsprocessen. </w:t>
      </w:r>
    </w:p>
    <w:p w:rsidR="000E3A3F" w:rsidRDefault="000E3A3F">
      <w:pPr>
        <w:spacing w:after="0" w:line="240" w:lineRule="auto"/>
        <w:jc w:val="both"/>
        <w:rPr>
          <w:rFonts w:ascii="Times New Roman" w:hAnsi="Times New Roman" w:cs="Times New Roman"/>
          <w:i/>
          <w:noProof/>
          <w:sz w:val="24"/>
          <w:szCs w:val="24"/>
        </w:rPr>
      </w:pPr>
    </w:p>
    <w:p w:rsidR="000E3A3F" w:rsidRDefault="00B958E1">
      <w:pPr>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672840" cy="29489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72840" cy="2948940"/>
                    </a:xfrm>
                    <a:prstGeom prst="rect">
                      <a:avLst/>
                    </a:prstGeom>
                  </pic:spPr>
                </pic:pic>
              </a:graphicData>
            </a:graphic>
          </wp:inline>
        </w:drawing>
      </w:r>
    </w:p>
    <w:p w:rsidR="000E3A3F" w:rsidRDefault="000E3A3F">
      <w:pPr>
        <w:spacing w:after="0" w:line="240" w:lineRule="auto"/>
        <w:jc w:val="both"/>
        <w:rPr>
          <w:rFonts w:ascii="Times New Roman" w:hAnsi="Times New Roman" w:cs="Times New Roman"/>
          <w:noProof/>
          <w:sz w:val="24"/>
          <w:szCs w:val="24"/>
        </w:rPr>
      </w:pPr>
    </w:p>
    <w:p w:rsidR="000E3A3F" w:rsidRDefault="00B958E1">
      <w:pPr>
        <w:spacing w:after="0" w:line="240" w:lineRule="auto"/>
        <w:jc w:val="both"/>
        <w:rPr>
          <w:rFonts w:ascii="Times New Roman" w:hAnsi="Times New Roman" w:cs="Times New Roman"/>
          <w:noProof/>
          <w:sz w:val="24"/>
          <w:szCs w:val="24"/>
        </w:rPr>
      </w:pPr>
      <w:r>
        <w:rPr>
          <w:rFonts w:ascii="Times New Roman" w:hAnsi="Times New Roman"/>
          <w:noProof/>
          <w:sz w:val="24"/>
        </w:rPr>
        <w:t>Respekten for retsstatsprincippet, demokrati og grundlæggende rettigheder er "hvem vi er". De</w:t>
      </w:r>
      <w:r>
        <w:rPr>
          <w:rFonts w:ascii="Times New Roman" w:hAnsi="Times New Roman"/>
          <w:noProof/>
          <w:sz w:val="24"/>
        </w:rPr>
        <w:t>r er tale om principper og værdier, som ikke er til forhandling, og som er fastsat i EU-traktaterne, og de udgør det fundament, vi bygger på. De er også fastlagt som en integreret del af FN's 2030-dagsorden og målene for bæredygtig udvikling. Det samme gæl</w:t>
      </w:r>
      <w:r>
        <w:rPr>
          <w:rFonts w:ascii="Times New Roman" w:hAnsi="Times New Roman"/>
          <w:noProof/>
          <w:sz w:val="24"/>
        </w:rPr>
        <w:t>der principperne om fred, retfærdighed og robuste institutioner, som EU altid har været en stærk fortaler for. Disse principper og fælles værdier er ikke selveffektuerende, og EU, dets medlemsstater og alle europæere er nødt til at opretholde, fastholde og</w:t>
      </w:r>
      <w:r>
        <w:rPr>
          <w:rFonts w:ascii="Times New Roman" w:hAnsi="Times New Roman"/>
          <w:noProof/>
          <w:sz w:val="24"/>
        </w:rPr>
        <w:t xml:space="preserve"> styrke dem. Arbejdsmarkedsparterne skal yde et væsentligt bidrag. Dette partnerskab skal fastholdes og styrkes for at sikre både effektiv regeringsførelse og en passende sammenhæng i politikkerne.</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Ud over disse grundlæggende principper er det yderst vigtigt, at der på grundlag af planlægning, evidensbaserede politikker, inklusivitet, effektivitet, overholdelsen af nærheds- og proportionalitetsprincipperne, måling og overvågning er sammenhæng i alle </w:t>
      </w:r>
      <w:r>
        <w:rPr>
          <w:rFonts w:ascii="Times New Roman" w:hAnsi="Times New Roman"/>
          <w:noProof/>
          <w:sz w:val="24"/>
        </w:rPr>
        <w:t>politikker. Bedre regulering og forvaltning på alle niveauer er også afgørende i denne forbindelse. Det er nødvendigt at foretage grundige konsekvensanalyser for alle politiske løsningsmodeller samt minimere og afbøde kompromiser mellem de økonomiske, soci</w:t>
      </w:r>
      <w:r>
        <w:rPr>
          <w:rFonts w:ascii="Times New Roman" w:hAnsi="Times New Roman"/>
          <w:noProof/>
          <w:sz w:val="24"/>
        </w:rPr>
        <w:t xml:space="preserve">ale og politiske målsætninger. Herudover bør der på en effektiv og struktureret måde tages hånd om relaterede mangler i gennemførelsen, som kan være til fare for en bæredygtig sammenhæng i politikkerne.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Målene for bæredygtig udvikling er udformet således</w:t>
      </w:r>
      <w:r>
        <w:rPr>
          <w:rFonts w:ascii="Times New Roman" w:hAnsi="Times New Roman"/>
          <w:noProof/>
          <w:sz w:val="24"/>
        </w:rPr>
        <w:t xml:space="preserve">, at de er udelelige, og de fleste mål dækker flere politikområder. Derfor bør bedre samarbejde på tværs af forvaltninger ledsages af en bedre sammenhæng på tværs af forskellige politikområder. Fødevarer, energi og forvaltning af vandressourcer hænger tæt </w:t>
      </w:r>
      <w:r>
        <w:rPr>
          <w:rFonts w:ascii="Times New Roman" w:hAnsi="Times New Roman"/>
          <w:noProof/>
          <w:sz w:val="24"/>
        </w:rPr>
        <w:t>sammen. Det samme gælder f.eks. transport, luftkvalitet og sundhed. En såkaldt "neksustilgang" kræver tværsektorielle projekter på alle niveauer, som tager fat på den indbyrdes forbundethed mellem målene for bæredygtig udvikling. Europa-Kommissionen har fu</w:t>
      </w:r>
      <w:r>
        <w:rPr>
          <w:rFonts w:ascii="Times New Roman" w:hAnsi="Times New Roman"/>
          <w:noProof/>
          <w:sz w:val="24"/>
        </w:rPr>
        <w:t xml:space="preserve">lgt denne tilgang ved at indføre en intern arbejdsmetode, som går på tværs af siloerne mellem kommissærer og alle Kommissionens ansatte.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Sammenhængen i politikkerne er ikke kun af betydning på internt niveau, men også for den interne politiks indvirkning</w:t>
      </w:r>
      <w:r>
        <w:rPr>
          <w:rFonts w:ascii="Times New Roman" w:hAnsi="Times New Roman"/>
          <w:noProof/>
          <w:sz w:val="24"/>
        </w:rPr>
        <w:t xml:space="preserve"> på den eksterne dimension og omvendt. Vi må sørge for ikke at eksportere vores økologiske fodaftryk eller skabe fattigdom, ulighed og ustabilitet i andre dele af verden. Som europæere er vi jo godt klar over, at negative konsekvenser andre steder vil få e</w:t>
      </w:r>
      <w:r>
        <w:rPr>
          <w:rFonts w:ascii="Times New Roman" w:hAnsi="Times New Roman"/>
          <w:noProof/>
          <w:sz w:val="24"/>
        </w:rPr>
        <w:t>n boomerangeffekt på vores egen økonomi og vores eget samfund, f.eks. ved at forværre årsagerne til migration. EU går ind for sammenhæng i udviklingspolitikken, hvilket sikrer, at indvirkningen af EU's interne politikker på udviklingslandene systematisk ta</w:t>
      </w:r>
      <w:r>
        <w:rPr>
          <w:rFonts w:ascii="Times New Roman" w:hAnsi="Times New Roman"/>
          <w:noProof/>
          <w:sz w:val="24"/>
        </w:rPr>
        <w:t>ges i betragtning. Den relevante overvågning er blevet indarbejdet i Kommissionens overordnede opfølgning på FN's 2030-dagsorden</w:t>
      </w:r>
      <w:r>
        <w:rPr>
          <w:rStyle w:val="FootnoteReference"/>
          <w:rFonts w:ascii="Times New Roman" w:hAnsi="Times New Roman"/>
          <w:noProof/>
          <w:sz w:val="24"/>
        </w:rPr>
        <w:footnoteReference w:id="77"/>
      </w:r>
      <w:r>
        <w:rPr>
          <w:rFonts w:ascii="Times New Roman" w:hAnsi="Times New Roman"/>
          <w:noProof/>
          <w:sz w:val="24"/>
        </w:rPr>
        <w:t xml:space="preserve">.  </w:t>
      </w:r>
    </w:p>
    <w:p w:rsidR="000E3A3F" w:rsidRDefault="000E3A3F">
      <w:pPr>
        <w:spacing w:after="0" w:line="240" w:lineRule="auto"/>
        <w:jc w:val="both"/>
        <w:rPr>
          <w:rFonts w:ascii="Times New Roman" w:hAnsi="Times New Roman" w:cs="Times New Roman"/>
          <w:i/>
          <w:noProof/>
          <w:sz w:val="24"/>
          <w:szCs w:val="24"/>
        </w:rPr>
      </w:pP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rPr>
        <w:t>For at sikre vellykkede politikker er vi nødt til at fastlægge klare og målbare målsætninger, således at fremskridtene kan</w:t>
      </w:r>
      <w:r>
        <w:rPr>
          <w:rFonts w:ascii="Times New Roman" w:hAnsi="Times New Roman"/>
          <w:noProof/>
          <w:sz w:val="24"/>
        </w:rPr>
        <w:t xml:space="preserve"> overvåges, og resultaterne gøres offentligt tilgængelige. En aftale om sådanne mål og et overvågningssystem kunne udgøre et næste skridt på EU-plan. Det Europæiske Råd glædede sig over Kommissionens hensigt om at offentliggøre dette oplæg for at bane veje</w:t>
      </w:r>
      <w:r>
        <w:rPr>
          <w:rFonts w:ascii="Times New Roman" w:hAnsi="Times New Roman"/>
          <w:noProof/>
          <w:sz w:val="24"/>
        </w:rPr>
        <w:t>n for en omfattende gennemførelsesstrategi for FN's 2030-dagsorden i 2019, hvilket kunne indarbejde dette initiativ.</w:t>
      </w:r>
    </w:p>
    <w:p w:rsidR="000E3A3F" w:rsidRDefault="00B958E1">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Gennemførelsen af målene for bæredygtig udvikling kræver desuden effektivt samarbejde på europæisk, nationalt, regionalt og lokalt plan. He</w:t>
      </w:r>
      <w:r>
        <w:rPr>
          <w:rFonts w:ascii="Times New Roman" w:hAnsi="Times New Roman"/>
          <w:noProof/>
          <w:sz w:val="24"/>
        </w:rPr>
        <w:t>nstillingerne i Kommissionens meddelelse "Nærhedsprincippet og proportionalitetsprincippet: Styrkelse af deres rolle i EU's politiske beslutningsproces" fra taskforcen om nærhedsprincippet, proportionalitetsprincippet og "Mindre, men mere effektivt" omfatt</w:t>
      </w:r>
      <w:r>
        <w:rPr>
          <w:rFonts w:ascii="Times New Roman" w:hAnsi="Times New Roman"/>
          <w:noProof/>
          <w:sz w:val="24"/>
        </w:rPr>
        <w:t>er en køreplan for opfyldelsen heraf</w:t>
      </w:r>
      <w:r>
        <w:rPr>
          <w:rStyle w:val="FootnoteReference"/>
          <w:rFonts w:ascii="Times New Roman" w:hAnsi="Times New Roman"/>
          <w:noProof/>
          <w:sz w:val="24"/>
        </w:rPr>
        <w:footnoteReference w:id="78"/>
      </w:r>
      <w:r>
        <w:rPr>
          <w:rFonts w:ascii="Times New Roman" w:hAnsi="Times New Roman"/>
          <w:noProof/>
          <w:sz w:val="24"/>
        </w:rPr>
        <w:t>. Kommissionen og andre EU-organer vil navnlig kunne fremme udvekslingen af bedste praksis mellem byer og regioner og fastsætte parametrene for en grænseoverskridende territorial tilgang til opfyldelse af målene for bær</w:t>
      </w:r>
      <w:r>
        <w:rPr>
          <w:rFonts w:ascii="Times New Roman" w:hAnsi="Times New Roman"/>
          <w:noProof/>
          <w:sz w:val="24"/>
        </w:rPr>
        <w:t xml:space="preserve">edygtig udvikling. </w:t>
      </w:r>
    </w:p>
    <w:p w:rsidR="000E3A3F" w:rsidRDefault="000E3A3F">
      <w:pPr>
        <w:widowControl w:val="0"/>
        <w:spacing w:after="0" w:line="240" w:lineRule="auto"/>
        <w:jc w:val="both"/>
        <w:rPr>
          <w:rFonts w:ascii="Times New Roman" w:hAnsi="Times New Roman" w:cs="Times New Roman"/>
          <w:noProof/>
          <w:sz w:val="24"/>
          <w:szCs w:val="24"/>
        </w:rPr>
      </w:pPr>
    </w:p>
    <w:p w:rsidR="000E3A3F" w:rsidRDefault="00B958E1">
      <w:pPr>
        <w:widowControl w:val="0"/>
        <w:spacing w:after="0" w:line="240" w:lineRule="auto"/>
        <w:jc w:val="both"/>
        <w:rPr>
          <w:rFonts w:ascii="Times New Roman" w:hAnsi="Times New Roman" w:cs="Times New Roman"/>
          <w:noProof/>
          <w:sz w:val="24"/>
          <w:szCs w:val="24"/>
        </w:rPr>
      </w:pPr>
      <w:r>
        <w:rPr>
          <w:rFonts w:ascii="Times New Roman" w:hAnsi="Times New Roman"/>
          <w:noProof/>
          <w:color w:val="333333"/>
          <w:sz w:val="24"/>
        </w:rPr>
        <w:t>C</w:t>
      </w:r>
      <w:r>
        <w:rPr>
          <w:rFonts w:ascii="Times New Roman" w:hAnsi="Times New Roman"/>
          <w:noProof/>
          <w:sz w:val="24"/>
        </w:rPr>
        <w:t>ivilsamfundet, den private sektor og den akademiske verden skal selvfølgelig også inddrages i samtalen og gennemførelsesforanstaltningen. Multiinteressentplatformen på højt plan om målene for bæredygtig udvikling, som Kommissionen opr</w:t>
      </w:r>
      <w:r>
        <w:rPr>
          <w:rFonts w:ascii="Times New Roman" w:hAnsi="Times New Roman"/>
          <w:noProof/>
          <w:sz w:val="24"/>
        </w:rPr>
        <w:t>ettede i 2017</w:t>
      </w:r>
      <w:r>
        <w:rPr>
          <w:rStyle w:val="FootnoteReference"/>
          <w:rFonts w:ascii="Times New Roman" w:hAnsi="Times New Roman"/>
          <w:noProof/>
          <w:sz w:val="24"/>
        </w:rPr>
        <w:footnoteReference w:id="79"/>
      </w:r>
      <w:r>
        <w:rPr>
          <w:rFonts w:ascii="Times New Roman" w:hAnsi="Times New Roman"/>
          <w:noProof/>
          <w:sz w:val="24"/>
        </w:rPr>
        <w:t>, har bidraget positivt til samlingen af tværgående idéer. Platformens input har været uvurderlig for Kommissionens arbejde og er knyttet som bilag til dette oplæg. Ekspertgruppen på højt plan om bæredygtig finansiering er et andet positivt e</w:t>
      </w:r>
      <w:r>
        <w:rPr>
          <w:rFonts w:ascii="Times New Roman" w:hAnsi="Times New Roman"/>
          <w:noProof/>
          <w:sz w:val="24"/>
        </w:rPr>
        <w:t>ksempel på tværsektorielt samarbejde af afgørende betydning for udarbejdelsen af Kommissionens handlingsplan om bæredygtig finansiering.</w:t>
      </w:r>
    </w:p>
    <w:p w:rsidR="000E3A3F" w:rsidRDefault="000E3A3F">
      <w:pPr>
        <w:widowControl w:val="0"/>
        <w:spacing w:after="0" w:line="240" w:lineRule="auto"/>
        <w:jc w:val="both"/>
        <w:rPr>
          <w:rFonts w:ascii="Times New Roman" w:hAnsi="Times New Roman" w:cs="Times New Roman"/>
          <w:noProof/>
          <w:sz w:val="24"/>
          <w:szCs w:val="24"/>
        </w:rPr>
      </w:pPr>
    </w:p>
    <w:p w:rsidR="000E3A3F" w:rsidRDefault="00B958E1">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I forbindelse med komplekse udfordringer med en bred vifte af konkurrerende interesser vil partnerskaber med mange interessenter kunne fremmes yderligere for at tackle den indbyrdes afhængighed mellem de forskellige mål for bæredygtig udvikling. </w:t>
      </w:r>
    </w:p>
    <w:p w:rsidR="000E3A3F" w:rsidRDefault="000E3A3F">
      <w:pPr>
        <w:spacing w:after="0" w:line="240" w:lineRule="auto"/>
        <w:jc w:val="both"/>
        <w:rPr>
          <w:rFonts w:ascii="Times New Roman" w:hAnsi="Times New Roman" w:cs="Times New Roman"/>
          <w:noProof/>
          <w:sz w:val="24"/>
          <w:szCs w:val="24"/>
        </w:rPr>
      </w:pPr>
    </w:p>
    <w:p w:rsidR="000E3A3F" w:rsidRDefault="00B958E1">
      <w:pPr>
        <w:spacing w:line="240" w:lineRule="auto"/>
        <w:jc w:val="both"/>
        <w:rPr>
          <w:rFonts w:ascii="Times New Roman" w:hAnsi="Times New Roman" w:cs="Times New Roman"/>
          <w:noProof/>
          <w:sz w:val="24"/>
          <w:szCs w:val="24"/>
        </w:rPr>
      </w:pPr>
      <w:r>
        <w:rPr>
          <w:rFonts w:ascii="Times New Roman" w:hAnsi="Times New Roman"/>
          <w:noProof/>
          <w:sz w:val="24"/>
        </w:rPr>
        <w:t>På den a</w:t>
      </w:r>
      <w:r>
        <w:rPr>
          <w:rFonts w:ascii="Times New Roman" w:hAnsi="Times New Roman"/>
          <w:noProof/>
          <w:sz w:val="24"/>
        </w:rPr>
        <w:t>nden side kræver flerniveaustyringstilgangen, at EU's indsats er hensigtsmæssigt formuleret på det overordnede forvaltningsniveau. Vi skal i forbindelse med gennemførelsen af målene for bæredygtig udvikling håndtere mange udfordringer, som ikke kender noge</w:t>
      </w:r>
      <w:r>
        <w:rPr>
          <w:rFonts w:ascii="Times New Roman" w:hAnsi="Times New Roman"/>
          <w:noProof/>
          <w:sz w:val="24"/>
        </w:rPr>
        <w:t xml:space="preserve">n grænser. En stærkere "udadvendt" vinkling i tæt samarbejde med EU's partnere fra hele verden på alle niveauer er derfor nødvendig. I FN spiller Det Politiske Forum på Højt Niveau en vigtig rolle, navnlig for så vidt angår overvågningen af fremskridt. EU </w:t>
      </w:r>
      <w:r>
        <w:rPr>
          <w:rFonts w:ascii="Times New Roman" w:hAnsi="Times New Roman"/>
          <w:noProof/>
          <w:sz w:val="24"/>
        </w:rPr>
        <w:t>kan som en stærk fortaler for multilateralisme føre an, når det gælder om at sikre en korrekt indberetning af fremskridt hen imod målene for bæredygtig udvikling og insistere på en stringent gennemførelse og overvågning fra samtlige partneres side.</w:t>
      </w:r>
    </w:p>
    <w:p w:rsidR="000E3A3F" w:rsidRDefault="00B958E1">
      <w:pPr>
        <w:pStyle w:val="Heading1"/>
        <w:rPr>
          <w:rFonts w:eastAsia="Times New Roman"/>
          <w:noProof/>
        </w:rPr>
      </w:pPr>
      <w:bookmarkStart w:id="41" w:name="_Toc536442051"/>
      <w:bookmarkStart w:id="42" w:name="_Toc536627483"/>
      <w:r>
        <w:rPr>
          <w:noProof/>
        </w:rPr>
        <w:t xml:space="preserve">EU som </w:t>
      </w:r>
      <w:r>
        <w:rPr>
          <w:noProof/>
        </w:rPr>
        <w:t>global pioner inden for bæredygtig udvikling</w:t>
      </w:r>
      <w:bookmarkEnd w:id="41"/>
      <w:bookmarkEnd w:id="42"/>
    </w:p>
    <w:p w:rsidR="000E3A3F" w:rsidRDefault="000E3A3F">
      <w:pPr>
        <w:rPr>
          <w:noProof/>
          <w:sz w:val="4"/>
          <w:szCs w:val="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 og FN er naturlige partnere i bestræbelserne på at skabe en sikrere og bedre verden for alle. Vi har ikke brug for flere mure, men derimod globale regler, som overholdes af alle. EU betragter det regelbasere</w:t>
      </w:r>
      <w:r>
        <w:rPr>
          <w:rFonts w:ascii="Times New Roman" w:hAnsi="Times New Roman"/>
          <w:noProof/>
          <w:sz w:val="24"/>
        </w:rPr>
        <w:t>de system som den bedste garanti for bæredygtigheden af vores økonomi og samfund. Kun multilateralt diplomati kan føre til løsninger på internationale udfordringer. I EU's globale strategi for udenrigs- og sikkerhedspolitikken anerkendes betydningen af mål</w:t>
      </w:r>
      <w:r>
        <w:rPr>
          <w:rFonts w:ascii="Times New Roman" w:hAnsi="Times New Roman"/>
          <w:noProof/>
          <w:sz w:val="24"/>
        </w:rPr>
        <w:t xml:space="preserve">ene for bæredygtig udvikling som en tværgående prioritet, og der er behov for en samordnet indsats fra EU og dets medlemsstater i deres samkvem med resten af verden.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Med den globale opblussen af voldelige konflikter, der især har fundet sted de seneste f</w:t>
      </w:r>
      <w:r>
        <w:rPr>
          <w:rFonts w:ascii="Times New Roman" w:hAnsi="Times New Roman"/>
          <w:noProof/>
          <w:sz w:val="24"/>
        </w:rPr>
        <w:t>em år, bliver vi igen mindet om, at fred og sikkerhed i EU også afhænger af dets evne til at bidrage til at skabe og bevare fred andre steder i verden. EU's erfaring med at skabe fred hjemme giver det en blød magt og troværdighed som global aktør i indsats</w:t>
      </w:r>
      <w:r>
        <w:rPr>
          <w:rFonts w:ascii="Times New Roman" w:hAnsi="Times New Roman"/>
          <w:noProof/>
          <w:sz w:val="24"/>
        </w:rPr>
        <w:t xml:space="preserve">en for bæredygtig fred og velstand.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EU skal også fortsætte med at dele bæredygtige løsninger på globale problemer, idet vores politikker kun vil have en begrænset virkning på kloden, hvis andre forfølger modstridende politikker. Ved at hjælpe og opmuntre</w:t>
      </w:r>
      <w:r>
        <w:rPr>
          <w:rFonts w:ascii="Times New Roman" w:hAnsi="Times New Roman"/>
          <w:noProof/>
          <w:sz w:val="24"/>
        </w:rPr>
        <w:t xml:space="preserve"> andre til at følge os i vores indsats kan EU presse på for at sikre lige vilkår, således at alle konkurrerer med hinanden på de samme betingelser. Når EU lader andre lande få del i dets løsninger, fører det desuden til flere job og højere bæredygtig vækst</w:t>
      </w:r>
      <w:r>
        <w:rPr>
          <w:rFonts w:ascii="Times New Roman" w:hAnsi="Times New Roman"/>
          <w:noProof/>
          <w:sz w:val="24"/>
        </w:rPr>
        <w:t>, ikke kun i partnerlandene, men også i EU.</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Hvis vi skal lykkedes med grøn og inklusiv økonomisk omstilling, kræver det i sidste ende, at vi får vores globale partnere med, og at vi kan argumentere for, at en global model for bæredygtig udvikling, som byg</w:t>
      </w:r>
      <w:r>
        <w:rPr>
          <w:rFonts w:ascii="Times New Roman" w:hAnsi="Times New Roman"/>
          <w:noProof/>
          <w:sz w:val="24"/>
        </w:rPr>
        <w:t>ger på vores vigtigste værdier og principper, er den bedste vej til at opnå fælles velstand og en bæredygtig verden. EU's interne arbejde med målene for bæredygtig udvikling og udlandets billede deraf er derfor to sider af samme sag. Det er i EU's interess</w:t>
      </w:r>
      <w:r>
        <w:rPr>
          <w:rFonts w:ascii="Times New Roman" w:hAnsi="Times New Roman"/>
          <w:noProof/>
          <w:sz w:val="24"/>
        </w:rPr>
        <w:t xml:space="preserve">e at spille en førende rolle i gennemførelsen af FN's 2030-dagsorden på globalt plan gennem sin optræden udadtil.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pStyle w:val="PlainText"/>
        <w:jc w:val="both"/>
        <w:rPr>
          <w:rFonts w:ascii="Times New Roman" w:hAnsi="Times New Roman" w:cs="Times New Roman"/>
          <w:noProof/>
          <w:sz w:val="24"/>
          <w:szCs w:val="24"/>
        </w:rPr>
      </w:pPr>
      <w:r>
        <w:rPr>
          <w:rFonts w:ascii="Times New Roman" w:hAnsi="Times New Roman"/>
          <w:noProof/>
          <w:sz w:val="24"/>
        </w:rPr>
        <w:t>EU og dets medlemsstater er den største donor af humanitær bistand og udviklingsbistand på verdensplan. EU har kollektivt forpligtet sig til</w:t>
      </w:r>
      <w:r>
        <w:rPr>
          <w:rFonts w:ascii="Times New Roman" w:hAnsi="Times New Roman"/>
          <w:noProof/>
          <w:sz w:val="24"/>
        </w:rPr>
        <w:t xml:space="preserve"> at øge sin officielle udviklingsbistand til mindst 0,7 % af EU's bruttonationalindkomst på årsbasis. Via samarbejdet med 150 partnerlande over hele verden er EU's udviklingssamarbejde både et middel til at løfte mennesker ud af fattigdom og sikre værdighe</w:t>
      </w:r>
      <w:r>
        <w:rPr>
          <w:rFonts w:ascii="Times New Roman" w:hAnsi="Times New Roman"/>
          <w:noProof/>
          <w:sz w:val="24"/>
        </w:rPr>
        <w:t>d og lighed, og det bidrager også til at skabe fredelige, retfærdige og inkluderende samfund. Krisernes langvarige karakter gør det nødvendigt for EU at fortsætte sin samordnede indsats for at imødekomme humanitære behov og bekæmpe de grundlæggende årsager</w:t>
      </w:r>
      <w:r>
        <w:rPr>
          <w:rFonts w:ascii="Times New Roman" w:hAnsi="Times New Roman"/>
          <w:noProof/>
          <w:sz w:val="24"/>
        </w:rPr>
        <w:t xml:space="preserve"> til fattigdom, fordrivelse, skrøbelighed og ustabilitet.</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Den nye europæiske konsensus om udvikling justerer udtrykkeligt EU's politik med henblik på gennemførelsen FN's 2030-dagsorden, og hovedformålet er at udrydde fattigdom. Det er især en styrke, at d</w:t>
      </w:r>
      <w:r>
        <w:rPr>
          <w:rFonts w:ascii="Times New Roman" w:hAnsi="Times New Roman"/>
          <w:noProof/>
          <w:sz w:val="24"/>
        </w:rPr>
        <w:t>ette er et fælles tilsagn fra EU og alle medlemsstaterne om at arbejde bedre sammen, herunder gennem fælles programmering og mere effektiv koordinering på stedet. Der bør ske en yderligere styrkelse af denne kurs med EU's fremtidige eksterne finansieringsi</w:t>
      </w:r>
      <w:r>
        <w:rPr>
          <w:rFonts w:ascii="Times New Roman" w:hAnsi="Times New Roman"/>
          <w:noProof/>
          <w:sz w:val="24"/>
        </w:rPr>
        <w:t xml:space="preserve">nstrument, som udtrykkeligt har til formål at understøtte gennemførelsen af målene for bæredygtig udvikling.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Vi vil fortsætte vores aktive engagement med partnerlande gennem politiske dialoger på grundlag af målene for bæredygtig udvikling og kombinere d</w:t>
      </w:r>
      <w:r>
        <w:rPr>
          <w:rFonts w:ascii="Times New Roman" w:hAnsi="Times New Roman"/>
          <w:noProof/>
          <w:sz w:val="24"/>
        </w:rPr>
        <w:t>ette med vores finansielle bistand og udviklingssamarbejde. EU's nye partnerskab med landene i Afrika, Vestindien og Stillehavet, som vil afløse den nuværende Cotonouaftale, bør bidrage til at øge befolkningernes velstand ved at opfylde målene for bæredygt</w:t>
      </w:r>
      <w:r>
        <w:rPr>
          <w:rFonts w:ascii="Times New Roman" w:hAnsi="Times New Roman"/>
          <w:noProof/>
          <w:sz w:val="24"/>
        </w:rPr>
        <w:t>ig udvikling. Fremadrettet bør EU og medlemsstaterne lægge særlig vægt på at opbygge et stærkt og ligeværdigt partnerskab og samarbejde med Afrika. EU har stor interesse i et afrikansk kontinent med økonomisk og politisk fremgang, hvor der er større muligh</w:t>
      </w:r>
      <w:r>
        <w:rPr>
          <w:rFonts w:ascii="Times New Roman" w:hAnsi="Times New Roman"/>
          <w:noProof/>
          <w:sz w:val="24"/>
        </w:rPr>
        <w:t>eder for vækst, lokal beskæftigelse, nye forretningsmodeller og gensidigt fordelagtige handelsforbindelser med Europa. Samtidig kan EU's samarbejde med mere udviklede udviklingslande i en lang række sektorer have en betydelig indvirkning på den globale bær</w:t>
      </w:r>
      <w:r>
        <w:rPr>
          <w:rFonts w:ascii="Times New Roman" w:hAnsi="Times New Roman"/>
          <w:noProof/>
          <w:sz w:val="24"/>
        </w:rPr>
        <w:t>edygtige udvikling.</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Det er fortsat en prioritet at få inddraget den private sektor fuldt ud og at styrke bæredygtige investeringer – også uden for EU's grænser. Planen for europæiske eksterne investeringer har skabt en ny standard for anvendelse af offent</w:t>
      </w:r>
      <w:r>
        <w:rPr>
          <w:rFonts w:ascii="Times New Roman" w:hAnsi="Times New Roman"/>
          <w:noProof/>
          <w:sz w:val="24"/>
        </w:rPr>
        <w:t>lige midler til at mobilisere private investeringer til bæredygtig udvikling i partnerlande – med udgangspunkt i Afrika og EU's naboskabslande</w:t>
      </w:r>
      <w:r>
        <w:rPr>
          <w:rStyle w:val="FootnoteReference"/>
          <w:rFonts w:ascii="Times New Roman" w:hAnsi="Times New Roman"/>
          <w:noProof/>
          <w:sz w:val="24"/>
        </w:rPr>
        <w:footnoteReference w:id="80"/>
      </w:r>
      <w:r>
        <w:rPr>
          <w:rFonts w:ascii="Times New Roman" w:hAnsi="Times New Roman"/>
          <w:noProof/>
          <w:sz w:val="24"/>
        </w:rPr>
        <w:t>. Den nye alliance mellem Afrika og Europa med fokus på bæredygtige investeringer og jobs, der blev lanceret i se</w:t>
      </w:r>
      <w:r>
        <w:rPr>
          <w:rFonts w:ascii="Times New Roman" w:hAnsi="Times New Roman"/>
          <w:noProof/>
          <w:sz w:val="24"/>
        </w:rPr>
        <w:t xml:space="preserve">ptember 2018, rummer et stort potentiale for udnyttelse af bæredygtige investeringer, og den vil kunne skabe op til 10 mio. arbejdspladser i Afrika bare de næste fem år.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Eftersom især udviklingslande har vanskeligheder med at få adgang til tilstrækkelig</w:t>
      </w:r>
      <w:r>
        <w:rPr>
          <w:rFonts w:ascii="Times New Roman" w:hAnsi="Times New Roman"/>
          <w:noProof/>
          <w:sz w:val="24"/>
        </w:rPr>
        <w:t xml:space="preserve"> finansiering til at dække deres behov inden for bæredygtig infrastruktur og energieffektivitet, vil de finansielle markeder med deres globale omfang kunne åbne store muligheder for støtte til alle landes omstilling ved at opfylde lokale behov ved hjælp af</w:t>
      </w:r>
      <w:r>
        <w:rPr>
          <w:rFonts w:ascii="Times New Roman" w:hAnsi="Times New Roman"/>
          <w:noProof/>
          <w:sz w:val="24"/>
        </w:rPr>
        <w:t xml:space="preserve"> globale finansieringskilder. Hvis initiativer og værktøjer til bæredygtig finansiering på tværs af jurisdiktioner gensidigt justeres, vil det kunne sikre kompatible markeder for bæredygtige finansielle aktiver på tværs af grænser, og derigennem kan stordr</w:t>
      </w:r>
      <w:r>
        <w:rPr>
          <w:rFonts w:ascii="Times New Roman" w:hAnsi="Times New Roman"/>
          <w:noProof/>
          <w:sz w:val="24"/>
        </w:rPr>
        <w:t xml:space="preserve">iftsfordele opnås og fragmentering undgås. Dette vil give nye store investeringsmuligheder for virksomheder og den finansielle sektor på verdensplan.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Det er EU's mål at gå forrest i koordineringen af den internationale indsats for at opbygge et finansiel</w:t>
      </w:r>
      <w:r>
        <w:rPr>
          <w:rFonts w:ascii="Times New Roman" w:hAnsi="Times New Roman"/>
          <w:noProof/>
          <w:sz w:val="24"/>
        </w:rPr>
        <w:t>t system, der understøtter bæredygtig vækst globalt. Med henblik på at styrke samarbejdet vil det være hensigtsmæssigt at oprette et internationalt netværk af myndigheder fra både udviklede lande og udviklingslande, som ønsker at fremme bæredygtig finansie</w:t>
      </w:r>
      <w:r>
        <w:rPr>
          <w:rFonts w:ascii="Times New Roman" w:hAnsi="Times New Roman"/>
          <w:noProof/>
          <w:sz w:val="24"/>
        </w:rPr>
        <w:t>ring. En sammenhængende international strategi og arkitektur, som udnytter den indsats, der gøres af institutioner som f.eks. Verdensbankgruppen, Organisationen for Økonomisk Samarbejde og Udvikling, Den Europæiske Investeringsbank og Den Europæiske Bank f</w:t>
      </w:r>
      <w:r>
        <w:rPr>
          <w:rFonts w:ascii="Times New Roman" w:hAnsi="Times New Roman"/>
          <w:noProof/>
          <w:sz w:val="24"/>
        </w:rPr>
        <w:t>or Genopbygning og Udvikling, vil kunne bidrage til at opskalere bæredygtig finansiering og mobilisere internationale investorer med henblik på bæredygtige investeringer over hele verden. Nye finansielle teknologier og innovative finansieringsløsninger giv</w:t>
      </w:r>
      <w:r>
        <w:rPr>
          <w:rFonts w:ascii="Times New Roman" w:hAnsi="Times New Roman"/>
          <w:noProof/>
          <w:sz w:val="24"/>
        </w:rPr>
        <w:t>er også store muligheder for at forbinde investorer med bæredygtige projekter.</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Klimaforandringer og miljøforringelser er stadig en af de største trusler mod fred og sikkerhed i verden, og hvis der ikke handles beslutsomt, vil de blive en endnu større kild</w:t>
      </w:r>
      <w:r>
        <w:rPr>
          <w:rFonts w:ascii="Times New Roman" w:hAnsi="Times New Roman"/>
          <w:noProof/>
          <w:sz w:val="24"/>
        </w:rPr>
        <w:t>e til globale risici, herunder til tvangsfordrivelser og migration. EU er nødt til at gå forrest, bl.a. med stringent gennemførelse af Parisaftalen og i de internationale bestræbelser på at dekarbonisere transportsektoren. EU kan også tage initiativ til bi</w:t>
      </w:r>
      <w:r>
        <w:rPr>
          <w:rFonts w:ascii="Times New Roman" w:hAnsi="Times New Roman"/>
          <w:noProof/>
          <w:sz w:val="24"/>
        </w:rPr>
        <w:t xml:space="preserve">ndende globale aftaler inden for områderne cirkulær økonomi, ressourceanvendelse og biodiversitet. </w:t>
      </w:r>
    </w:p>
    <w:p w:rsidR="000E3A3F" w:rsidRDefault="000E3A3F">
      <w:pPr>
        <w:autoSpaceDE w:val="0"/>
        <w:autoSpaceDN w:val="0"/>
        <w:adjustRightInd w:val="0"/>
        <w:spacing w:after="0" w:line="240" w:lineRule="auto"/>
        <w:jc w:val="both"/>
        <w:rPr>
          <w:rFonts w:ascii="Times New Roman" w:hAnsi="Times New Roman" w:cs="Times New Roman"/>
          <w:noProof/>
          <w:sz w:val="24"/>
          <w:szCs w:val="24"/>
        </w:rPr>
      </w:pPr>
    </w:p>
    <w:p w:rsidR="000E3A3F" w:rsidRDefault="00B958E1">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Ved at være "first mover" inden for grøn og inklusiv økonomisk omstilling og samtidig presse på for internationale regler vil vi kunne fastsætte standarder</w:t>
      </w:r>
      <w:r>
        <w:rPr>
          <w:rFonts w:ascii="Times New Roman" w:hAnsi="Times New Roman"/>
          <w:noProof/>
          <w:sz w:val="24"/>
        </w:rPr>
        <w:t xml:space="preserve">ne for resten af verden, og det vil give os en stor konkurrencefordel på det globale marked. </w:t>
      </w:r>
    </w:p>
    <w:p w:rsidR="000E3A3F" w:rsidRDefault="00B958E1">
      <w:pPr>
        <w:pStyle w:val="Heading1"/>
        <w:rPr>
          <w:rFonts w:eastAsia="Times New Roman"/>
          <w:noProof/>
        </w:rPr>
      </w:pPr>
      <w:bookmarkStart w:id="43" w:name="_Toc536442052"/>
      <w:bookmarkStart w:id="44" w:name="_Toc536627484"/>
      <w:r>
        <w:rPr>
          <w:noProof/>
        </w:rPr>
        <w:t>Fremtidsscenarier</w:t>
      </w:r>
      <w:bookmarkEnd w:id="43"/>
      <w:bookmarkEnd w:id="44"/>
    </w:p>
    <w:p w:rsidR="000E3A3F" w:rsidRDefault="00B958E1">
      <w:pPr>
        <w:rPr>
          <w:noProof/>
          <w:sz w:val="4"/>
          <w:szCs w:val="4"/>
        </w:rPr>
      </w:pPr>
      <w:r>
        <w:rPr>
          <w:noProof/>
        </w:rPr>
        <w:t xml:space="preserve">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EU har forpligtet sig til at gennemføre FN's 2030-dagsorden. Med en ny femårig politikcyklus i horisonten er det tid til at nå til enighed om,</w:t>
      </w:r>
      <w:r>
        <w:rPr>
          <w:rFonts w:ascii="Times New Roman" w:hAnsi="Times New Roman"/>
          <w:noProof/>
          <w:sz w:val="24"/>
          <w:u w:color="000000"/>
        </w:rPr>
        <w:t xml:space="preserve"> hvordan vi lever op til vores kollektive tilsagn. EU's institutioner skal beslutte, hvilke strukturer, værktøjer og politikker de vil anvende til at gennemføre og nå målene for bæredygtig udvikling og til at hjælpe og guide vores partnere. Der er forskell</w:t>
      </w:r>
      <w:r>
        <w:rPr>
          <w:rFonts w:ascii="Times New Roman" w:hAnsi="Times New Roman"/>
          <w:noProof/>
          <w:sz w:val="24"/>
          <w:u w:color="000000"/>
        </w:rPr>
        <w:t>ige syn på, hvordan vi bedst opnår dette, og hver institution, dvs. Europa-Parlamentet, Rådet og Kommissionen, har sine egne ansvarsområder i overensstemmelse med traktaterne og vores internationale forpligtelser.</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 oktober 2018 udtrykte Det Europæiske Råd</w:t>
      </w:r>
      <w:r>
        <w:rPr>
          <w:rFonts w:ascii="Times New Roman" w:hAnsi="Times New Roman"/>
          <w:noProof/>
          <w:sz w:val="24"/>
          <w:u w:color="000000"/>
        </w:rPr>
        <w:t xml:space="preserve"> sin tilfredshed med Kommissionens hensigt om at offentliggøre et oplæg med henblik på at bane vejen for en omfattende gennemførelsesstrategi i 2019.</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 nærværende oplæg foreslås der på baggrund af Det Europæiske Råds retningslinjer tre forskellige scenarie</w:t>
      </w:r>
      <w:r>
        <w:rPr>
          <w:rFonts w:ascii="Times New Roman" w:hAnsi="Times New Roman"/>
          <w:noProof/>
          <w:sz w:val="24"/>
          <w:u w:color="000000"/>
        </w:rPr>
        <w:t>r med henblik på drøftelserne om, hvordan målene for bæredygtig udvikling bedst kan nås, og hvad der vil være den mest effektive rollefordeling. Disse overvejelser har til formål at kvalificere debatten mellem borgere, interessenter, regeringer og institut</w:t>
      </w:r>
      <w:r>
        <w:rPr>
          <w:rFonts w:ascii="Times New Roman" w:hAnsi="Times New Roman"/>
          <w:noProof/>
          <w:sz w:val="24"/>
          <w:u w:color="000000"/>
        </w:rPr>
        <w:t xml:space="preserve">ioner i de kommende måneder med henblik på at give inspiration til EU's </w:t>
      </w:r>
      <w:r>
        <w:rPr>
          <w:rFonts w:ascii="Times New Roman" w:hAnsi="Times New Roman"/>
          <w:noProof/>
          <w:sz w:val="24"/>
        </w:rPr>
        <w:t>strategiske dagsorden 2019-2024 og den kommende formand for Europa-Kommissionens fastlæggelse af prioriteter.</w:t>
      </w:r>
    </w:p>
    <w:p w:rsidR="000E3A3F" w:rsidRDefault="00B958E1">
      <w:pPr>
        <w:spacing w:line="240" w:lineRule="auto"/>
        <w:jc w:val="both"/>
        <w:rPr>
          <w:rFonts w:ascii="Times New Roman" w:hAnsi="Times New Roman" w:cs="Times New Roman"/>
          <w:noProof/>
          <w:sz w:val="24"/>
          <w:szCs w:val="24"/>
          <w:u w:color="000000"/>
        </w:rPr>
      </w:pPr>
      <w:bookmarkStart w:id="45" w:name="_Toc519260826"/>
      <w:bookmarkEnd w:id="45"/>
      <w:r>
        <w:rPr>
          <w:rFonts w:ascii="Times New Roman" w:hAnsi="Times New Roman"/>
          <w:noProof/>
          <w:sz w:val="24"/>
          <w:u w:color="000000"/>
        </w:rPr>
        <w:t>Alle tre scenarier bygger på den fælles forudsætning, at der i medlemsstat</w:t>
      </w:r>
      <w:r>
        <w:rPr>
          <w:rFonts w:ascii="Times New Roman" w:hAnsi="Times New Roman"/>
          <w:noProof/>
          <w:sz w:val="24"/>
          <w:u w:color="000000"/>
        </w:rPr>
        <w:t>erne, virksomhederne og civilsamfundet er en bred erkendelse af, at der er behov for et stærkere engagement, hvis EU og verden skal sikre en bæredygtig fremtid og nå målene for bæredygtig udvikling inden 2030 og tiden derefter. Derigennem kan vi sikre en m</w:t>
      </w:r>
      <w:r>
        <w:rPr>
          <w:rFonts w:ascii="Times New Roman" w:hAnsi="Times New Roman"/>
          <w:noProof/>
          <w:sz w:val="24"/>
          <w:u w:color="000000"/>
        </w:rPr>
        <w:t xml:space="preserve">oderne økonomi, et rent miljø og borgernes velfærd på en beboelig planet.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Der er også enighed om, at selv om indsatsen for bæredygtighed bør foregå på europæisk niveau, vil vi i sidste ende kun kunne nå i mål med en global tilgang. For at Europa fortsat s</w:t>
      </w:r>
      <w:r>
        <w:rPr>
          <w:rFonts w:ascii="Times New Roman" w:hAnsi="Times New Roman"/>
          <w:noProof/>
          <w:sz w:val="24"/>
          <w:u w:color="000000"/>
        </w:rPr>
        <w:t xml:space="preserve">kal kunne blomstre som kontinent, er der desuden behov for at støtte en stor del af udviklingslandene med henblik på at nå op på vores økonomiske og sociale niveau. På samme måde bidrager støtte til udviklingslandenes økonomiske fremskridt hen imod målene </w:t>
      </w:r>
      <w:r>
        <w:rPr>
          <w:rFonts w:ascii="Times New Roman" w:hAnsi="Times New Roman"/>
          <w:noProof/>
          <w:sz w:val="24"/>
          <w:u w:color="000000"/>
        </w:rPr>
        <w:t>for bæredygtig udvikling også til at opnå en lang række af EU's strategiske interesser, såsom begrænsning af irregulær migration. Målene for bæredygtig udvikling, som er blevet underskrevet af 193 stater, er den mest moderne og omfattende ramme at bygge vo</w:t>
      </w:r>
      <w:r>
        <w:rPr>
          <w:rFonts w:ascii="Times New Roman" w:hAnsi="Times New Roman"/>
          <w:noProof/>
          <w:sz w:val="24"/>
          <w:u w:color="000000"/>
        </w:rPr>
        <w:t xml:space="preserve">res arbejde på.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Omdrejningspunktet for den europæiske debat er nu, hvad vi skal gøre, og hvordan. De tre scenarier skitserer forskellige reaktioner, men er alle baseret på, at EU har store konkurrencefordele med hensyn til at påtage sig en førerrolle og v</w:t>
      </w:r>
      <w:r>
        <w:rPr>
          <w:rFonts w:ascii="Times New Roman" w:hAnsi="Times New Roman"/>
          <w:noProof/>
          <w:sz w:val="24"/>
          <w:u w:color="000000"/>
        </w:rPr>
        <w:t>ære "first mover". Disse scenarier er hverken begrænsende eller bestemmende. De har til formål at</w:t>
      </w:r>
      <w:r>
        <w:rPr>
          <w:rFonts w:ascii="Times New Roman" w:hAnsi="Times New Roman"/>
          <w:noProof/>
          <w:sz w:val="24"/>
        </w:rPr>
        <w:t xml:space="preserve"> fremlægge forskellige ideer og anspore til debat og udvikling af ideer. Det endelige resultat vil sandsynligvis være en kombination af visse elementer fra hve</w:t>
      </w:r>
      <w:r>
        <w:rPr>
          <w:rFonts w:ascii="Times New Roman" w:hAnsi="Times New Roman"/>
          <w:noProof/>
          <w:sz w:val="24"/>
        </w:rPr>
        <w:t xml:space="preserve">rt scenarie. </w:t>
      </w:r>
    </w:p>
    <w:p w:rsidR="000E3A3F" w:rsidRDefault="000E3A3F">
      <w:pPr>
        <w:spacing w:line="240" w:lineRule="auto"/>
        <w:jc w:val="both"/>
        <w:rPr>
          <w:rFonts w:ascii="Times New Roman" w:hAnsi="Times New Roman" w:cs="Times New Roman"/>
          <w:noProof/>
          <w:sz w:val="24"/>
          <w:szCs w:val="24"/>
          <w:u w:color="000000"/>
        </w:rPr>
        <w:sectPr w:rsidR="000E3A3F">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pPr>
    </w:p>
    <w:p w:rsidR="000E3A3F" w:rsidRDefault="00B958E1">
      <w:pPr>
        <w:rPr>
          <w:rFonts w:ascii="Times New Roman" w:hAnsi="Times New Roman" w:cs="Times New Roman"/>
          <w:b/>
          <w:noProof/>
          <w:color w:val="4F81BD" w:themeColor="accent1"/>
          <w:sz w:val="24"/>
          <w:szCs w:val="24"/>
          <w:u w:color="000000"/>
        </w:rPr>
      </w:pPr>
      <w:bookmarkStart w:id="46" w:name="_Toc529790807"/>
      <w:r>
        <w:rPr>
          <w:rFonts w:ascii="Times New Roman" w:hAnsi="Times New Roman"/>
          <w:b/>
          <w:noProof/>
          <w:color w:val="4F81BD" w:themeColor="accent1"/>
          <w:sz w:val="24"/>
          <w:u w:color="000000"/>
        </w:rPr>
        <w:t>Scenarie 1: En overordnet EU-strategi for målene for bæredygtig udvikling som rettesnor for EU's og medlemsstaternes indsats</w:t>
      </w:r>
      <w:bookmarkEnd w:id="46"/>
    </w:p>
    <w:p w:rsidR="000E3A3F" w:rsidRDefault="000E3A3F">
      <w:pPr>
        <w:spacing w:after="0" w:line="240" w:lineRule="auto"/>
        <w:jc w:val="both"/>
        <w:rPr>
          <w:rFonts w:ascii="Times New Roman" w:hAnsi="Times New Roman" w:cs="Times New Roman"/>
          <w:noProof/>
          <w:sz w:val="24"/>
          <w:szCs w:val="24"/>
          <w:u w:color="000000"/>
        </w:rPr>
        <w:sectPr w:rsidR="000E3A3F">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En af de måder, hvorpå vi kan imødegå de udfordringer, vi står over for, er ved på højeste EU-politiske niveau at støtte de globalt aftalte mål for bæredygtig udvikling og gøre dem til de overordnede strategiske politiske mål for EU og medlemsstaterne. Den</w:t>
      </w:r>
      <w:r>
        <w:rPr>
          <w:rFonts w:ascii="Times New Roman" w:hAnsi="Times New Roman"/>
          <w:noProof/>
          <w:sz w:val="24"/>
          <w:u w:color="000000"/>
        </w:rPr>
        <w:t>ne tilgang vil være i overensstemmelse med anbefalingen fra multiinteressentplatformen på højt plan om målene for bæredygtig udvikling.</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 dette scenarie vil FN's 2030-dagsorden og målene for bæredygtig udvikling være vores kompas og kort og derigennem fast</w:t>
      </w:r>
      <w:r>
        <w:rPr>
          <w:rFonts w:ascii="Times New Roman" w:hAnsi="Times New Roman"/>
          <w:noProof/>
          <w:sz w:val="24"/>
          <w:u w:color="000000"/>
        </w:rPr>
        <w:t>lægge den strategiske ramme for EU og medlemsstaterne.</w:t>
      </w:r>
    </w:p>
    <w:p w:rsidR="000E3A3F" w:rsidRDefault="00B958E1">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En strategisk indsats fra EU's og medlemsstaternes side – med inddragelse af regionale og lokale myndigheder – vil kunne gennemføres, og den vil kunne koordineres effektivt. En fælles tilgang vil derve</w:t>
      </w:r>
      <w:r>
        <w:rPr>
          <w:rFonts w:ascii="Times New Roman" w:hAnsi="Times New Roman"/>
          <w:noProof/>
          <w:sz w:val="24"/>
          <w:u w:color="000000"/>
        </w:rPr>
        <w:t xml:space="preserve">d blive fremmet på alle forvaltningsniveauer i tæt samarbejde med alle interessenterne. Det vil udgøre en stærk komponent i EU's relationer med tredjelande med henblik på at fremme den internationale indsats for bæredygtighed. </w:t>
      </w:r>
    </w:p>
    <w:p w:rsidR="000E3A3F" w:rsidRDefault="000E3A3F">
      <w:pPr>
        <w:spacing w:after="0" w:line="240" w:lineRule="auto"/>
        <w:jc w:val="both"/>
        <w:rPr>
          <w:rFonts w:ascii="Times New Roman" w:hAnsi="Times New Roman" w:cs="Times New Roman"/>
          <w:noProof/>
          <w:sz w:val="24"/>
          <w:szCs w:val="24"/>
          <w:u w:color="000000"/>
        </w:rPr>
      </w:pPr>
    </w:p>
    <w:p w:rsidR="000E3A3F" w:rsidRDefault="00B958E1">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Dette vil også indebære opr</w:t>
      </w:r>
      <w:r>
        <w:rPr>
          <w:rFonts w:ascii="Times New Roman" w:hAnsi="Times New Roman"/>
          <w:noProof/>
          <w:sz w:val="24"/>
          <w:u w:color="000000"/>
        </w:rPr>
        <w:t>ettelsen af en "europæisk proces for politikkoordinering vedrørende målene for bæredygtig udvikling" for regelmæssigt at kunne vurdere og overvåge fremskridtene med hensyn til gennemførelse, og det vil på den måde afspejle den tværgående karakter og de ind</w:t>
      </w:r>
      <w:r>
        <w:rPr>
          <w:rFonts w:ascii="Times New Roman" w:hAnsi="Times New Roman"/>
          <w:noProof/>
          <w:sz w:val="24"/>
          <w:u w:color="000000"/>
        </w:rPr>
        <w:t xml:space="preserve">byrdes forbindelser mellem målene, herunder i den interne forvaltning i Europa-Kommissionen. </w:t>
      </w:r>
    </w:p>
    <w:p w:rsidR="000E3A3F" w:rsidRDefault="000E3A3F">
      <w:pPr>
        <w:spacing w:after="0" w:line="240" w:lineRule="auto"/>
        <w:jc w:val="both"/>
        <w:rPr>
          <w:rFonts w:ascii="Times New Roman" w:hAnsi="Times New Roman" w:cs="Times New Roman"/>
          <w:noProof/>
          <w:sz w:val="24"/>
          <w:szCs w:val="24"/>
          <w:u w:color="000000"/>
        </w:rPr>
      </w:pPr>
    </w:p>
    <w:p w:rsidR="000E3A3F" w:rsidRDefault="000E3A3F">
      <w:pPr>
        <w:spacing w:after="0" w:line="240" w:lineRule="auto"/>
        <w:jc w:val="both"/>
        <w:rPr>
          <w:rFonts w:ascii="Times New Roman" w:hAnsi="Times New Roman" w:cs="Times New Roman"/>
          <w:noProof/>
          <w:sz w:val="24"/>
          <w:szCs w:val="24"/>
          <w:u w:color="000000"/>
        </w:rPr>
      </w:pPr>
    </w:p>
    <w:p w:rsidR="000E3A3F" w:rsidRDefault="000E3A3F">
      <w:pPr>
        <w:spacing w:after="0" w:line="240" w:lineRule="auto"/>
        <w:jc w:val="both"/>
        <w:rPr>
          <w:rFonts w:ascii="Times New Roman" w:hAnsi="Times New Roman" w:cs="Times New Roman"/>
          <w:noProof/>
          <w:sz w:val="24"/>
          <w:szCs w:val="24"/>
          <w:u w:color="000000"/>
        </w:rPr>
      </w:pPr>
    </w:p>
    <w:p w:rsidR="000E3A3F" w:rsidRDefault="000E3A3F">
      <w:pPr>
        <w:spacing w:after="0" w:line="240" w:lineRule="auto"/>
        <w:jc w:val="both"/>
        <w:rPr>
          <w:rFonts w:ascii="Times New Roman" w:hAnsi="Times New Roman" w:cs="Times New Roman"/>
          <w:noProof/>
          <w:sz w:val="24"/>
          <w:szCs w:val="24"/>
          <w:u w:color="000000"/>
        </w:rPr>
      </w:pPr>
    </w:p>
    <w:p w:rsidR="000E3A3F" w:rsidRDefault="000E3A3F">
      <w:pPr>
        <w:autoSpaceDE w:val="0"/>
        <w:autoSpaceDN w:val="0"/>
        <w:adjustRightInd w:val="0"/>
        <w:spacing w:after="0" w:line="240" w:lineRule="auto"/>
        <w:jc w:val="both"/>
        <w:rPr>
          <w:rFonts w:ascii="Times New Roman" w:hAnsi="Times New Roman" w:cs="Times New Roman"/>
          <w:noProof/>
          <w:sz w:val="24"/>
          <w:szCs w:val="24"/>
          <w:u w:color="000000"/>
        </w:rPr>
        <w:sectPr w:rsidR="000E3A3F">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17" w:right="1417" w:bottom="1417" w:left="1417" w:header="708" w:footer="708" w:gutter="0"/>
          <w:cols w:num="2" w:space="708"/>
          <w:docGrid w:linePitch="360"/>
        </w:sectPr>
      </w:pPr>
    </w:p>
    <w:p w:rsidR="000E3A3F" w:rsidRDefault="000E3A3F">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0E3A3F">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Hvad det betyder i praksis</w:t>
            </w:r>
          </w:p>
        </w:tc>
      </w:tr>
      <w:tr w:rsidR="000E3A3F">
        <w:tc>
          <w:tcPr>
            <w:tcW w:w="5000" w:type="pct"/>
            <w:tcBorders>
              <w:top w:val="single" w:sz="4" w:space="0" w:color="auto"/>
              <w:left w:val="single" w:sz="4" w:space="0" w:color="auto"/>
              <w:bottom w:val="single" w:sz="4" w:space="0" w:color="auto"/>
              <w:right w:val="single" w:sz="4" w:space="0" w:color="auto"/>
            </w:tcBorders>
          </w:tcPr>
          <w:p w:rsidR="000E3A3F" w:rsidRDefault="00B958E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Specifikke mål for gennemførelsen af målene for bæredygtig </w:t>
            </w:r>
            <w:r>
              <w:rPr>
                <w:rFonts w:ascii="Times New Roman" w:hAnsi="Times New Roman"/>
                <w:noProof/>
                <w:sz w:val="24"/>
                <w:u w:color="000000"/>
              </w:rPr>
              <w:t>udvikling defineres på EU-plan, og en overordnet EU-strategi for målene gennemføres af Kommissionen, Europa-Parlamentet og Rådet</w:t>
            </w:r>
          </w:p>
          <w:p w:rsidR="000E3A3F" w:rsidRDefault="00B958E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Omfattende nationale strategier for målene for bæredygtig udvikling udarbejdes på nationalt plan</w:t>
            </w:r>
          </w:p>
          <w:p w:rsidR="000E3A3F" w:rsidRDefault="00B958E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Konkrete og tidsbestemte delmå</w:t>
            </w:r>
            <w:r>
              <w:rPr>
                <w:rFonts w:ascii="Times New Roman" w:hAnsi="Times New Roman"/>
                <w:noProof/>
                <w:sz w:val="24"/>
                <w:u w:color="000000"/>
              </w:rPr>
              <w:t>l for 2030 foreslås af Kommissionen og godkendes af Det Europæiske Råd</w:t>
            </w:r>
          </w:p>
          <w:p w:rsidR="000E3A3F" w:rsidRDefault="00B958E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Princippet om "sustainability first" (bæredygtighed først) integreres i dagsordenerne for bedre regulering i EU og medlemsstaterne</w:t>
            </w:r>
          </w:p>
          <w:p w:rsidR="000E3A3F" w:rsidRDefault="00B958E1">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En mekanisme til indberetning og overvågning af fremsk</w:t>
            </w:r>
            <w:r>
              <w:rPr>
                <w:rFonts w:ascii="Times New Roman" w:hAnsi="Times New Roman"/>
                <w:noProof/>
                <w:sz w:val="24"/>
                <w:u w:color="000000"/>
              </w:rPr>
              <w:t>ridt med hensyn til målene for bæredygtig udvikling på EU-plan og i medlemsstaterne oprettes og koordineres, f.eks. i forbindelse med det europæiske semester</w:t>
            </w:r>
          </w:p>
          <w:p w:rsidR="000E3A3F" w:rsidRDefault="00B958E1">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 xml:space="preserve">Den rolle, som multiinteressentplatformen om målene for bæredygtig udvikling varetager, styrkes i </w:t>
            </w:r>
            <w:r>
              <w:rPr>
                <w:rFonts w:ascii="Times New Roman" w:hAnsi="Times New Roman"/>
                <w:noProof/>
                <w:sz w:val="24"/>
                <w:u w:color="000000"/>
              </w:rPr>
              <w:t>form af en specifik rolle i overvågningen af gennemførelsen af målene</w:t>
            </w:r>
          </w:p>
          <w:p w:rsidR="000E3A3F" w:rsidRDefault="00B958E1">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 xml:space="preserve">EU's foranstaltninger udadtil med hensyn til bæredygtighed styrkes yderligere, og alle udenrigspolitiske foranstaltninger justeres med henblik på gennemførelsen af målene for bæredygtig </w:t>
            </w:r>
            <w:r>
              <w:rPr>
                <w:rFonts w:ascii="Times New Roman" w:hAnsi="Times New Roman"/>
                <w:noProof/>
                <w:sz w:val="24"/>
                <w:u w:color="000000"/>
              </w:rPr>
              <w:t>udvikling.</w:t>
            </w:r>
          </w:p>
        </w:tc>
      </w:tr>
    </w:tbl>
    <w:p w:rsidR="000E3A3F" w:rsidRDefault="000E3A3F">
      <w:pPr>
        <w:autoSpaceDE w:val="0"/>
        <w:autoSpaceDN w:val="0"/>
        <w:adjustRightInd w:val="0"/>
        <w:spacing w:after="0" w:line="240" w:lineRule="auto"/>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0E3A3F">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For og imod</w:t>
            </w:r>
          </w:p>
        </w:tc>
      </w:tr>
      <w:tr w:rsidR="000E3A3F">
        <w:trPr>
          <w:trHeight w:val="476"/>
        </w:trPr>
        <w:tc>
          <w:tcPr>
            <w:tcW w:w="5000" w:type="pct"/>
            <w:tcBorders>
              <w:top w:val="single" w:sz="4" w:space="0" w:color="auto"/>
              <w:left w:val="single" w:sz="4" w:space="0" w:color="auto"/>
              <w:right w:val="single" w:sz="4" w:space="0" w:color="auto"/>
            </w:tcBorders>
          </w:tcPr>
          <w:p w:rsidR="000E3A3F" w:rsidRDefault="000E3A3F">
            <w:pPr>
              <w:pStyle w:val="ListParagraph"/>
              <w:autoSpaceDE w:val="0"/>
              <w:autoSpaceDN w:val="0"/>
              <w:adjustRightInd w:val="0"/>
              <w:ind w:left="360"/>
              <w:jc w:val="both"/>
              <w:rPr>
                <w:rFonts w:ascii="Times New Roman" w:hAnsi="Times New Roman" w:cs="Times New Roman"/>
                <w:noProof/>
                <w:sz w:val="24"/>
                <w:szCs w:val="24"/>
                <w:u w:color="000000"/>
              </w:rPr>
            </w:pP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Skabelse af en stærk fælles positiv vision for en bæredygtig europæisk fremtid i hele EU</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Styrkelse af det politiske ejerskab og bedre koordinering på tværs af alle forvaltningsniveauer inden for EU samt – på baggrund af den </w:t>
            </w:r>
            <w:r>
              <w:rPr>
                <w:rFonts w:ascii="Times New Roman" w:hAnsi="Times New Roman"/>
                <w:noProof/>
                <w:sz w:val="24"/>
                <w:u w:color="000000"/>
              </w:rPr>
              <w:t>grænseoverskridende natur af udfordringerne i EU – bedre mulighed for at gennemføre FN's 2030-dagsorden og sikre grøn og inklusiv vækst i EU</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Et stærkt signal på internationalt plan om, at EU er fuldt engageret i sine internationale forpligtelser, FN's 2030</w:t>
            </w:r>
            <w:r>
              <w:rPr>
                <w:rFonts w:ascii="Times New Roman" w:hAnsi="Times New Roman"/>
                <w:noProof/>
                <w:sz w:val="24"/>
                <w:u w:color="000000"/>
              </w:rPr>
              <w:t>-dagsorden og målene for bæredygtig udvikling, både internt og eksternt</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Klar og gennemsigtig kommunikation og inddragelse af interessenter</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Risiko for, at fremgangsmåden ikke er tilstrækkelig tilpasset de særlige forhold og udfordringer i de enkelte medlems</w:t>
            </w:r>
            <w:r>
              <w:rPr>
                <w:rFonts w:ascii="Times New Roman" w:hAnsi="Times New Roman"/>
                <w:noProof/>
                <w:sz w:val="24"/>
                <w:u w:color="000000"/>
              </w:rPr>
              <w:t>stater, idet den strategiske ramme ikke kan tage højde for alle forskellene</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Risiko for, at der i betragtning af kompleksiteten af at aftale EU-dækkende mål på alle de forskellige områder omfattet af målene for bæredygtig udvikling vil blive brugt meget tid</w:t>
            </w:r>
            <w:r>
              <w:rPr>
                <w:rFonts w:ascii="Times New Roman" w:hAnsi="Times New Roman"/>
                <w:noProof/>
                <w:sz w:val="24"/>
                <w:u w:color="000000"/>
              </w:rPr>
              <w:t xml:space="preserve"> på strategiudvikling i stedet for at gå videre på konkrete politikområder på alle de niveauer, hvor der vil kunne gøres en forskel.</w:t>
            </w:r>
          </w:p>
        </w:tc>
      </w:tr>
    </w:tbl>
    <w:p w:rsidR="000E3A3F" w:rsidRDefault="000E3A3F">
      <w:pPr>
        <w:autoSpaceDE w:val="0"/>
        <w:autoSpaceDN w:val="0"/>
        <w:adjustRightInd w:val="0"/>
        <w:spacing w:after="0" w:line="240" w:lineRule="auto"/>
        <w:rPr>
          <w:rFonts w:ascii="Times New Roman" w:hAnsi="Times New Roman" w:cs="Times New Roman"/>
          <w:noProof/>
          <w:sz w:val="24"/>
          <w:szCs w:val="24"/>
          <w:u w:color="000000"/>
        </w:rPr>
      </w:pPr>
      <w:bookmarkStart w:id="47" w:name="_Toc524344290"/>
    </w:p>
    <w:p w:rsidR="000E3A3F" w:rsidRDefault="00B958E1">
      <w:pPr>
        <w:rPr>
          <w:rFonts w:ascii="Times New Roman" w:hAnsi="Times New Roman" w:cs="Times New Roman"/>
          <w:b/>
          <w:noProof/>
          <w:sz w:val="24"/>
          <w:szCs w:val="24"/>
          <w:u w:color="000000"/>
        </w:rPr>
        <w:sectPr w:rsidR="000E3A3F">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17" w:right="1417" w:bottom="1417" w:left="1417" w:header="708" w:footer="708" w:gutter="0"/>
          <w:cols w:space="708"/>
          <w:docGrid w:linePitch="360"/>
        </w:sectPr>
      </w:pPr>
      <w:bookmarkStart w:id="48" w:name="_Toc529790808"/>
      <w:r>
        <w:rPr>
          <w:rFonts w:ascii="Times New Roman" w:hAnsi="Times New Roman"/>
          <w:b/>
          <w:noProof/>
          <w:color w:val="4F81BD" w:themeColor="accent1"/>
          <w:sz w:val="24"/>
          <w:u w:color="000000"/>
        </w:rPr>
        <w:t>Scenarie 2: Fortsat integration af målene for bæredygtig udvi</w:t>
      </w:r>
      <w:r>
        <w:rPr>
          <w:rFonts w:ascii="Times New Roman" w:hAnsi="Times New Roman"/>
          <w:b/>
          <w:noProof/>
          <w:color w:val="4F81BD" w:themeColor="accent1"/>
          <w:sz w:val="24"/>
          <w:u w:color="000000"/>
        </w:rPr>
        <w:t>kling i alle relevante EU-politikker</w:t>
      </w:r>
      <w:bookmarkEnd w:id="47"/>
      <w:bookmarkEnd w:id="48"/>
      <w:r>
        <w:rPr>
          <w:rFonts w:ascii="Times New Roman" w:hAnsi="Times New Roman"/>
          <w:b/>
          <w:noProof/>
          <w:color w:val="4F81BD" w:themeColor="accent1"/>
          <w:sz w:val="24"/>
          <w:u w:color="000000"/>
        </w:rPr>
        <w:t xml:space="preserve"> gennemføres af Kommissionen, men de enkelte medlemsstater kan ikke pålægges at handle</w:t>
      </w:r>
    </w:p>
    <w:p w:rsidR="000E3A3F" w:rsidRDefault="00B958E1">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I dette scenarie vil målene for bæredygtig udvikling fortsætte med at inspirere vores politiske beslutningstagning i EU-regi og være </w:t>
      </w:r>
      <w:r>
        <w:rPr>
          <w:rFonts w:ascii="Times New Roman" w:hAnsi="Times New Roman"/>
          <w:noProof/>
          <w:sz w:val="24"/>
          <w:u w:color="000000"/>
        </w:rPr>
        <w:t>styrende for udarbejdelsen af EU's vækststrategi for perioden efter 2020, men EU's medlemsstater vil ikke være forpligtet til kollektivt at nå målene for bæredygtig udvikling i EU.</w:t>
      </w:r>
    </w:p>
    <w:p w:rsidR="000E3A3F" w:rsidRDefault="000E3A3F">
      <w:pPr>
        <w:autoSpaceDE w:val="0"/>
        <w:autoSpaceDN w:val="0"/>
        <w:adjustRightInd w:val="0"/>
        <w:spacing w:after="0" w:line="240" w:lineRule="auto"/>
        <w:jc w:val="both"/>
        <w:rPr>
          <w:rFonts w:ascii="Times New Roman" w:hAnsi="Times New Roman" w:cs="Times New Roman"/>
          <w:noProof/>
          <w:sz w:val="24"/>
          <w:szCs w:val="24"/>
          <w:u w:color="000000"/>
        </w:rPr>
      </w:pP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 Europa-Kommissionen vil dette kunne betyde, at et medlem af kollegiet få</w:t>
      </w:r>
      <w:r>
        <w:rPr>
          <w:rFonts w:ascii="Times New Roman" w:hAnsi="Times New Roman"/>
          <w:noProof/>
          <w:sz w:val="24"/>
          <w:u w:color="000000"/>
        </w:rPr>
        <w:t>r tildelt et bredt ansvar for "bæredygtighed". Denne kommissær vil kunne arbejde videre med andre kommissærer i en særlig projektgruppe med deltagelse af alle kommissærer. For at sikre den politiske sammenhæng vil det være nødvendigt med tæt samarbejde med</w:t>
      </w:r>
      <w:r>
        <w:rPr>
          <w:rFonts w:ascii="Times New Roman" w:hAnsi="Times New Roman"/>
          <w:noProof/>
          <w:sz w:val="24"/>
          <w:u w:color="000000"/>
        </w:rPr>
        <w:t xml:space="preserve"> andre kommisærprojektgrupper.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Gennem dagsordenen om bedre regulering vil Kommissionen kunne fortsætte med at sikre en inkluderende og evidensbaseret beslutningsproces. I kombination med stærkere integration af målene for bæredygtig udvikling i det europæ</w:t>
      </w:r>
      <w:r>
        <w:rPr>
          <w:rFonts w:ascii="Times New Roman" w:hAnsi="Times New Roman"/>
          <w:noProof/>
          <w:sz w:val="24"/>
          <w:u w:color="000000"/>
        </w:rPr>
        <w:t xml:space="preserve">iske semester i overensstemmelse med EU's vækststrategi for perioden efter 2020 styrkes sammenhængen i EU's politikker, og det sikres, at EU rykker nærmere opfyldelsen af målene for bæredygtig udvikling.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Med denne tilgang vil det imidlertid i højere grad </w:t>
      </w:r>
      <w:r>
        <w:rPr>
          <w:rFonts w:ascii="Times New Roman" w:hAnsi="Times New Roman"/>
          <w:noProof/>
          <w:sz w:val="24"/>
          <w:u w:color="000000"/>
        </w:rPr>
        <w:t>være overladt til medlemsstaterne og regionale og lokale myndigheder at tilpasse deres indsats med henblik på en konsistent opfyldelse af målene for bæredygtig udvikling.</w:t>
      </w: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sectPr w:rsidR="000E3A3F">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417" w:right="1417" w:bottom="1417" w:left="1417" w:header="708" w:footer="708" w:gutter="0"/>
          <w:cols w:num="2" w:space="708"/>
          <w:docGrid w:linePitch="360"/>
        </w:sectPr>
      </w:pPr>
    </w:p>
    <w:tbl>
      <w:tblPr>
        <w:tblStyle w:val="TableGrid"/>
        <w:tblW w:w="5000" w:type="pct"/>
        <w:tblLook w:val="04A0" w:firstRow="1" w:lastRow="0" w:firstColumn="1" w:lastColumn="0" w:noHBand="0" w:noVBand="1"/>
      </w:tblPr>
      <w:tblGrid>
        <w:gridCol w:w="9288"/>
      </w:tblGrid>
      <w:tr w:rsidR="000E3A3F">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Hvad det betyder i</w:t>
            </w:r>
            <w:r>
              <w:rPr>
                <w:rFonts w:ascii="Times New Roman" w:hAnsi="Times New Roman"/>
                <w:b/>
                <w:noProof/>
                <w:color w:val="548DD4" w:themeColor="text2" w:themeTint="99"/>
                <w:sz w:val="24"/>
                <w:u w:color="000000"/>
              </w:rPr>
              <w:t xml:space="preserve"> praksis</w:t>
            </w:r>
          </w:p>
        </w:tc>
      </w:tr>
      <w:tr w:rsidR="000E3A3F">
        <w:trPr>
          <w:trHeight w:val="902"/>
        </w:trPr>
        <w:tc>
          <w:tcPr>
            <w:tcW w:w="5000" w:type="pct"/>
            <w:tcBorders>
              <w:top w:val="single" w:sz="4" w:space="0" w:color="auto"/>
              <w:left w:val="single" w:sz="4" w:space="0" w:color="auto"/>
              <w:bottom w:val="single" w:sz="4" w:space="0" w:color="auto"/>
              <w:right w:val="single" w:sz="4" w:space="0" w:color="auto"/>
            </w:tcBorders>
          </w:tcPr>
          <w:p w:rsidR="000E3A3F" w:rsidRDefault="000E3A3F">
            <w:pPr>
              <w:autoSpaceDE w:val="0"/>
              <w:autoSpaceDN w:val="0"/>
              <w:adjustRightInd w:val="0"/>
              <w:rPr>
                <w:rFonts w:ascii="Times New Roman" w:hAnsi="Times New Roman" w:cs="Times New Roman"/>
                <w:b/>
                <w:noProof/>
                <w:color w:val="548DD4" w:themeColor="text2" w:themeTint="99"/>
                <w:sz w:val="24"/>
                <w:szCs w:val="24"/>
                <w:u w:color="000000"/>
              </w:rPr>
            </w:pP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Målene for bæredygtig udvikling anvendes som rettesnor for EU's vækststrategi for perioden efter 2020 med fokus på de områder, hvor der er størst EU-merværdi, f.eks. den cirkulære økonomi, forskning og innovation, beskæftigelse og social </w:t>
            </w:r>
            <w:r>
              <w:rPr>
                <w:rFonts w:ascii="Times New Roman" w:hAnsi="Times New Roman"/>
                <w:noProof/>
                <w:sz w:val="24"/>
                <w:u w:color="000000"/>
              </w:rPr>
              <w:t>inklusion, klima og energi, fødevaresystemer, landbrug og arealanvendelse samt samhørighedspolitikken</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Målene for bæredygtig udvikling integreres gennem EU's politikker og tiltag, gennem dagsordenen for bedre regulering, og tilpasses den specifikke EU-samme</w:t>
            </w:r>
            <w:r>
              <w:rPr>
                <w:rFonts w:ascii="Times New Roman" w:hAnsi="Times New Roman"/>
                <w:noProof/>
                <w:sz w:val="24"/>
                <w:u w:color="000000"/>
              </w:rPr>
              <w:t xml:space="preserve">nhæng med delte kompetencer med medlemsstaterne </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Den flerårige finansielle ramme (FFR) anvendes til at yde en del af den nødvendige yderligere finansiering til at gennemføre integrationen af bæredygtighed. Medlemsstaterne forpligter sig til at gøre det sam</w:t>
            </w:r>
            <w:r>
              <w:rPr>
                <w:rFonts w:ascii="Times New Roman" w:hAnsi="Times New Roman"/>
                <w:noProof/>
                <w:sz w:val="24"/>
                <w:u w:color="000000"/>
              </w:rPr>
              <w:t>me</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Målene for bæredygtig udvikling og relevante EU-mål inddrages i processen i forbindelse med det europæiske semester, når det relevant i forhold til vækststrategien for perioden efter 2020</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Kapitlerne om handel og bæredygtighed styrkes efter behov i forbi</w:t>
            </w:r>
            <w:r>
              <w:rPr>
                <w:rFonts w:ascii="Times New Roman" w:hAnsi="Times New Roman"/>
                <w:noProof/>
                <w:sz w:val="24"/>
                <w:u w:color="000000"/>
              </w:rPr>
              <w:t>ndelse med modernisering af EU's frihandelsaftaler og forhandling af fremtidige handelsaftaler, og der sikres en effektiv håndhævelse heraf</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Gennemførelsen af målene for bæredygtig udvikling overvåges af EU gennem Eurostats analyse af fremskridtene med måle</w:t>
            </w:r>
            <w:r>
              <w:rPr>
                <w:rFonts w:ascii="Times New Roman" w:hAnsi="Times New Roman"/>
                <w:noProof/>
                <w:sz w:val="24"/>
                <w:u w:color="000000"/>
              </w:rPr>
              <w:t>ne, og denne analyse vil løbende blive videreudviklet. Årlige nationale overvågningsrapporter udarbejdes af medlemsstaterne</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Medlemsstaternes centrale ansvar for rapportering af gennemførelsen af målene for bæredygtig udvikling fastholdes, mens Europa-Kommi</w:t>
            </w:r>
            <w:r>
              <w:rPr>
                <w:rFonts w:ascii="Times New Roman" w:hAnsi="Times New Roman"/>
                <w:noProof/>
                <w:sz w:val="24"/>
                <w:u w:color="000000"/>
              </w:rPr>
              <w:t xml:space="preserve">ssionen supplerer med rapportering om fremskridt med hensyn til målene for bæredygtig udvikling på internationalt niveau til FN's Politiske Forum på Højt Niveau vedrørende Bæredygtig Udvikling. </w:t>
            </w:r>
          </w:p>
          <w:p w:rsidR="000E3A3F" w:rsidRDefault="000E3A3F">
            <w:pPr>
              <w:autoSpaceDE w:val="0"/>
              <w:autoSpaceDN w:val="0"/>
              <w:adjustRightInd w:val="0"/>
              <w:jc w:val="both"/>
              <w:rPr>
                <w:rFonts w:ascii="Times New Roman" w:hAnsi="Times New Roman" w:cs="Times New Roman"/>
                <w:noProof/>
                <w:sz w:val="24"/>
                <w:szCs w:val="24"/>
                <w:u w:color="000000"/>
              </w:rPr>
            </w:pPr>
          </w:p>
        </w:tc>
      </w:tr>
      <w:tr w:rsidR="000E3A3F">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For og imod</w:t>
            </w:r>
          </w:p>
        </w:tc>
      </w:tr>
      <w:tr w:rsidR="000E3A3F">
        <w:trPr>
          <w:trHeight w:val="144"/>
        </w:trPr>
        <w:tc>
          <w:tcPr>
            <w:tcW w:w="5000" w:type="pct"/>
            <w:tcBorders>
              <w:top w:val="single" w:sz="4" w:space="0" w:color="auto"/>
              <w:left w:val="single" w:sz="4" w:space="0" w:color="auto"/>
              <w:bottom w:val="single" w:sz="4" w:space="0" w:color="auto"/>
              <w:right w:val="single" w:sz="4" w:space="0" w:color="auto"/>
            </w:tcBorders>
          </w:tcPr>
          <w:p w:rsidR="000E3A3F" w:rsidRDefault="000E3A3F">
            <w:pPr>
              <w:autoSpaceDE w:val="0"/>
              <w:autoSpaceDN w:val="0"/>
              <w:adjustRightInd w:val="0"/>
              <w:rPr>
                <w:rFonts w:ascii="Times New Roman" w:hAnsi="Times New Roman" w:cs="Times New Roman"/>
                <w:b/>
                <w:noProof/>
                <w:color w:val="548DD4" w:themeColor="text2" w:themeTint="99"/>
                <w:sz w:val="24"/>
                <w:szCs w:val="24"/>
                <w:u w:color="000000"/>
              </w:rPr>
            </w:pP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Eftersom de mest kritiske områder for EU med </w:t>
            </w:r>
            <w:r>
              <w:rPr>
                <w:rFonts w:ascii="Times New Roman" w:hAnsi="Times New Roman"/>
                <w:noProof/>
                <w:sz w:val="24"/>
                <w:u w:color="000000"/>
              </w:rPr>
              <w:t>hensyn til at nå målene for bæredygtig udvikling stort set ligger fast, kan EU fokusere på at fastlægge strategiske prioriteter og levere konkrete resultater på de områder, hvor der kan opnås størst EU-merværdi</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Beslutningstagningen på EU-plan er hurtigere,</w:t>
            </w:r>
            <w:r>
              <w:rPr>
                <w:rFonts w:ascii="Times New Roman" w:hAnsi="Times New Roman"/>
                <w:noProof/>
                <w:sz w:val="24"/>
                <w:u w:color="000000"/>
              </w:rPr>
              <w:t xml:space="preserve"> og forhandlingerne om strategiske prioriteter er præget af større konsensus </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EU vil fortsætte med at være en global fortaler for FN's 2030-dagsorden og målene for bæredygtig udvikling</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Det vil blive vanskeligere at sikre sammenhængen mellem politikker på o</w:t>
            </w:r>
            <w:r>
              <w:rPr>
                <w:rFonts w:ascii="Times New Roman" w:hAnsi="Times New Roman"/>
                <w:noProof/>
                <w:sz w:val="24"/>
                <w:u w:color="000000"/>
              </w:rPr>
              <w:t>mrådet bæredygtig udvikling på EU-plan og mellem EU-politikker og nationale politikker på området</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Der er en risiko for, at EU og medlemsstaterne ikke kan leve op til deres fælles tilsagn med hensyn til bæredygtighed, og at medlemsstaterne ikke kan pålægges</w:t>
            </w:r>
            <w:r>
              <w:rPr>
                <w:rFonts w:ascii="Times New Roman" w:hAnsi="Times New Roman"/>
                <w:noProof/>
                <w:sz w:val="24"/>
                <w:u w:color="000000"/>
              </w:rPr>
              <w:t xml:space="preserve"> at handle på området</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 stedet for en højere grad af koordinering på EU-plan vil de enkelte medlemsstater kunne iværksætte tiltag på visse centrale områder, som kan påvirke det indre marked og den globale konkurrenceevne</w:t>
            </w:r>
          </w:p>
          <w:p w:rsidR="000E3A3F" w:rsidRDefault="00B958E1">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Der er en risiko for uoverensstemme</w:t>
            </w:r>
            <w:r>
              <w:rPr>
                <w:rFonts w:ascii="Times New Roman" w:hAnsi="Times New Roman"/>
                <w:noProof/>
                <w:sz w:val="24"/>
                <w:u w:color="000000"/>
              </w:rPr>
              <w:t>lse mellem EU's politiske tilsagn med hensyn til at nå målene for bæredygtig udvikling og de opnåede resultater.</w:t>
            </w:r>
          </w:p>
        </w:tc>
      </w:tr>
    </w:tbl>
    <w:p w:rsidR="000E3A3F" w:rsidRDefault="000E3A3F">
      <w:pPr>
        <w:pStyle w:val="Heading2"/>
        <w:numPr>
          <w:ilvl w:val="0"/>
          <w:numId w:val="0"/>
        </w:numPr>
        <w:spacing w:line="240" w:lineRule="auto"/>
        <w:rPr>
          <w:rFonts w:ascii="Times New Roman" w:hAnsi="Times New Roman" w:cs="Times New Roman"/>
          <w:noProof/>
          <w:sz w:val="24"/>
          <w:szCs w:val="24"/>
          <w:u w:color="000000"/>
        </w:rPr>
      </w:pPr>
      <w:bookmarkStart w:id="49" w:name="_Toc524344291"/>
    </w:p>
    <w:p w:rsidR="000E3A3F" w:rsidRDefault="00B958E1">
      <w:pPr>
        <w:rPr>
          <w:rFonts w:ascii="Times New Roman" w:hAnsi="Times New Roman" w:cs="Times New Roman"/>
          <w:b/>
          <w:noProof/>
          <w:color w:val="4F81BD" w:themeColor="accent1"/>
          <w:sz w:val="24"/>
          <w:szCs w:val="24"/>
          <w:u w:color="000000"/>
        </w:rPr>
      </w:pPr>
      <w:bookmarkStart w:id="50" w:name="_Toc529790809"/>
      <w:r>
        <w:rPr>
          <w:rFonts w:ascii="Times New Roman" w:hAnsi="Times New Roman"/>
          <w:b/>
          <w:noProof/>
          <w:color w:val="4F81BD" w:themeColor="accent1"/>
          <w:sz w:val="24"/>
          <w:u w:color="000000"/>
        </w:rPr>
        <w:t xml:space="preserve">Scenarie 3: </w:t>
      </w:r>
      <w:bookmarkEnd w:id="49"/>
      <w:bookmarkEnd w:id="50"/>
      <w:r>
        <w:rPr>
          <w:rFonts w:ascii="Times New Roman" w:hAnsi="Times New Roman"/>
          <w:b/>
          <w:noProof/>
          <w:color w:val="4F81BD" w:themeColor="accent1"/>
          <w:sz w:val="24"/>
        </w:rPr>
        <w:t>Øget fokus på eksterne tiltag og konsolidering af de nuværende ambitioner for bæredygtighed på EU-plan</w:t>
      </w:r>
    </w:p>
    <w:p w:rsidR="000E3A3F" w:rsidRDefault="000E3A3F">
      <w:pPr>
        <w:spacing w:after="0" w:line="240" w:lineRule="auto"/>
        <w:rPr>
          <w:rFonts w:ascii="Times New Roman" w:hAnsi="Times New Roman" w:cs="Times New Roman"/>
          <w:noProof/>
          <w:sz w:val="24"/>
          <w:szCs w:val="24"/>
        </w:rPr>
      </w:pPr>
    </w:p>
    <w:p w:rsidR="000E3A3F" w:rsidRDefault="000E3A3F">
      <w:pPr>
        <w:spacing w:after="0" w:line="240" w:lineRule="auto"/>
        <w:rPr>
          <w:rFonts w:ascii="Times New Roman" w:hAnsi="Times New Roman" w:cs="Times New Roman"/>
          <w:noProof/>
          <w:sz w:val="24"/>
          <w:szCs w:val="24"/>
          <w:u w:color="000000"/>
        </w:rPr>
        <w:sectPr w:rsidR="000E3A3F">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17" w:right="1417" w:bottom="1417" w:left="1417" w:header="708" w:footer="708" w:gutter="0"/>
          <w:cols w:space="708"/>
          <w:docGrid w:linePitch="360"/>
        </w:sectPr>
      </w:pP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Eksterne tiltag vil blive prioriteret i forbindelse med målene for bæredygtig udvikling. Da EU allerede er førende inden for mange aspekter vedrørende målene for bæredygtig udvikling, vil der blive rettet et større fokus mod, at resten af verden når op på </w:t>
      </w:r>
      <w:r>
        <w:rPr>
          <w:rFonts w:ascii="Times New Roman" w:hAnsi="Times New Roman"/>
          <w:noProof/>
          <w:sz w:val="24"/>
          <w:u w:color="000000"/>
        </w:rPr>
        <w:t xml:space="preserve">vores niveau, samtidig med at der indføres forbedringer på EU-plan. </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Vores sociale markedsøkonomi er blevet et EU-varemærke og har gjort det muligt for EU-medlemsstaternes økonomier at skabe velstand og bredt funderet fremgang takket være de stærke sociale</w:t>
      </w:r>
      <w:r>
        <w:rPr>
          <w:rFonts w:ascii="Times New Roman" w:hAnsi="Times New Roman"/>
          <w:noProof/>
          <w:sz w:val="24"/>
          <w:u w:color="000000"/>
        </w:rPr>
        <w:t xml:space="preserve"> velfærdssystemer. EU har allerede nogle af verdens højeste miljøstandarder, og vores virksomheder er på forkant med udviklingen i forhold til konkurrenterne på verdensplan. Unionen opfattes også som en højborg for frihed og demokrati med stabile instituti</w:t>
      </w:r>
      <w:r>
        <w:rPr>
          <w:rFonts w:ascii="Times New Roman" w:hAnsi="Times New Roman"/>
          <w:noProof/>
          <w:sz w:val="24"/>
          <w:u w:color="000000"/>
        </w:rPr>
        <w:t>oner, der bygger på retsstatsprincippet og et dynamisk civilsamfund. EU vil derfor kunne beslutte i højere grad at fremme sine nuværende miljømæssige, sociale og forvaltningsmæssige standarder i multilaterale forhandlinger og handelsaftaler.</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EU kunne også </w:t>
      </w:r>
      <w:r>
        <w:rPr>
          <w:rFonts w:ascii="Times New Roman" w:hAnsi="Times New Roman"/>
          <w:noProof/>
          <w:sz w:val="24"/>
          <w:u w:color="000000"/>
        </w:rPr>
        <w:t>intensivere sit samarbejde med centrale internationale organisationer og fora yderligere, f.eks. med FN, Den Internationale Arbejdsorganisation, Verdenshandelsorganisationen og G20 samt med tilsynsorganerne for multilaterale miljøaftaler, med henblik på at</w:t>
      </w:r>
      <w:r>
        <w:rPr>
          <w:rFonts w:ascii="Times New Roman" w:hAnsi="Times New Roman"/>
          <w:noProof/>
          <w:sz w:val="24"/>
          <w:u w:color="000000"/>
        </w:rPr>
        <w:t xml:space="preserve"> fremme EU's værdibaserede udenrigspolitiske dagsorden.</w:t>
      </w:r>
    </w:p>
    <w:p w:rsidR="000E3A3F" w:rsidRDefault="00B958E1">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EU's støtte til multilateralisme </w:t>
      </w:r>
      <w:r>
        <w:rPr>
          <w:rFonts w:ascii="Times New Roman" w:hAnsi="Times New Roman"/>
          <w:noProof/>
          <w:sz w:val="24"/>
        </w:rPr>
        <w:t>– med FN som det centrale led – og gennemsigtige og pålidelige internationale relationer vil fortsat blive prioriteret.</w:t>
      </w: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pPr>
    </w:p>
    <w:p w:rsidR="000E3A3F" w:rsidRDefault="000E3A3F">
      <w:pPr>
        <w:spacing w:line="240" w:lineRule="auto"/>
        <w:jc w:val="both"/>
        <w:rPr>
          <w:rFonts w:ascii="Times New Roman" w:hAnsi="Times New Roman" w:cs="Times New Roman"/>
          <w:noProof/>
          <w:sz w:val="24"/>
          <w:szCs w:val="24"/>
          <w:u w:color="000000"/>
        </w:rPr>
        <w:sectPr w:rsidR="000E3A3F">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17" w:right="1417" w:bottom="1417" w:left="1417" w:header="708" w:footer="708" w:gutter="0"/>
          <w:cols w:num="2" w:space="708"/>
          <w:docGrid w:linePitch="360"/>
        </w:sectPr>
      </w:pPr>
    </w:p>
    <w:tbl>
      <w:tblPr>
        <w:tblStyle w:val="TableGrid"/>
        <w:tblW w:w="4903" w:type="pct"/>
        <w:tblLook w:val="04A0" w:firstRow="1" w:lastRow="0" w:firstColumn="1" w:lastColumn="0" w:noHBand="0" w:noVBand="1"/>
      </w:tblPr>
      <w:tblGrid>
        <w:gridCol w:w="9108"/>
      </w:tblGrid>
      <w:tr w:rsidR="000E3A3F">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Hvad det betyder i praksis</w:t>
            </w:r>
          </w:p>
        </w:tc>
      </w:tr>
      <w:tr w:rsidR="000E3A3F">
        <w:tc>
          <w:tcPr>
            <w:tcW w:w="5000" w:type="pct"/>
            <w:tcBorders>
              <w:top w:val="single" w:sz="4" w:space="0" w:color="auto"/>
              <w:left w:val="single" w:sz="4" w:space="0" w:color="auto"/>
              <w:bottom w:val="single" w:sz="4" w:space="0" w:color="auto"/>
              <w:right w:val="single" w:sz="4" w:space="0" w:color="auto"/>
            </w:tcBorders>
          </w:tcPr>
          <w:p w:rsidR="000E3A3F" w:rsidRDefault="000E3A3F">
            <w:pPr>
              <w:pStyle w:val="ListParagraph"/>
              <w:autoSpaceDE w:val="0"/>
              <w:autoSpaceDN w:val="0"/>
              <w:adjustRightInd w:val="0"/>
              <w:ind w:left="360"/>
              <w:jc w:val="both"/>
              <w:rPr>
                <w:rFonts w:ascii="Times New Roman" w:hAnsi="Times New Roman" w:cs="Times New Roman"/>
                <w:noProof/>
                <w:sz w:val="24"/>
                <w:szCs w:val="24"/>
                <w:u w:color="000000"/>
              </w:rPr>
            </w:pP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Integrationen af målene for bæredygtig udvikling i EU's eksterne politikker fortsættes, og forskellige behov og interesser hos partnere anerkendes, mens der i mindre grad foretages interne justeringer</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Regelmæssig og detaljeret rapportering og overvågning af processen vedrørende målene for bæredygtig udvikling i forbindelse med EU's eksterne tiltag foretages af EU på internationalt plan inden for rammerne af FN</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Kapitlerne om handel og bæredygtighed styr</w:t>
            </w:r>
            <w:r>
              <w:rPr>
                <w:rFonts w:ascii="Times New Roman" w:hAnsi="Times New Roman"/>
                <w:noProof/>
                <w:sz w:val="24"/>
                <w:u w:color="000000"/>
              </w:rPr>
              <w:t>kes efter behov i forbindelse med modernisering af EU's frihandelsaftaler og forhandling af fremtidige handelsaftaler, og der sikres en effektiv håndhævelse heraf</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Gennemførelsen af den globale strategi for EU's udenrigs- og sikkerhedspolitik og den nye eur</w:t>
            </w:r>
            <w:r>
              <w:rPr>
                <w:rFonts w:ascii="Times New Roman" w:hAnsi="Times New Roman"/>
                <w:noProof/>
                <w:sz w:val="24"/>
                <w:u w:color="000000"/>
              </w:rPr>
              <w:t>opæiske konsensus om udvikling styrkes</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Politikområderne forsvar, rumfart, sikkerhed og migration søges styrket, idet de som understøttende politikker bidrager til at fremme den eksterne politiske dagsorden for bæredygtig udvikling </w:t>
            </w:r>
          </w:p>
          <w:p w:rsidR="000E3A3F" w:rsidRDefault="00B958E1">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Nye former for bæredygti</w:t>
            </w:r>
            <w:r>
              <w:rPr>
                <w:rFonts w:ascii="Times New Roman" w:hAnsi="Times New Roman"/>
                <w:noProof/>
                <w:sz w:val="24"/>
                <w:u w:color="000000"/>
              </w:rPr>
              <w:t xml:space="preserve">g finansiering og udvikling styrkes, f.eks. den eksterne investeringsplan. </w:t>
            </w:r>
          </w:p>
        </w:tc>
      </w:tr>
    </w:tbl>
    <w:p w:rsidR="000E3A3F" w:rsidRDefault="000E3A3F">
      <w:pPr>
        <w:spacing w:line="240" w:lineRule="auto"/>
        <w:jc w:val="both"/>
        <w:rPr>
          <w:rFonts w:ascii="Times New Roman" w:hAnsi="Times New Roman" w:cs="Times New Roman"/>
          <w:noProof/>
          <w:sz w:val="24"/>
          <w:szCs w:val="24"/>
        </w:rPr>
      </w:pPr>
    </w:p>
    <w:tbl>
      <w:tblPr>
        <w:tblStyle w:val="TableGrid"/>
        <w:tblW w:w="4903" w:type="pct"/>
        <w:tblLook w:val="04A0" w:firstRow="1" w:lastRow="0" w:firstColumn="1" w:lastColumn="0" w:noHBand="0" w:noVBand="1"/>
      </w:tblPr>
      <w:tblGrid>
        <w:gridCol w:w="9108"/>
      </w:tblGrid>
      <w:tr w:rsidR="000E3A3F">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3A3F" w:rsidRDefault="00B958E1">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For og imod</w:t>
            </w:r>
          </w:p>
        </w:tc>
      </w:tr>
      <w:tr w:rsidR="000E3A3F">
        <w:tc>
          <w:tcPr>
            <w:tcW w:w="5000" w:type="pct"/>
            <w:tcBorders>
              <w:top w:val="single" w:sz="4" w:space="0" w:color="auto"/>
              <w:left w:val="single" w:sz="4" w:space="0" w:color="auto"/>
              <w:bottom w:val="single" w:sz="4" w:space="0" w:color="auto"/>
              <w:right w:val="single" w:sz="4" w:space="0" w:color="auto"/>
            </w:tcBorders>
          </w:tcPr>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EU's ressourcer koncentreres om de lande eller regioner, der har størst behov, samtidig med at justeringen af EU's politikker gennem integration af målene for </w:t>
            </w:r>
            <w:r>
              <w:rPr>
                <w:rFonts w:ascii="Times New Roman" w:hAnsi="Times New Roman"/>
                <w:noProof/>
                <w:sz w:val="24"/>
                <w:u w:color="000000"/>
              </w:rPr>
              <w:t>bæredygtig udvikling foretages uden en særlig strategisk ramme herfor</w:t>
            </w:r>
          </w:p>
          <w:p w:rsidR="000E3A3F" w:rsidRDefault="00B958E1">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Der sikres sammenhæng mellem EU's eksterne tiltag og Unionens målsætninger om at fremme bæredygtighed, demokrati, menneskerettigheder, retsstatsprincippet og de grundlæggende frihedsrett</w:t>
            </w:r>
            <w:r>
              <w:rPr>
                <w:rFonts w:ascii="Times New Roman" w:hAnsi="Times New Roman"/>
                <w:noProof/>
                <w:sz w:val="24"/>
                <w:u w:color="000000"/>
              </w:rPr>
              <w:t>igheder i verden</w:t>
            </w:r>
          </w:p>
          <w:p w:rsidR="000E3A3F" w:rsidRDefault="00B958E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 xml:space="preserve">Der er en risiko, at denne tilgang vil undergrave EU's politiske troværdighed og lederskab både hjemme og globalt med hensyn til FN's 2030-dagsorden og målene for bæredygtig udvikling på et tidspunkt, hvor multilateralismen er under pres. </w:t>
            </w:r>
            <w:r>
              <w:rPr>
                <w:rFonts w:ascii="Times New Roman" w:hAnsi="Times New Roman"/>
                <w:noProof/>
                <w:sz w:val="24"/>
                <w:u w:color="000000"/>
              </w:rPr>
              <w:t xml:space="preserve">Det er et vigtigt aspekt ved FN's 2030-dagsorden, som EU aktivt har virket for at fremme, at den er universel </w:t>
            </w:r>
          </w:p>
          <w:p w:rsidR="000E3A3F" w:rsidRDefault="00B958E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EU får ikke udnyttet muligheden for at udvikle en positiv vision for Europa, der bygger på bæredygtighed</w:t>
            </w:r>
          </w:p>
          <w:p w:rsidR="000E3A3F" w:rsidRDefault="00B958E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EU får ikke udnyttet fordelen af at være</w:t>
            </w:r>
            <w:r>
              <w:rPr>
                <w:rFonts w:ascii="Times New Roman" w:hAnsi="Times New Roman"/>
                <w:noProof/>
                <w:sz w:val="24"/>
                <w:u w:color="000000"/>
              </w:rPr>
              <w:t xml:space="preserve"> "first mover" til at fastlægge bæredygtighedsstandarder, som resten af verden kan følge, og risikerer, at gevinsterne ved bæredygtig vækst indkasseres af andre på det globale marked</w:t>
            </w:r>
          </w:p>
          <w:p w:rsidR="000E3A3F" w:rsidRDefault="00B958E1">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rPr>
              <w:t>Konsolideringen af den nuværende EU-politik vedrørende målene for bæredyg</w:t>
            </w:r>
            <w:r>
              <w:rPr>
                <w:rFonts w:ascii="Times New Roman" w:hAnsi="Times New Roman"/>
                <w:noProof/>
                <w:sz w:val="24"/>
              </w:rPr>
              <w:t>tig udvikling risikerer ikke at leve op til borgernes voksende forventninger og ambitioner.</w:t>
            </w:r>
          </w:p>
        </w:tc>
      </w:tr>
    </w:tbl>
    <w:p w:rsidR="000E3A3F" w:rsidRDefault="000E3A3F">
      <w:pPr>
        <w:rPr>
          <w:rFonts w:ascii="Times New Roman" w:hAnsi="Times New Roman" w:cs="Times New Roman"/>
          <w:noProof/>
          <w:sz w:val="24"/>
          <w:szCs w:val="24"/>
        </w:rPr>
      </w:pPr>
    </w:p>
    <w:sectPr w:rsidR="000E3A3F">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A3F" w:rsidRDefault="00B958E1">
      <w:pPr>
        <w:spacing w:after="0" w:line="240" w:lineRule="auto"/>
      </w:pPr>
      <w:r>
        <w:separator/>
      </w:r>
    </w:p>
  </w:endnote>
  <w:endnote w:type="continuationSeparator" w:id="0">
    <w:p w:rsidR="000E3A3F" w:rsidRDefault="00B9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 New">
    <w:altName w:val="Leelawadee UI"/>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237"/>
      <w:docPartObj>
        <w:docPartGallery w:val="Page Numbers (Bottom of Page)"/>
        <w:docPartUnique/>
      </w:docPartObj>
    </w:sdtPr>
    <w:sdtEndPr>
      <w:rPr>
        <w:noProof/>
      </w:rPr>
    </w:sdtEndPr>
    <w:sdtContent>
      <w:p w:rsidR="000E3A3F" w:rsidRDefault="00B958E1">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rsidR="000E3A3F" w:rsidRDefault="000E3A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19420"/>
      <w:docPartObj>
        <w:docPartGallery w:val="Page Numbers (Bottom of Page)"/>
        <w:docPartUnique/>
      </w:docPartObj>
    </w:sdtPr>
    <w:sdtEndPr>
      <w:rPr>
        <w:noProof/>
      </w:rPr>
    </w:sdtEndPr>
    <w:sdtContent>
      <w:p w:rsidR="000E3A3F" w:rsidRDefault="00B958E1">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0E3A3F" w:rsidRDefault="000E3A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813528"/>
      <w:docPartObj>
        <w:docPartGallery w:val="Page Numbers (Bottom of Page)"/>
        <w:docPartUnique/>
      </w:docPartObj>
    </w:sdtPr>
    <w:sdtEndPr>
      <w:rPr>
        <w:noProof/>
      </w:rPr>
    </w:sdtEndPr>
    <w:sdtContent>
      <w:p w:rsidR="000E3A3F" w:rsidRDefault="00B958E1">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45</w:t>
        </w:r>
        <w:r>
          <w:rPr>
            <w:rFonts w:ascii="Times New Roman" w:hAnsi="Times New Roman" w:cs="Times New Roman"/>
            <w:noProof/>
          </w:rPr>
          <w:fldChar w:fldCharType="end"/>
        </w:r>
      </w:p>
    </w:sdtContent>
  </w:sdt>
  <w:p w:rsidR="000E3A3F" w:rsidRDefault="000E3A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FooterCoverPage"/>
      <w:rPr>
        <w:rFonts w:ascii="Arial" w:hAnsi="Arial" w:cs="Arial"/>
        <w:b/>
        <w:sz w:val="48"/>
      </w:rPr>
    </w:pPr>
    <w:r w:rsidRPr="00B958E1">
      <w:rPr>
        <w:rFonts w:ascii="Arial" w:hAnsi="Arial" w:cs="Arial"/>
        <w:b/>
        <w:sz w:val="48"/>
      </w:rPr>
      <w:t>DA</w:t>
    </w:r>
    <w:r w:rsidRPr="00B958E1">
      <w:rPr>
        <w:rFonts w:ascii="Arial" w:hAnsi="Arial" w:cs="Arial"/>
        <w:b/>
        <w:sz w:val="48"/>
      </w:rPr>
      <w:tab/>
    </w:r>
    <w:r w:rsidRPr="00B958E1">
      <w:rPr>
        <w:rFonts w:ascii="Arial" w:hAnsi="Arial" w:cs="Arial"/>
        <w:b/>
        <w:sz w:val="48"/>
      </w:rPr>
      <w:tab/>
    </w:r>
    <w:r w:rsidRPr="00B958E1">
      <w:tab/>
    </w:r>
    <w:r w:rsidRPr="00B958E1">
      <w:rPr>
        <w:rFonts w:ascii="Arial" w:hAnsi="Arial" w:cs="Arial"/>
        <w:b/>
        <w:sz w:val="48"/>
      </w:rPr>
      <w:t>DA</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03229"/>
      <w:docPartObj>
        <w:docPartGallery w:val="Page Numbers (Bottom of Page)"/>
        <w:docPartUnique/>
      </w:docPartObj>
    </w:sdtPr>
    <w:sdtEndPr>
      <w:rPr>
        <w:rFonts w:ascii="Times New Roman" w:hAnsi="Times New Roman" w:cs="Times New Roman"/>
        <w:noProof/>
      </w:rPr>
    </w:sdtEndPr>
    <w:sdtContent>
      <w:p w:rsidR="000E3A3F" w:rsidRDefault="00B958E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noProof/>
          </w:rPr>
          <w:fldChar w:fldCharType="end"/>
        </w:r>
      </w:p>
    </w:sdtContent>
  </w:sdt>
  <w:p w:rsidR="000E3A3F" w:rsidRDefault="000E3A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909431"/>
      <w:docPartObj>
        <w:docPartGallery w:val="Page Numbers (Bottom of Page)"/>
        <w:docPartUnique/>
      </w:docPartObj>
    </w:sdtPr>
    <w:sdtEndPr>
      <w:rPr>
        <w:noProof/>
      </w:rPr>
    </w:sdtEndPr>
    <w:sdtContent>
      <w:p w:rsidR="000E3A3F" w:rsidRDefault="00B958E1">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45</w:t>
        </w:r>
        <w:r>
          <w:rPr>
            <w:rFonts w:ascii="Times New Roman" w:hAnsi="Times New Roman" w:cs="Times New Roman"/>
            <w:noProof/>
          </w:rPr>
          <w:fldChar w:fldCharType="end"/>
        </w:r>
      </w:p>
    </w:sdtContent>
  </w:sdt>
  <w:p w:rsidR="000E3A3F" w:rsidRDefault="000E3A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52478"/>
      <w:docPartObj>
        <w:docPartGallery w:val="Page Numbers (Bottom of Page)"/>
        <w:docPartUnique/>
      </w:docPartObj>
    </w:sdtPr>
    <w:sdtEndPr>
      <w:rPr>
        <w:rFonts w:ascii="Times New Roman" w:hAnsi="Times New Roman" w:cs="Times New Roman"/>
        <w:noProof/>
      </w:rPr>
    </w:sdtEndPr>
    <w:sdtContent>
      <w:p w:rsidR="000E3A3F" w:rsidRDefault="00B958E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46</w:t>
        </w:r>
        <w:r>
          <w:rPr>
            <w:rFonts w:ascii="Times New Roman" w:hAnsi="Times New Roman" w:cs="Times New Roman"/>
            <w:noProof/>
          </w:rPr>
          <w:fldChar w:fldCharType="end"/>
        </w:r>
      </w:p>
    </w:sdtContent>
  </w:sdt>
  <w:p w:rsidR="000E3A3F" w:rsidRDefault="000E3A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081"/>
      <w:docPartObj>
        <w:docPartGallery w:val="Page Numbers (Bottom of Page)"/>
        <w:docPartUnique/>
      </w:docPartObj>
    </w:sdtPr>
    <w:sdtEndPr>
      <w:rPr>
        <w:rFonts w:ascii="Times New Roman" w:hAnsi="Times New Roman" w:cs="Times New Roman"/>
        <w:noProof/>
      </w:rPr>
    </w:sdtEndPr>
    <w:sdtContent>
      <w:p w:rsidR="000E3A3F" w:rsidRDefault="00B958E1">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381575"/>
      <w:docPartObj>
        <w:docPartGallery w:val="Page Numbers (Bottom of Page)"/>
        <w:docPartUnique/>
      </w:docPartObj>
    </w:sdtPr>
    <w:sdtEndPr>
      <w:rPr>
        <w:noProof/>
      </w:rPr>
    </w:sdtEndPr>
    <w:sdtContent>
      <w:p w:rsidR="000E3A3F" w:rsidRDefault="00B958E1">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rsidR="000E3A3F" w:rsidRDefault="000E3A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A3F" w:rsidRDefault="00B958E1">
      <w:pPr>
        <w:spacing w:after="0" w:line="240" w:lineRule="auto"/>
      </w:pPr>
      <w:r>
        <w:separator/>
      </w:r>
    </w:p>
  </w:footnote>
  <w:footnote w:type="continuationSeparator" w:id="0">
    <w:p w:rsidR="000E3A3F" w:rsidRDefault="00B958E1">
      <w:pPr>
        <w:spacing w:after="0" w:line="240" w:lineRule="auto"/>
      </w:pPr>
      <w:r>
        <w:continuationSeparator/>
      </w:r>
    </w:p>
  </w:footnote>
  <w:footnote w:id="1">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FN's generalsekretær Ban Ki-moon på topmødet for vedtagelse af udviklingsdagsordenen efter 2015 i New York den 25. september 2015. Findes på: </w:t>
      </w:r>
      <w:hyperlink r:id="rId1">
        <w:r>
          <w:rPr>
            <w:rStyle w:val="Hyperlink"/>
            <w:rFonts w:ascii="Times New Roman" w:hAnsi="Times New Roman"/>
            <w:sz w:val="18"/>
          </w:rPr>
          <w:t>https://www.un.org/press/en/2015/sgsm17111.</w:t>
        </w:r>
        <w:r>
          <w:rPr>
            <w:rStyle w:val="Hyperlink"/>
            <w:rFonts w:ascii="Times New Roman" w:hAnsi="Times New Roman"/>
            <w:sz w:val="18"/>
          </w:rPr>
          <w:t>doc.htm</w:t>
        </w:r>
      </w:hyperlink>
    </w:p>
  </w:footnote>
  <w:footnote w:id="2">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w:t>
      </w:r>
      <w:r>
        <w:rPr>
          <w:rStyle w:val="Emphasis"/>
          <w:rFonts w:ascii="Times New Roman" w:hAnsi="Times New Roman"/>
          <w:i w:val="0"/>
          <w:sz w:val="18"/>
        </w:rPr>
        <w:t>EUT C 202 af 7.6.2016.</w:t>
      </w:r>
    </w:p>
  </w:footnote>
  <w:footnote w:id="3">
    <w:p w:rsidR="000E3A3F" w:rsidRDefault="00B958E1">
      <w:pPr>
        <w:spacing w:after="0" w:line="240" w:lineRule="auto"/>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Min region, mit Europa, vores fremtid: Syvende rapport om økonomisk, social og territorial samhørighed, 2017.</w:t>
      </w:r>
    </w:p>
    <w:p w:rsidR="000E3A3F" w:rsidRDefault="00B958E1">
      <w:pPr>
        <w:pStyle w:val="FootnoteText"/>
        <w:rPr>
          <w:rFonts w:ascii="Times New Roman" w:hAnsi="Times New Roman" w:cs="Times New Roman"/>
          <w:lang w:val="et-EE"/>
        </w:rPr>
      </w:pPr>
      <w:r>
        <w:rPr>
          <w:rFonts w:ascii="Times New Roman" w:hAnsi="Times New Roman"/>
          <w:sz w:val="18"/>
        </w:rPr>
        <w:t xml:space="preserve">Findes på: </w:t>
      </w:r>
      <w:hyperlink r:id="rId2">
        <w:r>
          <w:rPr>
            <w:rStyle w:val="Hyperlink"/>
            <w:rFonts w:ascii="Times New Roman" w:hAnsi="Times New Roman"/>
            <w:sz w:val="18"/>
          </w:rPr>
          <w:t>https://ec.europa.eu/regional_policy/sources/docoffic/official/reports/cohesion7/7cr.pdf</w:t>
        </w:r>
      </w:hyperlink>
      <w:r>
        <w:rPr>
          <w:rFonts w:ascii="Times New Roman" w:hAnsi="Times New Roman"/>
          <w:sz w:val="18"/>
        </w:rPr>
        <w:t>.</w:t>
      </w:r>
      <w:r>
        <w:rPr>
          <w:rFonts w:ascii="Times New Roman" w:hAnsi="Times New Roman"/>
        </w:rPr>
        <w:t xml:space="preserve"> </w:t>
      </w:r>
    </w:p>
  </w:footnote>
  <w:footnote w:id="4">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sz w:val="18"/>
          <w:lang w:val="en-GB"/>
        </w:rPr>
        <w:t>World Happiness Report 2018, af John F. Helliwell, Richard Layard og Jeffrey D. Sachs.</w:t>
      </w:r>
    </w:p>
  </w:footnote>
  <w:footnote w:id="5">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Eurostat, livskvalitetsindikatorer. Findes på: </w:t>
      </w:r>
      <w:hyperlink r:id="rId3">
        <w:r>
          <w:rPr>
            <w:rStyle w:val="Hyperlink"/>
            <w:rFonts w:ascii="Times New Roman" w:hAnsi="Times New Roman"/>
            <w:sz w:val="18"/>
            <w:lang w:val="et-EE"/>
          </w:rPr>
          <w:t>https://ec.europa.eu/eurostat/statistics-explained/index.php/Quality_of_life_indicators</w:t>
        </w:r>
      </w:hyperlink>
      <w:r>
        <w:rPr>
          <w:rFonts w:ascii="Times New Roman" w:hAnsi="Times New Roman"/>
          <w:sz w:val="18"/>
          <w:lang w:val="et-EE"/>
        </w:rPr>
        <w:t xml:space="preserve"> </w:t>
      </w:r>
    </w:p>
  </w:footnote>
  <w:footnote w:id="6">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Det Europæiske Ungdomsforum, Youth Progress Index 2017. </w:t>
      </w:r>
      <w:r>
        <w:rPr>
          <w:rFonts w:ascii="Times New Roman" w:hAnsi="Times New Roman"/>
          <w:sz w:val="18"/>
        </w:rPr>
        <w:t xml:space="preserve">Findes på: </w:t>
      </w:r>
      <w:hyperlink r:id="rId4">
        <w:r>
          <w:rPr>
            <w:rStyle w:val="Hyperlink"/>
            <w:rFonts w:ascii="Times New Roman" w:hAnsi="Times New Roman"/>
            <w:sz w:val="18"/>
          </w:rPr>
          <w:t>https://www.youthforum.org/youth-progress-index</w:t>
        </w:r>
      </w:hyperlink>
      <w:r>
        <w:rPr>
          <w:rStyle w:val="Hyperlink"/>
          <w:rFonts w:ascii="Times New Roman" w:hAnsi="Times New Roman"/>
          <w:sz w:val="18"/>
        </w:rPr>
        <w:t>.</w:t>
      </w:r>
      <w:r>
        <w:rPr>
          <w:rFonts w:ascii="Times New Roman" w:hAnsi="Times New Roman"/>
          <w:sz w:val="18"/>
        </w:rPr>
        <w:t xml:space="preserve"> </w:t>
      </w:r>
    </w:p>
  </w:footnote>
  <w:footnote w:id="7">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Bilag 3 til oplægget indeholder mere detaljerede oplysninger om, hvordan Juncker-Kommissionens vigtigste initiativer bidrager til FN's 2030-dagsorden og Parisaftalen om klimaændringer.</w:t>
      </w:r>
    </w:p>
  </w:footnote>
  <w:footnote w:id="8">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773 final.</w:t>
      </w:r>
    </w:p>
  </w:footnote>
  <w:footnote w:id="9">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COM(2010) 2020 final.</w:t>
      </w:r>
    </w:p>
  </w:footnote>
  <w:footnote w:id="10">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EUCO 13/18 – Det Euro</w:t>
      </w:r>
      <w:r>
        <w:rPr>
          <w:rFonts w:ascii="Times New Roman" w:hAnsi="Times New Roman"/>
          <w:sz w:val="18"/>
        </w:rPr>
        <w:t>pæiske Råd (18. oktober 2018), konklusioner, III.12.</w:t>
      </w:r>
    </w:p>
  </w:footnote>
  <w:footnote w:id="11">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COM(2016) 739 final.</w:t>
      </w:r>
    </w:p>
  </w:footnote>
  <w:footnote w:id="12">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Årlig vækstundersøgelse 2018 (COM(2017) 690 final).</w:t>
      </w:r>
    </w:p>
  </w:footnote>
  <w:footnote w:id="13">
    <w:p w:rsidR="000E3A3F" w:rsidRDefault="00B958E1">
      <w:pPr>
        <w:pStyle w:val="FootnoteText"/>
        <w:rPr>
          <w:rFonts w:ascii="Times New Roman" w:hAnsi="Times New Roman" w:cs="Times New Roman"/>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Europæisk økonomisk prognose – efterår 2018, offentliggjort den 8. november 2018. Findes på: </w:t>
      </w:r>
      <w:hyperlink r:id="rId5">
        <w:r>
          <w:rPr>
            <w:rStyle w:val="Hyperlink"/>
            <w:rFonts w:ascii="Times New Roman" w:hAnsi="Times New Roman"/>
            <w:sz w:val="18"/>
          </w:rPr>
          <w:t>https://ec.europa.eu/info/sites/info/files/economy-finance/ip089_en_0.pdf</w:t>
        </w:r>
      </w:hyperlink>
      <w:r>
        <w:rPr>
          <w:rFonts w:ascii="Times New Roman" w:hAnsi="Times New Roman"/>
          <w:color w:val="1F497D"/>
          <w:sz w:val="18"/>
        </w:rPr>
        <w:t>.</w:t>
      </w:r>
      <w:r>
        <w:rPr>
          <w:rFonts w:ascii="Times New Roman" w:hAnsi="Times New Roman"/>
          <w:color w:val="1F497D"/>
          <w:sz w:val="22"/>
        </w:rPr>
        <w:t xml:space="preserve"> </w:t>
      </w:r>
    </w:p>
  </w:footnote>
  <w:footnote w:id="14">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Global Footprint Network. Findes på: </w:t>
      </w:r>
      <w:hyperlink r:id="rId6">
        <w:r>
          <w:rPr>
            <w:rStyle w:val="Hyperlink"/>
            <w:rFonts w:ascii="Times New Roman" w:hAnsi="Times New Roman"/>
            <w:sz w:val="18"/>
          </w:rPr>
          <w:t>https://www.footprintnetwork.org/our-work/ecological-footprint/</w:t>
        </w:r>
      </w:hyperlink>
      <w:r>
        <w:rPr>
          <w:rFonts w:ascii="Times New Roman" w:hAnsi="Times New Roman"/>
          <w:sz w:val="18"/>
        </w:rPr>
        <w:t>.</w:t>
      </w:r>
    </w:p>
  </w:footnote>
  <w:footnote w:id="15">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Europa-Kommissionen, 2018-resultattavlen for råstoffer.</w:t>
      </w:r>
    </w:p>
  </w:footnote>
  <w:footnote w:id="16">
    <w:p w:rsidR="000E3A3F" w:rsidRDefault="00B958E1">
      <w:pPr>
        <w:pStyle w:val="FootnoteText"/>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WWF. 2018. Living Planet Report – 2018: Aiming Higher. </w:t>
      </w:r>
      <w:r>
        <w:rPr>
          <w:rFonts w:ascii="Times New Roman" w:hAnsi="Times New Roman"/>
          <w:sz w:val="18"/>
          <w:lang w:val="en-GB"/>
        </w:rPr>
        <w:t>Grooten, M. and Almond, R.E.A.(Eds). WWF, Gland, Schweiz.</w:t>
      </w:r>
    </w:p>
  </w:footnote>
  <w:footnote w:id="17">
    <w:p w:rsidR="000E3A3F" w:rsidRDefault="00B958E1">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Det Europæiske Miljøagentur (2017), "Food in a green light. A systems approach to sustainable food".</w:t>
      </w:r>
    </w:p>
  </w:footnote>
  <w:footnote w:id="18">
    <w:p w:rsidR="000E3A3F" w:rsidRDefault="00B958E1">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SWD(2016) 319 final.</w:t>
      </w:r>
    </w:p>
  </w:footnote>
  <w:footnote w:id="19">
    <w:p w:rsidR="000E3A3F" w:rsidRDefault="00B958E1">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color w:val="000000"/>
          <w:u w:val="single"/>
          <w:lang w:val="en-GB"/>
        </w:rPr>
        <w:t xml:space="preserve"> </w:t>
      </w:r>
      <w:r>
        <w:rPr>
          <w:rFonts w:ascii="Times New Roman" w:hAnsi="Times New Roman"/>
          <w:sz w:val="18"/>
          <w:lang w:val="en-GB"/>
        </w:rPr>
        <w:t xml:space="preserve">COM(2019) 1. </w:t>
      </w:r>
    </w:p>
  </w:footnote>
  <w:footnote w:id="20">
    <w:p w:rsidR="000E3A3F" w:rsidRDefault="00B958E1">
      <w:pPr>
        <w:pStyle w:val="FootnoteText"/>
        <w:rPr>
          <w:lang w:val="en-GB"/>
        </w:rPr>
      </w:pPr>
      <w:r>
        <w:rPr>
          <w:rStyle w:val="FootnoteReference"/>
        </w:rPr>
        <w:footnoteRef/>
      </w:r>
      <w:r>
        <w:rPr>
          <w:lang w:val="en-GB"/>
        </w:rPr>
        <w:t xml:space="preserve"> </w:t>
      </w:r>
      <w:r>
        <w:rPr>
          <w:rFonts w:ascii="Times New Roman" w:hAnsi="Times New Roman"/>
          <w:sz w:val="18"/>
          <w:lang w:val="en-GB"/>
        </w:rPr>
        <w:t>Grundig analyse til støtte for Kommissionens meddelelse COM(2018) 773 final, afsnit 5.6.2.3.</w:t>
      </w:r>
    </w:p>
  </w:footnote>
  <w:footnote w:id="21">
    <w:p w:rsidR="000E3A3F" w:rsidRDefault="00B958E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lang w:val="en-GB"/>
        </w:rPr>
        <w:t xml:space="preserve"> Dante Disparte, "If You Think Fighting Climate Change Will Be Expensive, Calculate the Cost of Letting It Happen", 12. juni 2017, Harvard Business Review online. </w:t>
      </w:r>
      <w:r>
        <w:rPr>
          <w:rFonts w:ascii="Times New Roman" w:hAnsi="Times New Roman"/>
          <w:sz w:val="18"/>
        </w:rPr>
        <w:t xml:space="preserve">Findes på: </w:t>
      </w:r>
      <w:hyperlink r:id="rId7">
        <w:r>
          <w:rPr>
            <w:rStyle w:val="Hyperlink"/>
            <w:rFonts w:ascii="Times New Roman" w:hAnsi="Times New Roman"/>
            <w:sz w:val="18"/>
          </w:rPr>
          <w:t>https://hbr.org/2017/06/if-you-think-fighting-climate-change-will-be-expensive-calculate-the-cost-of-letting-it-happen</w:t>
        </w:r>
      </w:hyperlink>
    </w:p>
  </w:footnote>
  <w:footnote w:id="22">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 Monitoring report on</w:t>
      </w:r>
      <w:r>
        <w:rPr>
          <w:rFonts w:ascii="Times New Roman" w:hAnsi="Times New Roman"/>
          <w:sz w:val="18"/>
          <w:lang w:val="en-GB"/>
        </w:rPr>
        <w:t xml:space="preserve"> progress towards the SDGs in an EU context", 2018-udgave.</w:t>
      </w:r>
    </w:p>
  </w:footnote>
  <w:footnote w:id="23">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w:t>
      </w:r>
      <w:hyperlink r:id="rId8">
        <w:r>
          <w:rPr>
            <w:rStyle w:val="Hyperlink"/>
            <w:rFonts w:ascii="Times New Roman" w:hAnsi="Times New Roman"/>
            <w:sz w:val="18"/>
            <w:lang w:val="et-EE"/>
          </w:rPr>
          <w:t>https://ec.europa.eu/food/safety/food_waste_en</w:t>
        </w:r>
      </w:hyperlink>
      <w:r>
        <w:rPr>
          <w:rStyle w:val="Hyperlink"/>
          <w:rFonts w:ascii="Times New Roman" w:hAnsi="Times New Roman"/>
          <w:sz w:val="18"/>
          <w:lang w:val="et-EE"/>
        </w:rPr>
        <w:t>.</w:t>
      </w:r>
      <w:r>
        <w:rPr>
          <w:rFonts w:ascii="Times New Roman" w:hAnsi="Times New Roman"/>
          <w:sz w:val="18"/>
          <w:lang w:val="et-EE"/>
        </w:rPr>
        <w:t xml:space="preserve"> </w:t>
      </w:r>
    </w:p>
  </w:footnote>
  <w:footnote w:id="24">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 Monitoring report o</w:t>
      </w:r>
      <w:r>
        <w:rPr>
          <w:rFonts w:ascii="Times New Roman" w:hAnsi="Times New Roman"/>
          <w:sz w:val="18"/>
          <w:lang w:val="en-GB"/>
        </w:rPr>
        <w:t xml:space="preserve">n progress towards the SDGs in an EU context", 2018-udgave. </w:t>
      </w:r>
    </w:p>
  </w:footnote>
  <w:footnote w:id="25">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 Monitoring report on progress towards the SDGs in an EU context", 2018-udgave.</w:t>
      </w:r>
    </w:p>
  </w:footnote>
  <w:footnote w:id="26">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FN's Fødevare- og Landbrugsorganisation (FAO), 2016, </w:t>
      </w:r>
      <w:r>
        <w:rPr>
          <w:rFonts w:ascii="Times New Roman" w:hAnsi="Times New Roman"/>
          <w:sz w:val="18"/>
          <w:lang w:val="en-GB"/>
        </w:rPr>
        <w:t xml:space="preserve">Antimicrobial resistance and our food systems: challenges and solutions. Findes på: </w:t>
      </w:r>
      <w:hyperlink r:id="rId9">
        <w:r>
          <w:rPr>
            <w:rStyle w:val="Hyperlink"/>
            <w:rFonts w:ascii="Times New Roman" w:hAnsi="Times New Roman"/>
            <w:sz w:val="18"/>
            <w:lang w:val="en-GB"/>
          </w:rPr>
          <w:t>http://www.fao.org/3/a-i6106e.pdf</w:t>
        </w:r>
      </w:hyperlink>
      <w:r>
        <w:rPr>
          <w:rFonts w:ascii="Times New Roman" w:hAnsi="Times New Roman"/>
          <w:sz w:val="18"/>
          <w:lang w:val="en-GB"/>
        </w:rPr>
        <w:t xml:space="preserve"> </w:t>
      </w:r>
    </w:p>
  </w:footnote>
  <w:footnote w:id="27">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Det Europæiske Institut for Ligestilling mellem Mænd og Kvinder (2017), kønsligestillingsindekset 2017 – "Measuring gender equality in the European Union 2005-2015", pressemeddelelse af 11. oktober 2017. Findes på:</w:t>
      </w:r>
    </w:p>
    <w:p w:rsidR="000E3A3F" w:rsidRDefault="00B958E1">
      <w:pPr>
        <w:pStyle w:val="FootnoteText"/>
        <w:jc w:val="both"/>
        <w:rPr>
          <w:rFonts w:ascii="Times New Roman" w:hAnsi="Times New Roman" w:cs="Times New Roman"/>
        </w:rPr>
      </w:pPr>
      <w:hyperlink r:id="rId10">
        <w:r>
          <w:rPr>
            <w:rStyle w:val="Hyperlink"/>
            <w:rFonts w:ascii="Times New Roman" w:hAnsi="Times New Roman"/>
            <w:sz w:val="18"/>
          </w:rPr>
          <w:t>https://eige.europa.eu/news-and-events/news/gender-equality-index-2017-progress-snails-pace</w:t>
        </w:r>
      </w:hyperlink>
      <w:r>
        <w:rPr>
          <w:rFonts w:ascii="Times New Roman" w:hAnsi="Times New Roman"/>
          <w:sz w:val="18"/>
        </w:rPr>
        <w:t xml:space="preserve"> </w:t>
      </w:r>
    </w:p>
  </w:footnote>
  <w:footnote w:id="28">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Europa-Kommissionen, 2018 Betænkning om ligestilling mellem kvinder og mænd i EU.</w:t>
      </w:r>
    </w:p>
  </w:footnote>
  <w:footnote w:id="29">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OECD(2</w:t>
      </w:r>
      <w:r>
        <w:rPr>
          <w:rFonts w:ascii="Times New Roman" w:hAnsi="Times New Roman"/>
          <w:sz w:val="18"/>
          <w:lang w:val="en-GB"/>
        </w:rPr>
        <w:t>015), In It Together: Why Less Inequality Benefits All, OECD Publishing, Paris.</w:t>
      </w:r>
    </w:p>
  </w:footnote>
  <w:footnote w:id="30">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Den Internationale Organisation for Migration, "Migration, Environment and Climate Change: Assessing the Evidence", 2009.</w:t>
      </w:r>
    </w:p>
  </w:footnote>
  <w:footnote w:id="31">
    <w:p w:rsidR="000E3A3F" w:rsidRDefault="00B958E1">
      <w:pPr>
        <w:pStyle w:val="FootnoteText"/>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et-EE"/>
        </w:rPr>
        <w:t xml:space="preserve"> </w:t>
      </w:r>
      <w:r>
        <w:rPr>
          <w:rFonts w:ascii="Times New Roman" w:hAnsi="Times New Roman"/>
          <w:sz w:val="18"/>
          <w:lang w:val="et-EE"/>
        </w:rPr>
        <w:t xml:space="preserve">7. miljøhandlingsprogram. Findes på: </w:t>
      </w:r>
      <w:hyperlink r:id="rId11">
        <w:r>
          <w:rPr>
            <w:rStyle w:val="Hyperlink"/>
            <w:rFonts w:ascii="Times New Roman" w:hAnsi="Times New Roman"/>
            <w:sz w:val="18"/>
            <w:lang w:val="et-EE"/>
          </w:rPr>
          <w:t>https://eur-lex.europa.eu/legal-content/EN/TXT/?uri=CELEX:32013D1386</w:t>
        </w:r>
      </w:hyperlink>
      <w:r>
        <w:rPr>
          <w:rFonts w:ascii="Times New Roman" w:hAnsi="Times New Roman"/>
          <w:sz w:val="18"/>
          <w:lang w:val="et-EE"/>
        </w:rPr>
        <w:t xml:space="preserve">. </w:t>
      </w:r>
    </w:p>
  </w:footnote>
  <w:footnote w:id="32">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Eurostat, Environmental economy – statistics on employment and growth. </w:t>
      </w:r>
      <w:r>
        <w:rPr>
          <w:rFonts w:ascii="Times New Roman" w:hAnsi="Times New Roman"/>
          <w:sz w:val="18"/>
        </w:rPr>
        <w:t xml:space="preserve">Findes på: </w:t>
      </w:r>
      <w:hyperlink r:id="rId12">
        <w:r>
          <w:rPr>
            <w:rStyle w:val="Hyperlink"/>
            <w:rFonts w:ascii="Times New Roman" w:hAnsi="Times New Roman"/>
            <w:kern w:val="36"/>
            <w:sz w:val="18"/>
          </w:rPr>
          <w:t>https://ec.europa.eu/eurostat/statistics-explained/pdfscache/10420.pdf</w:t>
        </w:r>
      </w:hyperlink>
      <w:r>
        <w:rPr>
          <w:rFonts w:ascii="Times New Roman" w:hAnsi="Times New Roman"/>
          <w:kern w:val="36"/>
          <w:sz w:val="18"/>
        </w:rPr>
        <w:t>.  Miljøøkonomien omfatter to brede grupper af aktiviteter og/eller produkter: "miljøbeskyttelse" – alle aktiviteter i forb</w:t>
      </w:r>
      <w:r>
        <w:rPr>
          <w:rFonts w:ascii="Times New Roman" w:hAnsi="Times New Roman"/>
          <w:kern w:val="36"/>
          <w:sz w:val="18"/>
        </w:rPr>
        <w:t xml:space="preserve">indelse med undgåelse, nedbringelse og eliminering af forurening og enhver anden forringelse af miljøet; "ressourceforvaltning" – bevarelse og vedligeholdelse af bestanden </w:t>
      </w:r>
      <w:r>
        <w:rPr>
          <w:rFonts w:ascii="Times New Roman" w:hAnsi="Times New Roman"/>
          <w:color w:val="333333"/>
          <w:sz w:val="18"/>
        </w:rPr>
        <w:t>af naturressourcer og dermed beskyttelse mod udtømning.</w:t>
      </w:r>
    </w:p>
  </w:footnote>
  <w:footnote w:id="33">
    <w:p w:rsidR="000E3A3F" w:rsidRDefault="00B958E1">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rPr>
        <w:t xml:space="preserve"> S. Fankhauser, A. Bowen et al. </w:t>
      </w:r>
      <w:r>
        <w:rPr>
          <w:rFonts w:ascii="Times New Roman" w:hAnsi="Times New Roman"/>
          <w:sz w:val="18"/>
          <w:lang w:val="en-GB"/>
        </w:rPr>
        <w:t>"Who will win the green race? In search of environmental competitiveness and innovation", 2013.</w:t>
      </w:r>
    </w:p>
  </w:footnote>
  <w:footnote w:id="34">
    <w:p w:rsidR="000E3A3F" w:rsidRDefault="00B958E1">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Kommissionen for erhvervsliv og bæredygtig udvikling, "Better Business Better World, The report of the Business &amp; Sustainable </w:t>
      </w:r>
      <w:r>
        <w:rPr>
          <w:rFonts w:ascii="Times New Roman" w:hAnsi="Times New Roman"/>
          <w:sz w:val="18"/>
          <w:lang w:val="en-GB"/>
        </w:rPr>
        <w:t xml:space="preserve">Development Commission", januar 2017 (s. 12). </w:t>
      </w:r>
    </w:p>
  </w:footnote>
  <w:footnote w:id="35">
    <w:p w:rsidR="000E3A3F" w:rsidRDefault="00B958E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EU's 2017-revision af gennemførelsen af miljøreglerne.</w:t>
      </w:r>
    </w:p>
  </w:footnote>
  <w:footnote w:id="36">
    <w:p w:rsidR="000E3A3F" w:rsidRDefault="00B958E1">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lang w:val="en-GB"/>
        </w:rPr>
        <w:t xml:space="preserve"> Bl.a.: Det Mellemstatslige Panel om Klimaændringer "Global warming of 1.5 °C: an IPCC special report on the impacts of global warming of 1.5 °C above </w:t>
      </w:r>
      <w:r>
        <w:rPr>
          <w:rFonts w:ascii="Times New Roman" w:hAnsi="Times New Roman"/>
          <w:sz w:val="18"/>
          <w:lang w:val="en-GB"/>
        </w:rPr>
        <w:t xml:space="preserve">pre-industrial levels and related global greenhouse gas emission pathways, in the context of strengthening the global response to the threat of climate change, sustainable development, and efforts to eradicate poverty", 2018; Sachs, J., Schmidt-Traub, G., </w:t>
      </w:r>
      <w:r>
        <w:rPr>
          <w:rFonts w:ascii="Times New Roman" w:hAnsi="Times New Roman"/>
          <w:sz w:val="18"/>
          <w:lang w:val="en-GB"/>
        </w:rPr>
        <w:t>Kroll, C., Lafortune, G., Fuller, G. (2018): SDG Index and Dashboards Report 2018. New York: Bertelsmann Stiftung and Sustainable Development Solutions Network (SDSN); Europe moving towards a sustainable future, Contribution of the Multi-Stakeholder Platfo</w:t>
      </w:r>
      <w:r>
        <w:rPr>
          <w:rFonts w:ascii="Times New Roman" w:hAnsi="Times New Roman"/>
          <w:sz w:val="18"/>
          <w:lang w:val="en-GB"/>
        </w:rPr>
        <w:t>rm on the implementation of the Sustainable Goals in the EU Reflection Paper, oktober 2018.</w:t>
      </w:r>
    </w:p>
  </w:footnote>
  <w:footnote w:id="37">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 Monitoring report on progress towards the SDGs in an EU context", 2018-udgave. </w:t>
      </w:r>
    </w:p>
  </w:footnote>
  <w:footnote w:id="38">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w:t>
      </w:r>
      <w:r>
        <w:rPr>
          <w:rFonts w:ascii="Times New Roman" w:hAnsi="Times New Roman"/>
          <w:i/>
          <w:sz w:val="18"/>
          <w:lang w:val="en-GB"/>
        </w:rPr>
        <w:t>"</w:t>
      </w:r>
      <w:r>
        <w:rPr>
          <w:rStyle w:val="Emphasis"/>
          <w:rFonts w:ascii="Times New Roman" w:hAnsi="Times New Roman"/>
          <w:i w:val="0"/>
          <w:sz w:val="18"/>
          <w:lang w:val="en-GB"/>
        </w:rPr>
        <w:t>Growth within: A cir</w:t>
      </w:r>
      <w:r>
        <w:rPr>
          <w:rStyle w:val="Emphasis"/>
          <w:rFonts w:ascii="Times New Roman" w:hAnsi="Times New Roman"/>
          <w:i w:val="0"/>
          <w:sz w:val="18"/>
          <w:lang w:val="en-GB"/>
        </w:rPr>
        <w:t xml:space="preserve">cular economy vision for a competitive Europe", </w:t>
      </w:r>
      <w:r>
        <w:rPr>
          <w:rFonts w:ascii="Times New Roman" w:hAnsi="Times New Roman"/>
          <w:color w:val="000000"/>
          <w:sz w:val="18"/>
          <w:lang w:val="en-GB"/>
        </w:rPr>
        <w:t>Ellen MacArthur Foundation og McKinsey Center for Business and Environment, 2015.</w:t>
      </w:r>
    </w:p>
  </w:footnote>
  <w:footnote w:id="39">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Towards a circular economy – Waste management in the EU, 2017, Europa-Parlamentets Forskningstjeneste</w:t>
      </w:r>
    </w:p>
  </w:footnote>
  <w:footnote w:id="40">
    <w:p w:rsidR="000E3A3F" w:rsidRDefault="00B958E1">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lang w:val="en-GB"/>
        </w:rPr>
        <w:t xml:space="preserve"> SITRA, The circular </w:t>
      </w:r>
      <w:r>
        <w:rPr>
          <w:rFonts w:ascii="Times New Roman" w:hAnsi="Times New Roman"/>
          <w:sz w:val="18"/>
          <w:lang w:val="en-GB"/>
        </w:rPr>
        <w:t xml:space="preserve">economy - a powerful force for climate mitigation, 2018. </w:t>
      </w:r>
      <w:r>
        <w:rPr>
          <w:rFonts w:ascii="Times New Roman" w:hAnsi="Times New Roman"/>
          <w:sz w:val="18"/>
        </w:rPr>
        <w:t xml:space="preserve">Findes på: </w:t>
      </w:r>
      <w:hyperlink r:id="rId13">
        <w:r>
          <w:rPr>
            <w:rStyle w:val="Hyperlink"/>
            <w:rFonts w:ascii="Times New Roman" w:hAnsi="Times New Roman"/>
            <w:sz w:val="18"/>
          </w:rPr>
          <w:t>https://www.sitra.fi/en/publications/circular-economy-powerful-force-climate-mit</w:t>
        </w:r>
        <w:r>
          <w:rPr>
            <w:rStyle w:val="Hyperlink"/>
            <w:rFonts w:ascii="Times New Roman" w:hAnsi="Times New Roman"/>
            <w:sz w:val="18"/>
          </w:rPr>
          <w:t>igation/</w:t>
        </w:r>
      </w:hyperlink>
      <w:r>
        <w:rPr>
          <w:rStyle w:val="Hyperlink"/>
          <w:rFonts w:ascii="Times New Roman" w:hAnsi="Times New Roman"/>
          <w:sz w:val="18"/>
        </w:rPr>
        <w:t>.</w:t>
      </w:r>
      <w:r>
        <w:rPr>
          <w:rFonts w:ascii="Times New Roman" w:hAnsi="Times New Roman"/>
        </w:rPr>
        <w:t xml:space="preserve"> </w:t>
      </w:r>
    </w:p>
  </w:footnote>
  <w:footnote w:id="41">
    <w:p w:rsidR="000E3A3F" w:rsidRDefault="00B958E1">
      <w:pPr>
        <w:pStyle w:val="FootnoteText"/>
      </w:pPr>
      <w:r>
        <w:rPr>
          <w:rStyle w:val="FootnoteReference"/>
        </w:rPr>
        <w:footnoteRef/>
      </w:r>
      <w:r>
        <w:t xml:space="preserve"> </w:t>
      </w:r>
      <w:r>
        <w:rPr>
          <w:rFonts w:ascii="Times New Roman" w:hAnsi="Times New Roman"/>
          <w:sz w:val="18"/>
        </w:rPr>
        <w:t>COM(2018) 28 final.</w:t>
      </w:r>
    </w:p>
  </w:footnote>
  <w:footnote w:id="42">
    <w:p w:rsidR="000E3A3F" w:rsidRDefault="00B958E1">
      <w:pPr>
        <w:pStyle w:val="FootnoteText"/>
      </w:pPr>
      <w:r>
        <w:rPr>
          <w:rStyle w:val="FootnoteReference"/>
        </w:rPr>
        <w:footnoteRef/>
      </w:r>
      <w:r>
        <w:t xml:space="preserve"> </w:t>
      </w:r>
      <w:r>
        <w:rPr>
          <w:rFonts w:ascii="Times New Roman" w:hAnsi="Times New Roman"/>
          <w:sz w:val="18"/>
        </w:rPr>
        <w:t>COM(2018) 340 final.</w:t>
      </w:r>
    </w:p>
  </w:footnote>
  <w:footnote w:id="43">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Kommissionen for erhvervsliv og bæredygtig udvikling, "Better Business Better World, The report of the Business &amp; Sustainable Development Commission", januar 2017.</w:t>
      </w:r>
    </w:p>
  </w:footnote>
  <w:footnote w:id="44">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Kommissionen for erhvervsliv og bæredygtig udvikling, "Better Business Better World, The report of the Business &amp; Sustainable Development Commission", januar 2017.</w:t>
      </w:r>
    </w:p>
  </w:footnote>
  <w:footnote w:id="45">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FN's Fødevare- og Landbrugsorganisation, "Green jobs". Findes på: </w:t>
      </w:r>
      <w:hyperlink r:id="rId14">
        <w:r>
          <w:rPr>
            <w:rStyle w:val="Hyperlink"/>
            <w:rFonts w:ascii="Times New Roman" w:hAnsi="Times New Roman"/>
            <w:sz w:val="18"/>
          </w:rPr>
          <w:t>http://www.fao.org/rural-employment/work-areas/green-jobs/en/</w:t>
        </w:r>
      </w:hyperlink>
    </w:p>
  </w:footnote>
  <w:footnote w:id="46">
    <w:p w:rsidR="000E3A3F" w:rsidRDefault="00B958E1">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 Monitoring report on progress towards the SDGs in an EU context", 2018-udgave.</w:t>
      </w:r>
    </w:p>
  </w:footnote>
  <w:footnote w:id="47">
    <w:p w:rsidR="000E3A3F" w:rsidRDefault="00B958E1">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lang w:val="en-GB"/>
        </w:rPr>
        <w:t xml:space="preserve"> Europa-Kommissionen, Monitoring Agri-trade Policy, MAP 2018-1, "Agri-food trade in 2017: another record year for EU</w:t>
      </w:r>
      <w:r>
        <w:rPr>
          <w:rFonts w:ascii="Times New Roman" w:hAnsi="Times New Roman"/>
          <w:sz w:val="18"/>
          <w:lang w:val="en-GB"/>
        </w:rPr>
        <w:t xml:space="preserve"> agri-food trade".</w:t>
      </w:r>
    </w:p>
  </w:footnote>
  <w:footnote w:id="48">
    <w:p w:rsidR="000E3A3F" w:rsidRDefault="00B958E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Findes på: </w:t>
      </w:r>
      <w:hyperlink r:id="rId15">
        <w:r>
          <w:rPr>
            <w:rStyle w:val="Hyperlink"/>
            <w:rFonts w:ascii="Times New Roman" w:hAnsi="Times New Roman"/>
            <w:sz w:val="18"/>
          </w:rPr>
          <w:t>https://ec.europa.eu/commission/publications/natural-resources-and-environment</w:t>
        </w:r>
      </w:hyperlink>
      <w:r>
        <w:rPr>
          <w:rFonts w:ascii="Times New Roman" w:hAnsi="Times New Roman"/>
          <w:sz w:val="18"/>
        </w:rPr>
        <w:t xml:space="preserve">. </w:t>
      </w:r>
    </w:p>
  </w:footnote>
  <w:footnote w:id="49">
    <w:p w:rsidR="000E3A3F" w:rsidRDefault="00B958E1">
      <w:pPr>
        <w:pStyle w:val="FootnoteText"/>
      </w:pPr>
      <w:r>
        <w:rPr>
          <w:rStyle w:val="FootnoteReference"/>
        </w:rPr>
        <w:footnoteRef/>
      </w:r>
      <w:r>
        <w:t xml:space="preserve"> </w:t>
      </w:r>
      <w:r>
        <w:rPr>
          <w:rFonts w:ascii="Times New Roman" w:hAnsi="Times New Roman"/>
          <w:sz w:val="18"/>
        </w:rPr>
        <w:t>Findes på</w:t>
      </w:r>
      <w:r>
        <w:t>:</w:t>
      </w:r>
      <w:hyperlink r:id="rId16">
        <w:r>
          <w:rPr>
            <w:rStyle w:val="Hyperlink"/>
            <w:rFonts w:ascii="Times New Roman" w:hAnsi="Times New Roman"/>
            <w:sz w:val="18"/>
          </w:rPr>
          <w:t>https://ec.europa.eu/health/amr/sites/amr/files/amr_action_plan_2017_en.pdf</w:t>
        </w:r>
      </w:hyperlink>
      <w:r>
        <w:rPr>
          <w:rFonts w:ascii="Times New Roman" w:hAnsi="Times New Roman"/>
          <w:sz w:val="18"/>
        </w:rPr>
        <w:t>.</w:t>
      </w:r>
      <w:r>
        <w:t xml:space="preserve"> </w:t>
      </w:r>
    </w:p>
  </w:footnote>
  <w:footnote w:id="50">
    <w:p w:rsidR="000E3A3F" w:rsidRDefault="00B958E1">
      <w:pPr>
        <w:spacing w:after="0" w:line="240" w:lineRule="auto"/>
        <w:jc w:val="both"/>
        <w:rPr>
          <w:rFonts w:ascii="Times New Roman" w:eastAsia="Times New Roman" w:hAnsi="Times New Roman" w:cs="Times New Roman"/>
          <w:sz w:val="18"/>
          <w:szCs w:val="18"/>
          <w:lang w:val="en-GB" w:eastAsia="en-GB"/>
        </w:rPr>
      </w:pPr>
      <w:r>
        <w:rPr>
          <w:rStyle w:val="FootnoteReference"/>
          <w:rFonts w:ascii="Times New Roman" w:hAnsi="Times New Roman"/>
          <w:sz w:val="18"/>
        </w:rPr>
        <w:footnoteRef/>
      </w:r>
      <w:r>
        <w:rPr>
          <w:rFonts w:ascii="Times New Roman" w:hAnsi="Times New Roman"/>
          <w:sz w:val="18"/>
        </w:rPr>
        <w:t xml:space="preserve"> Grundig analyse som støtte til Kommissionens meddelelse COM(2018) 773 "A Clean Planet for all. </w:t>
      </w:r>
      <w:r>
        <w:rPr>
          <w:rFonts w:ascii="Times New Roman" w:hAnsi="Times New Roman"/>
          <w:sz w:val="18"/>
          <w:lang w:val="en-GB"/>
        </w:rPr>
        <w:t xml:space="preserve">A European </w:t>
      </w:r>
      <w:r>
        <w:rPr>
          <w:rFonts w:ascii="Times New Roman" w:hAnsi="Times New Roman"/>
          <w:sz w:val="18"/>
          <w:lang w:val="en-GB"/>
        </w:rPr>
        <w:t>long-term strategic vision for a prosperous, modern, competitive and climate neutral economy".</w:t>
      </w:r>
    </w:p>
    <w:p w:rsidR="000E3A3F" w:rsidRDefault="00B958E1">
      <w:pPr>
        <w:spacing w:after="0" w:line="240" w:lineRule="auto"/>
        <w:jc w:val="both"/>
        <w:rPr>
          <w:rFonts w:ascii="Times New Roman" w:eastAsia="Times New Roman" w:hAnsi="Times New Roman" w:cs="Times New Roman"/>
          <w:sz w:val="18"/>
          <w:szCs w:val="18"/>
          <w:lang w:eastAsia="en-GB"/>
        </w:rPr>
      </w:pPr>
      <w:r>
        <w:rPr>
          <w:rFonts w:ascii="Times New Roman" w:hAnsi="Times New Roman"/>
          <w:sz w:val="18"/>
        </w:rPr>
        <w:t>Produktionen af kød stiller et af de største arealkrav pr. kalorie. Omstillingen og nedbringelsen af kødforbruget vil frigøre yderligere arealer.</w:t>
      </w:r>
    </w:p>
  </w:footnote>
  <w:footnote w:id="51">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Køleskabe er </w:t>
      </w:r>
      <w:r>
        <w:rPr>
          <w:rFonts w:ascii="Times New Roman" w:hAnsi="Times New Roman"/>
          <w:sz w:val="18"/>
        </w:rPr>
        <w:t xml:space="preserve">blevet væsentligt mere energieffektive i løbet af de seneste 10 år (det samme gælder f.eks. vaskemaskiner, opvaskemaskiner og fjernsyn). Dette betyder desuden, at forbrugerne køber mere effektive produkter. Top ti baseret på GFK-data. Findes på: </w:t>
      </w:r>
      <w:hyperlink r:id="rId17">
        <w:r>
          <w:rPr>
            <w:rFonts w:ascii="Times New Roman" w:hAnsi="Times New Roman"/>
            <w:sz w:val="18"/>
          </w:rPr>
          <w:t>topten.eu</w:t>
        </w:r>
      </w:hyperlink>
      <w:r>
        <w:rPr>
          <w:rFonts w:ascii="Times New Roman" w:hAnsi="Times New Roman"/>
          <w:sz w:val="18"/>
        </w:rPr>
        <w:t xml:space="preserve"> </w:t>
      </w:r>
    </w:p>
  </w:footnote>
  <w:footnote w:id="52">
    <w:p w:rsidR="000E3A3F" w:rsidRDefault="00B958E1">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COM(2016) 377.</w:t>
      </w:r>
    </w:p>
  </w:footnote>
  <w:footnote w:id="53">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Op til 9,6 % af Europas BNP var afsat til sundhedspleje i 2017, og det er derfor af stadig større betydning, at sundhedsudgifterne er effektive, og at der undgås ressourcespild.</w:t>
      </w:r>
    </w:p>
  </w:footnote>
  <w:footnote w:id="54">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Oplæg om Europas so</w:t>
      </w:r>
      <w:r>
        <w:rPr>
          <w:rFonts w:ascii="Times New Roman" w:hAnsi="Times New Roman"/>
          <w:sz w:val="18"/>
        </w:rPr>
        <w:t>ciale dimension af 26. april 2017 (COM(2017) 206).</w:t>
      </w:r>
    </w:p>
  </w:footnote>
  <w:footnote w:id="55">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FN's mål for bæredygtig udvikling – mål nr. 11 om at gøre byer, lokalsamfund og bosættelser inkluderende, sikre, robuste og bæredygtige. Findes på: </w:t>
      </w:r>
      <w:hyperlink r:id="rId18">
        <w:r>
          <w:rPr>
            <w:rStyle w:val="Hyperlink"/>
            <w:rFonts w:ascii="Times New Roman" w:hAnsi="Times New Roman"/>
            <w:sz w:val="18"/>
          </w:rPr>
          <w:t>https://www.un.org/sustainabledevelopment/cities/</w:t>
        </w:r>
      </w:hyperlink>
    </w:p>
  </w:footnote>
  <w:footnote w:id="56">
    <w:p w:rsidR="000E3A3F" w:rsidRDefault="00B958E1">
      <w:pPr>
        <w:autoSpaceDE w:val="0"/>
        <w:autoSpaceDN w:val="0"/>
        <w:adjustRightInd w:val="0"/>
        <w:spacing w:after="0" w:line="240" w:lineRule="auto"/>
        <w:jc w:val="both"/>
        <w:rPr>
          <w:rFonts w:ascii="Times New Roman" w:hAnsi="Times New Roman" w:cs="Times New Roman"/>
          <w:bCs/>
          <w:sz w:val="18"/>
          <w:szCs w:val="18"/>
        </w:rPr>
      </w:pPr>
      <w:r>
        <w:rPr>
          <w:rStyle w:val="FootnoteReference"/>
          <w:rFonts w:ascii="Times New Roman" w:hAnsi="Times New Roman"/>
          <w:sz w:val="18"/>
        </w:rPr>
        <w:footnoteRef/>
      </w:r>
      <w:r>
        <w:rPr>
          <w:rFonts w:ascii="Times New Roman" w:hAnsi="Times New Roman"/>
          <w:sz w:val="18"/>
        </w:rPr>
        <w:t xml:space="preserve"> The Role of Science, Technology and Innovation Policies to Foster the Implementation of the Sustainable Development Goals, </w:t>
      </w:r>
      <w:r>
        <w:rPr>
          <w:rFonts w:ascii="Times New Roman" w:hAnsi="Times New Roman"/>
          <w:i/>
          <w:sz w:val="18"/>
        </w:rPr>
        <w:t>rapport fra ekspertgruppen om opfølgningen på Rio+20, navnlig målen</w:t>
      </w:r>
      <w:r>
        <w:rPr>
          <w:rFonts w:ascii="Times New Roman" w:hAnsi="Times New Roman"/>
          <w:i/>
          <w:sz w:val="18"/>
        </w:rPr>
        <w:t>e for bæredygtig udvikling.</w:t>
      </w:r>
    </w:p>
  </w:footnote>
  <w:footnote w:id="57">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22 final. </w:t>
      </w:r>
    </w:p>
  </w:footnote>
  <w:footnote w:id="58">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 november 2018 lancerede Europa-Kommissionen "AI Watch" for i EU og på verdensplan at overvåge udviklingen inden for kunstig intelligens og for at skabe det fornødne analytiske grundlag for yderligere tiltag.</w:t>
      </w:r>
    </w:p>
  </w:footnote>
  <w:footnote w:id="59">
    <w:p w:rsidR="000E3A3F" w:rsidRDefault="00B958E1">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Europa-Kommissionen, "USA-China-EU plans fo</w:t>
      </w:r>
      <w:r>
        <w:rPr>
          <w:rFonts w:ascii="Times New Roman" w:hAnsi="Times New Roman"/>
          <w:sz w:val="18"/>
        </w:rPr>
        <w:t xml:space="preserve">r AI: where do we stand?", januar 2018. Findes på: </w:t>
      </w:r>
      <w:hyperlink r:id="rId19">
        <w:r>
          <w:rPr>
            <w:rStyle w:val="Hyperlink"/>
            <w:rFonts w:ascii="Times New Roman" w:hAnsi="Times New Roman"/>
            <w:sz w:val="18"/>
          </w:rPr>
          <w:t>https://ec.europa.eu/growth/tools-databases/dem/monitor/site</w:t>
        </w:r>
        <w:r>
          <w:rPr>
            <w:rStyle w:val="Hyperlink"/>
            <w:rFonts w:ascii="Times New Roman" w:hAnsi="Times New Roman"/>
            <w:sz w:val="18"/>
          </w:rPr>
          <w:t>s/default/files/DTM_AI%20USA-China-EU%20plans%20for%20AI%20v5.pdf</w:t>
        </w:r>
      </w:hyperlink>
      <w:r>
        <w:rPr>
          <w:rFonts w:ascii="Times New Roman" w:hAnsi="Times New Roman"/>
          <w:sz w:val="18"/>
        </w:rPr>
        <w:t>.</w:t>
      </w:r>
      <w:r>
        <w:rPr>
          <w:rFonts w:ascii="Times New Roman" w:hAnsi="Times New Roman"/>
        </w:rPr>
        <w:t xml:space="preserve"> </w:t>
      </w:r>
    </w:p>
  </w:footnote>
  <w:footnote w:id="60">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Jiaxuan You, Xiaocheng li, melvin low, David B. Lobell, Stefano Ermon, "Sustainability and Artificial Intelligence Lab, Combining Remote Sensing Data and Machine Learning to Predict Crop</w:t>
      </w:r>
      <w:r>
        <w:rPr>
          <w:rFonts w:ascii="Times New Roman" w:hAnsi="Times New Roman"/>
          <w:sz w:val="18"/>
        </w:rPr>
        <w:t xml:space="preserve"> Yield". Findes på: </w:t>
      </w:r>
      <w:hyperlink r:id="rId20">
        <w:r>
          <w:rPr>
            <w:rStyle w:val="Hyperlink"/>
            <w:rFonts w:ascii="Times New Roman" w:hAnsi="Times New Roman"/>
            <w:sz w:val="18"/>
          </w:rPr>
          <w:t>http://sustain.stanford.edu/crop-yield-analysis</w:t>
        </w:r>
      </w:hyperlink>
    </w:p>
  </w:footnote>
  <w:footnote w:id="61">
    <w:p w:rsidR="000E3A3F" w:rsidRDefault="00B958E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De Forenede Nationers Konference for Handel og Udvikling. Findes på: </w:t>
      </w:r>
      <w:r>
        <w:rPr>
          <w:rStyle w:val="Hyperlink"/>
          <w:rFonts w:ascii="Times New Roman" w:hAnsi="Times New Roman"/>
          <w:sz w:val="18"/>
        </w:rPr>
        <w:t>http://www.eurasia.undp.org/content/rbec/en/home/b</w:t>
      </w:r>
      <w:r>
        <w:rPr>
          <w:rStyle w:val="Hyperlink"/>
          <w:rFonts w:ascii="Times New Roman" w:hAnsi="Times New Roman"/>
          <w:sz w:val="18"/>
        </w:rPr>
        <w:t>log/2017/7/12/What-kind-of-blender-do-we-need-to-finance-the-SDGs-.html</w:t>
      </w:r>
    </w:p>
  </w:footnote>
  <w:footnote w:id="62">
    <w:p w:rsidR="000E3A3F" w:rsidRDefault="00B958E1">
      <w:pPr>
        <w:pStyle w:val="FootnoteText"/>
      </w:pPr>
      <w:r>
        <w:rPr>
          <w:rStyle w:val="FootnoteReference"/>
          <w:rFonts w:ascii="Times New Roman" w:hAnsi="Times New Roman"/>
        </w:rPr>
        <w:footnoteRef/>
      </w:r>
      <w:r>
        <w:t xml:space="preserve"> </w:t>
      </w:r>
      <w:r>
        <w:rPr>
          <w:rFonts w:ascii="Times New Roman" w:hAnsi="Times New Roman"/>
          <w:sz w:val="18"/>
        </w:rPr>
        <w:t xml:space="preserve">Handlingsplanen om bæredygtig finansiering. Findes på: </w:t>
      </w:r>
      <w:hyperlink r:id="rId21">
        <w:r>
          <w:rPr>
            <w:rStyle w:val="Hyperlink"/>
            <w:rFonts w:ascii="Times New Roman" w:hAnsi="Times New Roman"/>
            <w:sz w:val="18"/>
          </w:rPr>
          <w:t>https://ec.europa.eu/info/publ</w:t>
        </w:r>
        <w:r>
          <w:rPr>
            <w:rStyle w:val="Hyperlink"/>
            <w:rFonts w:ascii="Times New Roman" w:hAnsi="Times New Roman"/>
            <w:sz w:val="18"/>
          </w:rPr>
          <w:t>ications/180524-proposal-sustainable-finance_en</w:t>
        </w:r>
      </w:hyperlink>
      <w:r>
        <w:rPr>
          <w:rFonts w:ascii="Times New Roman" w:hAnsi="Times New Roman"/>
          <w:sz w:val="18"/>
        </w:rPr>
        <w:t xml:space="preserve">. </w:t>
      </w:r>
    </w:p>
  </w:footnote>
  <w:footnote w:id="63">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Kommissionen for erhvervsliv og bæredygtig udvikling, "Better Business Better World, The report of the Business &amp; Sustainable Development Commission", januar 2017.</w:t>
      </w:r>
    </w:p>
  </w:footnote>
  <w:footnote w:id="64">
    <w:p w:rsidR="000E3A3F" w:rsidRDefault="00B958E1">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Kommissionen for erhvervsliv og bæredy</w:t>
      </w:r>
      <w:r>
        <w:rPr>
          <w:rFonts w:ascii="Times New Roman" w:hAnsi="Times New Roman"/>
          <w:sz w:val="18"/>
          <w:lang w:val="en-GB"/>
        </w:rPr>
        <w:t>gtig udvikling, "Better Business Better World, The report of the Business &amp; Sustainable Development Commission", januar 2017.</w:t>
      </w:r>
      <w:r>
        <w:rPr>
          <w:rFonts w:ascii="Times New Roman" w:hAnsi="Times New Roman"/>
          <w:lang w:val="en-GB"/>
        </w:rPr>
        <w:t xml:space="preserve"> </w:t>
      </w:r>
    </w:p>
  </w:footnote>
  <w:footnote w:id="65">
    <w:p w:rsidR="000E3A3F" w:rsidRDefault="00B958E1">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"Tax Policies in the European Union: 2018 Survey". Findes på:</w:t>
      </w:r>
    </w:p>
    <w:p w:rsidR="000E3A3F" w:rsidRDefault="00B958E1">
      <w:pPr>
        <w:pStyle w:val="FootnoteText"/>
        <w:jc w:val="both"/>
        <w:rPr>
          <w:rFonts w:ascii="Times New Roman" w:hAnsi="Times New Roman" w:cs="Times New Roman"/>
          <w:sz w:val="18"/>
          <w:szCs w:val="18"/>
          <w:lang w:eastAsia="en-GB"/>
        </w:rPr>
      </w:pPr>
      <w:hyperlink r:id="rId22">
        <w:r>
          <w:rPr>
            <w:rStyle w:val="Hyperlink"/>
            <w:rFonts w:ascii="Times New Roman" w:hAnsi="Times New Roman"/>
            <w:sz w:val="18"/>
            <w:lang w:val="en-GB"/>
          </w:rPr>
          <w:t>https://ec.europa.eu/taxation_customs/business/company-tax/tax-good-governance/european-semester/tax-pol</w:t>
        </w:r>
        <w:r>
          <w:rPr>
            <w:rStyle w:val="Hyperlink"/>
            <w:rFonts w:ascii="Times New Roman" w:hAnsi="Times New Roman"/>
            <w:sz w:val="18"/>
            <w:lang w:val="en-GB"/>
          </w:rPr>
          <w:t>icies-european-union-survey_en</w:t>
        </w:r>
      </w:hyperlink>
      <w:r>
        <w:rPr>
          <w:rFonts w:ascii="Times New Roman" w:hAnsi="Times New Roman"/>
          <w:sz w:val="18"/>
          <w:lang w:val="en-GB"/>
        </w:rPr>
        <w:t xml:space="preserve">. </w:t>
      </w:r>
      <w:r>
        <w:rPr>
          <w:rFonts w:ascii="Times New Roman" w:hAnsi="Times New Roman"/>
          <w:sz w:val="18"/>
        </w:rPr>
        <w:t>I december 2018 iværksatte Kommissionen en undersøgelse om megatendenser (klimaændringer, digitalisering, befolkningsaldring osv.) og deres indvirkning på EU's økonomier, navnlig bæredygtigheden af skattesystemerne i EU.</w:t>
      </w:r>
    </w:p>
  </w:footnote>
  <w:footnote w:id="66">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pt-PT"/>
        </w:rPr>
        <w:t xml:space="preserve"> C</w:t>
      </w:r>
      <w:r>
        <w:rPr>
          <w:rFonts w:ascii="Times New Roman" w:hAnsi="Times New Roman"/>
          <w:sz w:val="18"/>
          <w:lang w:val="pt-PT"/>
        </w:rPr>
        <w:t>OM(2019) 8 final.</w:t>
      </w:r>
    </w:p>
  </w:footnote>
  <w:footnote w:id="67">
    <w:p w:rsidR="000E3A3F" w:rsidRDefault="00B958E1">
      <w:pPr>
        <w:pStyle w:val="FootnoteText"/>
        <w:jc w:val="both"/>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sz w:val="18"/>
          <w:lang w:val="pt-PT"/>
        </w:rPr>
        <w:t>COM(2019) 8 final.</w:t>
      </w:r>
    </w:p>
  </w:footnote>
  <w:footnote w:id="68">
    <w:p w:rsidR="000E3A3F" w:rsidRDefault="00B958E1">
      <w:pPr>
        <w:pStyle w:val="FootnoteText"/>
        <w:jc w:val="both"/>
        <w:rPr>
          <w:rFonts w:ascii="Times New Roman" w:hAnsi="Times New Roman" w:cs="Times New Roman"/>
          <w:sz w:val="18"/>
          <w:szCs w:val="18"/>
          <w:lang w:val="pt-PT"/>
        </w:rPr>
      </w:pPr>
      <w:r>
        <w:rPr>
          <w:rStyle w:val="FootnoteReference"/>
          <w:rFonts w:ascii="Times New Roman" w:hAnsi="Times New Roman"/>
          <w:sz w:val="18"/>
        </w:rPr>
        <w:footnoteRef/>
      </w:r>
      <w:r>
        <w:rPr>
          <w:rFonts w:ascii="Times New Roman" w:hAnsi="Times New Roman"/>
          <w:sz w:val="18"/>
          <w:lang w:val="pt-PT"/>
        </w:rPr>
        <w:t xml:space="preserve"> COM(2019) 8 final.</w:t>
      </w:r>
    </w:p>
  </w:footnote>
  <w:footnote w:id="69">
    <w:p w:rsidR="000E3A3F" w:rsidRDefault="00B958E1">
      <w:pPr>
        <w:pStyle w:val="FootnoteText"/>
        <w:rPr>
          <w:rFonts w:ascii="Times New Roman" w:hAnsi="Times New Roman" w:cs="Times New Roman"/>
          <w:sz w:val="18"/>
          <w:szCs w:val="18"/>
          <w:lang w:val="pt-PT"/>
        </w:rPr>
      </w:pPr>
      <w:r>
        <w:rPr>
          <w:rStyle w:val="FootnoteReference"/>
        </w:rPr>
        <w:footnoteRef/>
      </w:r>
      <w:r>
        <w:rPr>
          <w:lang w:val="pt-PT"/>
        </w:rPr>
        <w:t xml:space="preserve"> </w:t>
      </w:r>
      <w:r>
        <w:rPr>
          <w:rFonts w:ascii="Times New Roman" w:hAnsi="Times New Roman"/>
          <w:sz w:val="18"/>
          <w:lang w:val="pt-PT"/>
        </w:rPr>
        <w:t xml:space="preserve">Dierx, Adriaan, Ilzkovitz, Pataracchia, Ratto, Thum-Thysen and Varga (2017), "Does EU competition policy support inclusive growth", Journal of Competition Law &amp; Economics, Vol. 13, No. 2; OECD, </w:t>
      </w:r>
      <w:r>
        <w:rPr>
          <w:rFonts w:ascii="Times New Roman" w:hAnsi="Times New Roman"/>
          <w:sz w:val="18"/>
          <w:lang w:val="pt-PT"/>
        </w:rPr>
        <w:t xml:space="preserve">"Factsheet on how competition policy affects macro-economic outcomes" (October 2014); Fabienne Ilzkovitz and Adriaan Dierx, "Ex-post economic evaluation of competition policy enforcement: A review of the literature", GD for Konkurrence (juni 2015). </w:t>
      </w:r>
    </w:p>
  </w:footnote>
  <w:footnote w:id="70">
    <w:p w:rsidR="000E3A3F" w:rsidRDefault="00B958E1">
      <w:pPr>
        <w:pStyle w:val="FootnoteText"/>
        <w:jc w:val="both"/>
        <w:rPr>
          <w:rFonts w:ascii="Times New Roman" w:hAnsi="Times New Roman" w:cs="Times New Roman"/>
          <w:sz w:val="18"/>
          <w:szCs w:val="18"/>
          <w:lang w:val="pt-PT"/>
        </w:rPr>
      </w:pPr>
      <w:r>
        <w:rPr>
          <w:rFonts w:ascii="Times New Roman" w:hAnsi="Times New Roman"/>
          <w:sz w:val="18"/>
          <w:vertAlign w:val="superscript"/>
        </w:rPr>
        <w:footnoteRef/>
      </w:r>
      <w:r>
        <w:rPr>
          <w:rFonts w:ascii="Times New Roman" w:hAnsi="Times New Roman"/>
          <w:sz w:val="18"/>
          <w:vertAlign w:val="superscript"/>
          <w:lang w:val="pt-PT"/>
        </w:rPr>
        <w:t xml:space="preserve"> </w:t>
      </w:r>
      <w:hyperlink r:id="rId23">
        <w:r>
          <w:rPr>
            <w:rStyle w:val="Hyperlink"/>
            <w:rFonts w:ascii="Times New Roman" w:hAnsi="Times New Roman"/>
            <w:sz w:val="18"/>
            <w:lang w:val="pt-PT"/>
          </w:rPr>
          <w:t xml:space="preserve">http://ec.europa.eu/competition/state_aid/scoreboard/index_en.html </w:t>
        </w:r>
      </w:hyperlink>
    </w:p>
    <w:p w:rsidR="000E3A3F" w:rsidRDefault="000E3A3F">
      <w:pPr>
        <w:pStyle w:val="FootnoteText"/>
        <w:rPr>
          <w:rFonts w:ascii="Times New Roman" w:hAnsi="Times New Roman" w:cs="Times New Roman"/>
          <w:sz w:val="18"/>
          <w:szCs w:val="18"/>
          <w:lang w:val="pt-PT"/>
        </w:rPr>
      </w:pPr>
    </w:p>
  </w:footnote>
  <w:footnote w:id="71">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Europa-Parlamentets og Rådets direktiv (EU) 2017/828 af 17. maj 2017 om ændring af direktiv </w:t>
      </w:r>
    </w:p>
    <w:p w:rsidR="000E3A3F" w:rsidRDefault="00B958E1">
      <w:pPr>
        <w:pStyle w:val="FootnoteText"/>
        <w:jc w:val="both"/>
        <w:rPr>
          <w:rFonts w:ascii="Times New Roman" w:hAnsi="Times New Roman" w:cs="Times New Roman"/>
          <w:sz w:val="18"/>
          <w:szCs w:val="18"/>
        </w:rPr>
      </w:pPr>
      <w:r>
        <w:rPr>
          <w:rFonts w:ascii="Times New Roman" w:hAnsi="Times New Roman"/>
          <w:sz w:val="18"/>
        </w:rPr>
        <w:t xml:space="preserve">    2007/36/EF, for så vidt angår tilskyndelse til langsigtet aktivt ejerskab (EØS-relevant tekst).</w:t>
      </w:r>
    </w:p>
  </w:footnote>
  <w:footnote w:id="72">
    <w:p w:rsidR="000E3A3F" w:rsidRDefault="00B958E1">
      <w:pPr>
        <w:pStyle w:val="FootnoteText"/>
      </w:pPr>
      <w:r>
        <w:rPr>
          <w:rStyle w:val="FootnoteReference"/>
          <w:rFonts w:ascii="Times New Roman" w:hAnsi="Times New Roman"/>
          <w:sz w:val="18"/>
        </w:rPr>
        <w:footnoteRef/>
      </w:r>
      <w:r>
        <w:rPr>
          <w:rFonts w:ascii="Times New Roman" w:hAnsi="Times New Roman"/>
          <w:sz w:val="18"/>
        </w:rPr>
        <w:t xml:space="preserve"> Europa-Parlamentets og Rådets direktiv 2014/95/EU af 22. oktober 2014 om ændring af direktiv 2013/34/EU for så vidt angår offentliggørelse af ikke-finansi</w:t>
      </w:r>
      <w:r>
        <w:rPr>
          <w:rFonts w:ascii="Times New Roman" w:hAnsi="Times New Roman"/>
          <w:sz w:val="18"/>
        </w:rPr>
        <w:t>elle oplysninger og oplysninger om mangfoldighed for visse store virksomheder og koncerner (EØS-relevant tekst).</w:t>
      </w:r>
    </w:p>
  </w:footnote>
  <w:footnote w:id="73">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Forordning (EU) 2017/821 om konfliktmineraler.</w:t>
      </w:r>
    </w:p>
  </w:footnote>
  <w:footnote w:id="74">
    <w:p w:rsidR="000E3A3F" w:rsidRDefault="00B958E1">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hyperlink r:id="rId24" w:anchor="investment">
        <w:r>
          <w:rPr>
            <w:rStyle w:val="Hyperlink"/>
            <w:rFonts w:ascii="Times New Roman" w:hAnsi="Times New Roman"/>
            <w:sz w:val="18"/>
          </w:rPr>
          <w:t>https://ec.europa.eu/info/publications/180524-proposal-sustainable-finance_en#investment</w:t>
        </w:r>
      </w:hyperlink>
      <w:r>
        <w:rPr>
          <w:rFonts w:ascii="Times New Roman" w:hAnsi="Times New Roman"/>
          <w:sz w:val="18"/>
        </w:rPr>
        <w:t>.  Der vil i forbindelse med EU's industridage i begyndelsen af 2019 blive fremlagt et mere omfattende billede af EU's seneste fremskridt med hensy</w:t>
      </w:r>
      <w:r>
        <w:rPr>
          <w:rFonts w:ascii="Times New Roman" w:hAnsi="Times New Roman"/>
          <w:sz w:val="18"/>
        </w:rPr>
        <w:t>n til virksomhedernes sociale ansvar/ansvarlig forretningsskik og erhvervsliv og menneskerettigheder.</w:t>
      </w:r>
    </w:p>
  </w:footnote>
  <w:footnote w:id="75">
    <w:p w:rsidR="000E3A3F" w:rsidRDefault="00B958E1">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ial" w:hAnsi="Arial" w:cs="Arial"/>
          <w:sz w:val="18"/>
          <w:szCs w:val="18"/>
        </w:rPr>
      </w:pPr>
      <w:r>
        <w:rPr>
          <w:rStyle w:val="FootnoteReference"/>
          <w:rFonts w:ascii="Arial" w:hAnsi="Arial"/>
          <w:sz w:val="18"/>
        </w:rPr>
        <w:footnoteRef/>
      </w:r>
      <w:r>
        <w:rPr>
          <w:rFonts w:ascii="Arial" w:hAnsi="Arial"/>
          <w:sz w:val="18"/>
        </w:rPr>
        <w:t xml:space="preserve"> </w:t>
      </w:r>
      <w:r>
        <w:rPr>
          <w:rFonts w:ascii="Times New Roman" w:hAnsi="Times New Roman"/>
          <w:sz w:val="18"/>
        </w:rPr>
        <w:t>Uofficielt dokument fra Kommissio</w:t>
      </w:r>
      <w:r>
        <w:rPr>
          <w:rFonts w:ascii="Times New Roman" w:hAnsi="Times New Roman"/>
          <w:sz w:val="18"/>
        </w:rPr>
        <w:t>nens tjenestegrene. Findes på:</w:t>
      </w:r>
      <w:r>
        <w:rPr>
          <w:rFonts w:ascii="Arial" w:hAnsi="Arial"/>
          <w:sz w:val="18"/>
        </w:rPr>
        <w:t xml:space="preserve"> </w:t>
      </w:r>
      <w:hyperlink r:id="rId25">
        <w:r>
          <w:rPr>
            <w:rFonts w:ascii="Times New Roman" w:hAnsi="Times New Roman"/>
            <w:sz w:val="18"/>
          </w:rPr>
          <w:t>http://trade.ec.europa.eu/doclib/docs/2018/february/tradoc_156618.pdf</w:t>
        </w:r>
      </w:hyperlink>
      <w:r>
        <w:rPr>
          <w:rFonts w:ascii="Times New Roman" w:hAnsi="Times New Roman"/>
          <w:sz w:val="18"/>
        </w:rPr>
        <w:t>.</w:t>
      </w:r>
      <w:r>
        <w:rPr>
          <w:rFonts w:ascii="Arial" w:hAnsi="Arial"/>
          <w:sz w:val="18"/>
        </w:rPr>
        <w:t xml:space="preserve"> </w:t>
      </w:r>
    </w:p>
  </w:footnote>
  <w:footnote w:id="77">
    <w:p w:rsidR="000E3A3F" w:rsidRDefault="00B958E1">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 EU-rapporten fra 2019 om sammenhæng i udviklingspolitikken, </w:t>
      </w:r>
      <w:r>
        <w:rPr>
          <w:rFonts w:ascii="Times New Roman" w:hAnsi="Times New Roman"/>
          <w:sz w:val="18"/>
        </w:rPr>
        <w:t>der offentliggøres sammen med dette oplæg, er der gjort rede for fremskridtene – arbejdsdokument fra Kommissionens tjenestegrene (SWD(2019) 20).</w:t>
      </w:r>
    </w:p>
  </w:footnote>
  <w:footnote w:id="78">
    <w:p w:rsidR="000E3A3F" w:rsidRDefault="00B958E1">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vertAlign w:val="superscript"/>
        </w:rPr>
        <w:footnoteRef/>
      </w:r>
      <w:r>
        <w:rPr>
          <w:rStyle w:val="Funotenzeichen"/>
          <w:rFonts w:ascii="Times New Roman" w:hAnsi="Times New Roman"/>
          <w:sz w:val="18"/>
        </w:rPr>
        <w:t xml:space="preserve"> </w:t>
      </w:r>
      <w:r>
        <w:rPr>
          <w:rFonts w:ascii="Times New Roman" w:hAnsi="Times New Roman"/>
          <w:sz w:val="18"/>
        </w:rPr>
        <w:t>COM(2018) 703 final.</w:t>
      </w:r>
      <w:r>
        <w:rPr>
          <w:rFonts w:ascii="Times New Roman" w:hAnsi="Times New Roman"/>
          <w:sz w:val="24"/>
        </w:rPr>
        <w:t xml:space="preserve"> </w:t>
      </w:r>
      <w:r>
        <w:rPr>
          <w:rStyle w:val="Funotenzeichen"/>
          <w:rFonts w:ascii="Times New Roman" w:hAnsi="Times New Roman"/>
          <w:sz w:val="18"/>
        </w:rPr>
        <w:t xml:space="preserve">Findes på: </w:t>
      </w:r>
      <w:hyperlink r:id="rId26">
        <w:r>
          <w:rPr>
            <w:rStyle w:val="Hyperlink"/>
            <w:rFonts w:ascii="Times New Roman" w:hAnsi="Times New Roman"/>
            <w:sz w:val="18"/>
          </w:rPr>
          <w:t>https://ec.europa.eu/info/sites/info/files/communication-principles-subsidiarity-proportionality-strengthening-role-policymaking_en.pdf</w:t>
        </w:r>
      </w:hyperlink>
      <w:r>
        <w:rPr>
          <w:rStyle w:val="Funotenzeichen"/>
          <w:rFonts w:ascii="Times New Roman" w:hAnsi="Times New Roman"/>
          <w:sz w:val="18"/>
        </w:rPr>
        <w:t xml:space="preserve"> og </w:t>
      </w:r>
      <w:hyperlink r:id="rId27">
        <w:r>
          <w:rPr>
            <w:rStyle w:val="Hyperlink"/>
            <w:rFonts w:ascii="Times New Roman" w:hAnsi="Times New Roman"/>
            <w:sz w:val="18"/>
          </w:rPr>
          <w:t>https://ec.europa.eu/commission/priorities/democratic-change/better-regulation/task-force-subsidiarity-proportionality-an</w:t>
        </w:r>
        <w:r>
          <w:rPr>
            <w:rStyle w:val="Hyperlink"/>
            <w:rFonts w:ascii="Times New Roman" w:hAnsi="Times New Roman"/>
            <w:sz w:val="18"/>
          </w:rPr>
          <w:t xml:space="preserve">d-doing-less-more-efficiently_en. </w:t>
        </w:r>
      </w:hyperlink>
    </w:p>
  </w:footnote>
  <w:footnote w:id="79">
    <w:p w:rsidR="000E3A3F" w:rsidRDefault="00B958E1">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Fonts w:ascii="Times New Roman" w:hAnsi="Times New Roman"/>
          <w:sz w:val="18"/>
        </w:rPr>
        <w:t xml:space="preserve"> Findes på: </w:t>
      </w:r>
      <w:hyperlink r:id="rId28">
        <w:r>
          <w:rPr>
            <w:rStyle w:val="Hyperlink"/>
            <w:rFonts w:ascii="Times New Roman" w:hAnsi="Times New Roman"/>
            <w:sz w:val="18"/>
          </w:rPr>
          <w:t>https://ec.europa.eu/info/strategy/international-strategies/global-topics/sustainable-development-goals/multi-stakeholder-platform-sdgs_en</w:t>
        </w:r>
      </w:hyperlink>
      <w:r>
        <w:rPr>
          <w:rStyle w:val="Hyperlink"/>
          <w:rFonts w:ascii="Times New Roman" w:hAnsi="Times New Roman"/>
          <w:sz w:val="18"/>
        </w:rPr>
        <w:t>.</w:t>
      </w:r>
      <w:r>
        <w:rPr>
          <w:rFonts w:ascii="Times New Roman" w:hAnsi="Times New Roman"/>
          <w:sz w:val="18"/>
        </w:rPr>
        <w:t xml:space="preserve"> </w:t>
      </w:r>
    </w:p>
  </w:footnote>
  <w:footnote w:id="80">
    <w:p w:rsidR="000E3A3F" w:rsidRDefault="00B958E1">
      <w:pPr>
        <w:pStyle w:val="FootnoteText"/>
      </w:pPr>
      <w:r>
        <w:rPr>
          <w:rStyle w:val="FootnoteReference"/>
        </w:rPr>
        <w:footnoteRef/>
      </w:r>
      <w:r>
        <w:t xml:space="preserve"> </w:t>
      </w:r>
      <w:r>
        <w:rPr>
          <w:rFonts w:ascii="Times New Roman" w:hAnsi="Times New Roman"/>
          <w:sz w:val="18"/>
        </w:rPr>
        <w:t>Med mobiliseringen af over 37 mia. EUR siden starten i september 2017 er alliancen godt på vej til at nå 2020-mål</w:t>
      </w:r>
      <w:r>
        <w:rPr>
          <w:rFonts w:ascii="Times New Roman" w:hAnsi="Times New Roman"/>
          <w:sz w:val="18"/>
        </w:rPr>
        <w:t>et om mobilisering af 44 mia. EUR i investeringer med henblik på bæredygtig udvikling.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E1" w:rsidRPr="00B958E1" w:rsidRDefault="00B958E1" w:rsidP="00B958E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3F" w:rsidRDefault="000E3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073D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15:restartNumberingAfterBreak="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09A5C70-908E-4FC6-A3B5-AF12467A4164"/>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xelles, den "/>
    <w:docVar w:name="LW_EMISSION_SUFFIX" w:val=" "/>
    <w:docVar w:name="LW_ID_DOCTYPE_NONLW" w:val="CP-035"/>
    <w:docVar w:name="LW_LANGUE" w:val="DA"/>
    <w:docVar w:name="LW_LEVEL_OF_SENSITIVITY" w:val="Standard treatment"/>
    <w:docVar w:name="LW_NOM.INST" w:val="EUROPA-KOMMISSIONEN"/>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å vej mod et bæredygtigt Europa i 2030"/>
    <w:docVar w:name="LW_TYPE.DOC.CP" w:val="Oplæg"/>
  </w:docVars>
  <w:rsids>
    <w:rsidRoot w:val="000E3A3F"/>
    <w:rsid w:val="000E3A3F"/>
    <w:rsid w:val="00B958E1"/>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Footnote TextCSR,ft,Footnote,Fußnote,o,5_G"/>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Footnote TextCSR Char,ft Char"/>
    <w:basedOn w:val="DefaultParagraphFont"/>
    <w:link w:val="FootnoteText"/>
    <w:uiPriority w:val="99"/>
    <w:rPr>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basedOn w:val="DefaultParagraphFont"/>
    <w:uiPriority w:val="99"/>
    <w:unhideWhenUsed/>
    <w:qFormat/>
    <w:rPr>
      <w:vertAlign w:val="superscript"/>
    </w:rPr>
  </w:style>
  <w:style w:type="character" w:customStyle="1" w:styleId="reference-text">
    <w:name w:val="reference-text"/>
    <w:basedOn w:val="DefaultParagraphFont"/>
  </w:style>
  <w:style w:type="paragraph" w:customStyle="1" w:styleId="t-body-text">
    <w:name w:val="t-body-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DefaultParagraphFont"/>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paragraph" w:customStyle="1" w:styleId="SUPERSChar">
    <w:name w:val="SUPERS Char"/>
    <w:basedOn w:val="Normal"/>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pPr>
      <w:tabs>
        <w:tab w:val="left" w:pos="440"/>
        <w:tab w:val="right" w:leader="dot" w:pos="9016"/>
      </w:tabs>
      <w:spacing w:before="120" w:after="100"/>
      <w:jc w:val="both"/>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1">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0">
    <w:name w:val="A0"/>
    <w:uiPriority w:val="99"/>
    <w:rPr>
      <w:rFonts w:cs="EC Square Sans Pro"/>
      <w:color w:val="000000"/>
      <w:sz w:val="26"/>
      <w:szCs w:val="26"/>
    </w:rPr>
  </w:style>
  <w:style w:type="paragraph" w:styleId="TOC2">
    <w:name w:val="toc 2"/>
    <w:basedOn w:val="Normal"/>
    <w:next w:val="Normal"/>
    <w:autoRedefine/>
    <w:uiPriority w:val="39"/>
    <w:unhideWhenUsed/>
    <w:pPr>
      <w:tabs>
        <w:tab w:val="left" w:pos="1100"/>
        <w:tab w:val="right" w:leader="dot" w:pos="9016"/>
      </w:tabs>
      <w:spacing w:before="120" w:after="120" w:line="240" w:lineRule="auto"/>
      <w:ind w:left="442"/>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da-DK"/>
    </w:rPr>
  </w:style>
  <w:style w:type="paragraph" w:customStyle="1" w:styleId="Footnotesrefs">
    <w:name w:val="Footnotes refs"/>
    <w:basedOn w:val="Normal"/>
    <w:uiPriority w:val="99"/>
    <w:pPr>
      <w:spacing w:after="0" w:line="240" w:lineRule="exact"/>
    </w:pPr>
    <w:rPr>
      <w:vertAlign w:val="superscript"/>
    </w:rPr>
  </w:style>
  <w:style w:type="paragraph" w:styleId="TOC3">
    <w:name w:val="toc 3"/>
    <w:basedOn w:val="Normal"/>
    <w:next w:val="Normal"/>
    <w:autoRedefine/>
    <w:uiPriority w:val="39"/>
    <w:unhideWhenUsed/>
    <w:pPr>
      <w:spacing w:after="100"/>
      <w:ind w:left="440"/>
    </w:pPr>
  </w:style>
  <w:style w:type="character" w:customStyle="1" w:styleId="footnotereference0">
    <w:name w:val="footnotereference"/>
    <w:basedOn w:val="DefaultParagraphFont"/>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rPr>
  </w:style>
  <w:style w:type="paragraph" w:customStyle="1" w:styleId="Point0number">
    <w:name w:val="Point 0 (number)"/>
    <w:basedOn w:val="Normal"/>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DefaultParagraphFont"/>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6">
    <w:name w:val="A6"/>
    <w:uiPriority w:val="99"/>
    <w:rPr>
      <w:rFonts w:cs="Garamond"/>
      <w:color w:val="000000"/>
      <w:sz w:val="22"/>
      <w:szCs w:val="22"/>
    </w:rPr>
  </w:style>
  <w:style w:type="paragraph" w:customStyle="1" w:styleId="Pointabc">
    <w:name w:val="Point abc"/>
    <w:basedOn w:val="Normal"/>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Normal"/>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Normal"/>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Normal"/>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Normal"/>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Normal"/>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Normal"/>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Normal"/>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Normal"/>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Normal"/>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DefaultParagraphFont"/>
  </w:style>
  <w:style w:type="paragraph" w:customStyle="1" w:styleId="p1">
    <w:name w:val="p1"/>
    <w:basedOn w:val="Normal"/>
    <w:pPr>
      <w:spacing w:after="0" w:line="240" w:lineRule="auto"/>
    </w:pPr>
    <w:rPr>
      <w:rFonts w:ascii="Times New Roman" w:hAnsi="Times New Roman" w:cs="Times New Roman"/>
      <w:sz w:val="17"/>
      <w:szCs w:val="17"/>
    </w:rPr>
  </w:style>
  <w:style w:type="character" w:customStyle="1" w:styleId="Funotenzeichen">
    <w:name w:val="Fußnotenzeichen"/>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apple-converted-space">
    <w:name w:val="apple-converted-space"/>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DefaultParagraphFont"/>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da-DK" w:eastAsia="da-DK" w:bidi="da-DK"/>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header" Target="header23.xml"/><Relationship Id="rId8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footer" Target="footer21.xml"/><Relationship Id="rId79" Type="http://schemas.openxmlformats.org/officeDocument/2006/relationships/header" Target="header24.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eader" Target="header26.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header" Target="header10.xml"/><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ood/safety/food_waste_en" TargetMode="External"/><Relationship Id="rId13" Type="http://schemas.openxmlformats.org/officeDocument/2006/relationships/hyperlink" Target="https://www.sitra.fi/en/publications/circular-economy-powerful-force-climate-mitigation/" TargetMode="External"/><Relationship Id="rId18" Type="http://schemas.openxmlformats.org/officeDocument/2006/relationships/hyperlink" Target="https://www.un.org/sustainabledevelopment/cities/" TargetMode="External"/><Relationship Id="rId26" Type="http://schemas.openxmlformats.org/officeDocument/2006/relationships/hyperlink" Target="https://ec.europa.eu/info/sites/info/files/communication-principles-subsidiarity-proportionality-strengthening-role-policymaking_en.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publications/180524-proposal-sustainable-finance_en" TargetMode="External"/><Relationship Id="rId7" Type="http://schemas.openxmlformats.org/officeDocument/2006/relationships/hyperlink" Target="https://hbr.org/2017/06/if-you-think-fighting-climate-change-will-be-expensive-calculate-the-cost-of-letting-it-happen" TargetMode="External"/><Relationship Id="rId12" Type="http://schemas.openxmlformats.org/officeDocument/2006/relationships/hyperlink" Target="https://ec.europa.eu/eurostat/statistics-explained/pdfscache/10420.pdf" TargetMode="External"/><Relationship Id="rId17" Type="http://schemas.openxmlformats.org/officeDocument/2006/relationships/hyperlink" Target="http://topten.eu/" TargetMode="External"/><Relationship Id="rId25" Type="http://schemas.openxmlformats.org/officeDocument/2006/relationships/hyperlink" Target="http://trade.ec.europa.eu/doclib/docs/2018/february/tradoc_156618.pdf"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health/amr/sites/amr/files/amr_action_plan_2017_en.pdf" TargetMode="External"/><Relationship Id="rId20" Type="http://schemas.openxmlformats.org/officeDocument/2006/relationships/hyperlink" Target="http://sustain.stanford.edu/crop-yield-analysis"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www.footprintnetwork.org/our-work/ecological-footprint/" TargetMode="External"/><Relationship Id="rId11" Type="http://schemas.openxmlformats.org/officeDocument/2006/relationships/hyperlink" Target="https://eur-lex.europa.eu/legal-content/EN/TXT/?uri=CELEX:32013D1386" TargetMode="External"/><Relationship Id="rId24" Type="http://schemas.openxmlformats.org/officeDocument/2006/relationships/hyperlink" Target="https://ec.europa.eu/info/publications/180524-proposal-sustainable-finance_en" TargetMode="External"/><Relationship Id="rId5" Type="http://schemas.openxmlformats.org/officeDocument/2006/relationships/hyperlink" Target="https://ec.europa.eu/info/sites/info/files/economy-finance/ip089_en_0.pdf" TargetMode="External"/><Relationship Id="rId15" Type="http://schemas.openxmlformats.org/officeDocument/2006/relationships/hyperlink" Target="https://ec.europa.eu/commission/publications/natural-resources-and-environment" TargetMode="External"/><Relationship Id="rId23" Type="http://schemas.openxmlformats.org/officeDocument/2006/relationships/hyperlink" Target="http://ec.europa.eu/competition/state_aid/scoreboard/index_en.html" TargetMode="External"/><Relationship Id="rId28" Type="http://schemas.openxmlformats.org/officeDocument/2006/relationships/hyperlink" Target="https://ec.europa.eu/info/strategy/international-strategies/global-topics/sustainable-development-goals/multi-stakeholder-platform-sdgs_en" TargetMode="External"/><Relationship Id="rId10" Type="http://schemas.openxmlformats.org/officeDocument/2006/relationships/hyperlink" Target="https://eige.europa.eu/news-and-events/news/gender-equality-index-2017-progress-snails-pace" TargetMode="External"/><Relationship Id="rId19" Type="http://schemas.openxmlformats.org/officeDocument/2006/relationships/hyperlink" Target="https://ec.europa.eu/growth/tools-databases/dem/monitor/sites/default/files/DTM_AI%20USA-China-EU%20plans%20for%20AI%20v5.pdf" TargetMode="External"/><Relationship Id="rId4" Type="http://schemas.openxmlformats.org/officeDocument/2006/relationships/hyperlink" Target="https://www.youthforum.org/youth-progress-index" TargetMode="External"/><Relationship Id="rId9" Type="http://schemas.openxmlformats.org/officeDocument/2006/relationships/hyperlink" Target="http://www.fao.org/3/a-i6106e.pdf" TargetMode="External"/><Relationship Id="rId14" Type="http://schemas.openxmlformats.org/officeDocument/2006/relationships/hyperlink" Target="http://www.fao.org/rural-employment/work-areas/green-jobs/en/" TargetMode="External"/><Relationship Id="rId22" Type="http://schemas.openxmlformats.org/officeDocument/2006/relationships/hyperlink" Target="https://ec.europa.eu/taxation_customs/business/company-tax/tax-good-governance/european-semester/tax-policies-european-union-survey_en" TargetMode="External"/><Relationship Id="rId27" Type="http://schemas.openxmlformats.org/officeDocument/2006/relationships/hyperlink" Target="https://ec.europa.eu/commission/priorities/democratic-change/better-regulation/task-force-subsidiarity-proportionality-and-doing-less-more-efficientl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5A398-09F0-404A-8594-269F8C919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16331</Words>
  <Characters>96517</Characters>
  <Application>Microsoft Office Word</Application>
  <DocSecurity>0</DocSecurity>
  <Lines>1635</Lines>
  <Paragraphs>317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2019-01-29T16:58:00Z</dcterms:created>
  <dcterms:modified xsi:type="dcterms:W3CDTF">2019-02-01T11:39:00Z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Created using">
    <vt:lpwstr>LW 6.0.1, Build 20180503</vt:lpwstr>
  </property>
  <property fmtid="{D5CDD505-2E9C-101B-9397-08002B2CF9AE}" pid="6" name="Part">
    <vt:lpwstr>1</vt:lpwstr>
  </property>
  <property fmtid="{D5CDD505-2E9C-101B-9397-08002B2CF9AE}" pid="7" name="Total parts">
    <vt:lpwstr>1</vt:lpwstr>
  </property>
</Properties>
</file>