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528" w:rsidRDefault="0012413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67496D0-626D-484E-8113-74E15F907D85" style="width:452.1pt;height:293.3pt">
            <v:imagedata r:id="rId8" o:title=""/>
          </v:shape>
        </w:pict>
      </w:r>
    </w:p>
    <w:bookmarkEnd w:id="0"/>
    <w:p w:rsidR="00152528" w:rsidRDefault="00152528">
      <w:pPr>
        <w:rPr>
          <w:noProof/>
        </w:rPr>
        <w:sectPr w:rsidR="00152528">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152528" w:rsidRDefault="00124136">
      <w:pPr>
        <w:pStyle w:val="Title"/>
        <w:jc w:val="center"/>
        <w:rPr>
          <w:rFonts w:ascii="Times New Roman" w:hAnsi="Times New Roman" w:cs="Times New Roman"/>
          <w:b/>
          <w:noProof/>
          <w:sz w:val="24"/>
          <w:szCs w:val="24"/>
        </w:rPr>
      </w:pPr>
      <w:r>
        <w:rPr>
          <w:rFonts w:ascii="Times New Roman" w:hAnsi="Times New Roman"/>
          <w:b/>
          <w:noProof/>
          <w:sz w:val="24"/>
        </w:rPr>
        <w:lastRenderedPageBreak/>
        <w:t>Auf dem Weg zu einem nachhaltigen Europa bis 2030</w:t>
      </w:r>
    </w:p>
    <w:sdt>
      <w:sdtPr>
        <w:rPr>
          <w:rFonts w:asciiTheme="minorHAnsi" w:eastAsiaTheme="minorHAnsi" w:hAnsiTheme="minorHAnsi" w:cstheme="minorBidi"/>
          <w:b w:val="0"/>
          <w:bCs w:val="0"/>
          <w:noProof/>
          <w:color w:val="auto"/>
          <w:sz w:val="22"/>
          <w:szCs w:val="22"/>
        </w:rPr>
        <w:id w:val="1369653727"/>
        <w:docPartObj>
          <w:docPartGallery w:val="Table of Contents"/>
          <w:docPartUnique/>
        </w:docPartObj>
      </w:sdtPr>
      <w:sdtEndPr/>
      <w:sdtContent>
        <w:p w:rsidR="00152528" w:rsidRDefault="00124136">
          <w:pPr>
            <w:pStyle w:val="TOCHeading"/>
            <w:rPr>
              <w:noProof/>
            </w:rPr>
          </w:pPr>
          <w:r>
            <w:rPr>
              <w:noProof/>
            </w:rPr>
            <w:t>Inhalt</w:t>
          </w:r>
        </w:p>
        <w:p w:rsidR="00152528" w:rsidRDefault="00124136">
          <w:pPr>
            <w:pStyle w:val="TOC1"/>
            <w:rPr>
              <w:rFonts w:eastAsiaTheme="minorEastAsia"/>
              <w:noProof/>
              <w:lang w:val="en-GB" w:eastAsia="en-GB" w:bidi="ar-SA"/>
            </w:rPr>
          </w:pPr>
          <w:r>
            <w:rPr>
              <w:noProof/>
            </w:rPr>
            <w:fldChar w:fldCharType="begin"/>
          </w:r>
          <w:r>
            <w:rPr>
              <w:noProof/>
            </w:rPr>
            <w:instrText xml:space="preserve"> TOC \o "1-3" \h \z \u </w:instrText>
          </w:r>
          <w:r>
            <w:rPr>
              <w:noProof/>
            </w:rPr>
            <w:fldChar w:fldCharType="separate"/>
          </w:r>
          <w:hyperlink w:anchor="_Toc536555105" w:history="1">
            <w:r>
              <w:rPr>
                <w:rStyle w:val="Hyperlink"/>
                <w:noProof/>
              </w:rPr>
              <w:t xml:space="preserve">Vorwort des Ersten Vizepräsidenten </w:t>
            </w:r>
            <w:r>
              <w:rPr>
                <w:rStyle w:val="Hyperlink"/>
                <w:noProof/>
              </w:rPr>
              <w:t>Timmermans und des Vizepräsidenten Katainen</w:t>
            </w:r>
            <w:r>
              <w:rPr>
                <w:noProof/>
                <w:webHidden/>
              </w:rPr>
              <w:tab/>
            </w:r>
            <w:r>
              <w:rPr>
                <w:noProof/>
                <w:webHidden/>
              </w:rPr>
              <w:fldChar w:fldCharType="begin"/>
            </w:r>
            <w:r>
              <w:rPr>
                <w:noProof/>
                <w:webHidden/>
              </w:rPr>
              <w:instrText xml:space="preserve"> PAGEREF _Toc536555105 \h </w:instrText>
            </w:r>
            <w:r>
              <w:rPr>
                <w:noProof/>
                <w:webHidden/>
              </w:rPr>
            </w:r>
            <w:r>
              <w:rPr>
                <w:noProof/>
                <w:webHidden/>
              </w:rPr>
              <w:fldChar w:fldCharType="separate"/>
            </w:r>
            <w:r>
              <w:rPr>
                <w:noProof/>
                <w:webHidden/>
              </w:rPr>
              <w:t>2</w:t>
            </w:r>
            <w:r>
              <w:rPr>
                <w:noProof/>
                <w:webHidden/>
              </w:rPr>
              <w:fldChar w:fldCharType="end"/>
            </w:r>
          </w:hyperlink>
        </w:p>
        <w:p w:rsidR="00152528" w:rsidRDefault="00124136">
          <w:pPr>
            <w:pStyle w:val="TOC1"/>
            <w:rPr>
              <w:rFonts w:eastAsiaTheme="minorEastAsia"/>
              <w:noProof/>
              <w:lang w:val="en-GB" w:eastAsia="en-GB" w:bidi="ar-SA"/>
            </w:rPr>
          </w:pPr>
          <w:hyperlink w:anchor="_Toc536555106" w:history="1">
            <w:r>
              <w:rPr>
                <w:rStyle w:val="Hyperlink"/>
                <w:rFonts w:eastAsia="Times New Roman"/>
                <w:noProof/>
              </w:rPr>
              <w:t>1</w:t>
            </w:r>
            <w:r>
              <w:rPr>
                <w:rFonts w:eastAsiaTheme="minorEastAsia"/>
                <w:noProof/>
                <w:lang w:val="en-GB" w:eastAsia="en-GB" w:bidi="ar-SA"/>
              </w:rPr>
              <w:tab/>
            </w:r>
            <w:r>
              <w:rPr>
                <w:rStyle w:val="Hyperlink"/>
                <w:noProof/>
              </w:rPr>
              <w:t>Nachhaltige Entwicklung zur Sicherung der menschlichen Lebensgrundlagen: Wettbewer</w:t>
            </w:r>
            <w:r>
              <w:rPr>
                <w:rStyle w:val="Hyperlink"/>
                <w:noProof/>
              </w:rPr>
              <w:t>bsvorteile Europas</w:t>
            </w:r>
            <w:r>
              <w:rPr>
                <w:noProof/>
                <w:webHidden/>
              </w:rPr>
              <w:tab/>
            </w:r>
            <w:r>
              <w:rPr>
                <w:noProof/>
                <w:webHidden/>
              </w:rPr>
              <w:fldChar w:fldCharType="begin"/>
            </w:r>
            <w:r>
              <w:rPr>
                <w:noProof/>
                <w:webHidden/>
              </w:rPr>
              <w:instrText xml:space="preserve"> PAGEREF _Toc536555106 \h </w:instrText>
            </w:r>
            <w:r>
              <w:rPr>
                <w:noProof/>
                <w:webHidden/>
              </w:rPr>
            </w:r>
            <w:r>
              <w:rPr>
                <w:noProof/>
                <w:webHidden/>
              </w:rPr>
              <w:fldChar w:fldCharType="separate"/>
            </w:r>
            <w:r>
              <w:rPr>
                <w:noProof/>
                <w:webHidden/>
              </w:rPr>
              <w:t>4</w:t>
            </w:r>
            <w:r>
              <w:rPr>
                <w:noProof/>
                <w:webHidden/>
              </w:rPr>
              <w:fldChar w:fldCharType="end"/>
            </w:r>
          </w:hyperlink>
        </w:p>
        <w:p w:rsidR="00152528" w:rsidRDefault="00124136">
          <w:pPr>
            <w:pStyle w:val="TOC1"/>
            <w:rPr>
              <w:rFonts w:eastAsiaTheme="minorEastAsia"/>
              <w:noProof/>
              <w:lang w:val="en-GB" w:eastAsia="en-GB" w:bidi="ar-SA"/>
            </w:rPr>
          </w:pPr>
          <w:hyperlink w:anchor="_Toc536555107" w:history="1">
            <w:r>
              <w:rPr>
                <w:rStyle w:val="Hyperlink"/>
                <w:rFonts w:eastAsia="Times New Roman"/>
                <w:noProof/>
              </w:rPr>
              <w:t>2</w:t>
            </w:r>
            <w:r>
              <w:rPr>
                <w:rFonts w:eastAsiaTheme="minorEastAsia"/>
                <w:noProof/>
                <w:lang w:val="en-GB" w:eastAsia="en-GB" w:bidi="ar-SA"/>
              </w:rPr>
              <w:tab/>
            </w:r>
            <w:r>
              <w:rPr>
                <w:rStyle w:val="Hyperlink"/>
                <w:noProof/>
              </w:rPr>
              <w:t>Die EU und die anstehenden globalen Herausforderungen</w:t>
            </w:r>
            <w:r>
              <w:rPr>
                <w:noProof/>
                <w:webHidden/>
              </w:rPr>
              <w:tab/>
            </w:r>
            <w:r>
              <w:rPr>
                <w:noProof/>
                <w:webHidden/>
              </w:rPr>
              <w:fldChar w:fldCharType="begin"/>
            </w:r>
            <w:r>
              <w:rPr>
                <w:noProof/>
                <w:webHidden/>
              </w:rPr>
              <w:instrText xml:space="preserve"> PAGEREF _Toc536555107 \h </w:instrText>
            </w:r>
            <w:r>
              <w:rPr>
                <w:noProof/>
                <w:webHidden/>
              </w:rPr>
            </w:r>
            <w:r>
              <w:rPr>
                <w:noProof/>
                <w:webHidden/>
              </w:rPr>
              <w:fldChar w:fldCharType="separate"/>
            </w:r>
            <w:r>
              <w:rPr>
                <w:noProof/>
                <w:webHidden/>
              </w:rPr>
              <w:t>9</w:t>
            </w:r>
            <w:r>
              <w:rPr>
                <w:noProof/>
                <w:webHidden/>
              </w:rPr>
              <w:fldChar w:fldCharType="end"/>
            </w:r>
          </w:hyperlink>
        </w:p>
        <w:p w:rsidR="00152528" w:rsidRDefault="00124136">
          <w:pPr>
            <w:pStyle w:val="TOC1"/>
            <w:rPr>
              <w:rFonts w:eastAsiaTheme="minorEastAsia"/>
              <w:noProof/>
              <w:lang w:val="en-GB" w:eastAsia="en-GB" w:bidi="ar-SA"/>
            </w:rPr>
          </w:pPr>
          <w:hyperlink w:anchor="_Toc536555108" w:history="1">
            <w:r>
              <w:rPr>
                <w:rStyle w:val="Hyperlink"/>
                <w:rFonts w:eastAsia="Times New Roman"/>
                <w:noProof/>
              </w:rPr>
              <w:t>3</w:t>
            </w:r>
            <w:r>
              <w:rPr>
                <w:rFonts w:eastAsiaTheme="minorEastAsia"/>
                <w:noProof/>
                <w:lang w:val="en-GB" w:eastAsia="en-GB" w:bidi="ar-SA"/>
              </w:rPr>
              <w:tab/>
            </w:r>
            <w:r>
              <w:rPr>
                <w:rStyle w:val="Hyperlink"/>
                <w:noProof/>
              </w:rPr>
              <w:t>Ein nachhaltiges Europa bis 2030</w:t>
            </w:r>
            <w:r>
              <w:rPr>
                <w:noProof/>
                <w:webHidden/>
              </w:rPr>
              <w:tab/>
            </w:r>
            <w:r>
              <w:rPr>
                <w:noProof/>
                <w:webHidden/>
              </w:rPr>
              <w:fldChar w:fldCharType="begin"/>
            </w:r>
            <w:r>
              <w:rPr>
                <w:noProof/>
                <w:webHidden/>
              </w:rPr>
              <w:instrText xml:space="preserve"> PAGEREF _Toc536555108 \h </w:instrText>
            </w:r>
            <w:r>
              <w:rPr>
                <w:noProof/>
                <w:webHidden/>
              </w:rPr>
            </w:r>
            <w:r>
              <w:rPr>
                <w:noProof/>
                <w:webHidden/>
              </w:rPr>
              <w:fldChar w:fldCharType="separate"/>
            </w:r>
            <w:r>
              <w:rPr>
                <w:noProof/>
                <w:webHidden/>
              </w:rPr>
              <w:t>16</w:t>
            </w:r>
            <w:r>
              <w:rPr>
                <w:noProof/>
                <w:webHidden/>
              </w:rPr>
              <w:fldChar w:fldCharType="end"/>
            </w:r>
          </w:hyperlink>
        </w:p>
        <w:p w:rsidR="00152528" w:rsidRDefault="00124136">
          <w:pPr>
            <w:pStyle w:val="TOC2"/>
            <w:rPr>
              <w:rFonts w:eastAsiaTheme="minorEastAsia"/>
              <w:noProof/>
              <w:lang w:val="en-GB" w:eastAsia="en-GB" w:bidi="ar-SA"/>
            </w:rPr>
          </w:pPr>
          <w:hyperlink w:anchor="_Toc536555109" w:history="1">
            <w:r>
              <w:rPr>
                <w:rStyle w:val="Hyperlink"/>
                <w:noProof/>
              </w:rPr>
              <w:t>3.1</w:t>
            </w:r>
            <w:r>
              <w:rPr>
                <w:rFonts w:eastAsiaTheme="minorEastAsia"/>
                <w:noProof/>
                <w:lang w:val="en-GB" w:eastAsia="en-GB" w:bidi="ar-SA"/>
              </w:rPr>
              <w:tab/>
            </w:r>
            <w:r>
              <w:rPr>
                <w:rStyle w:val="Hyperlink"/>
                <w:noProof/>
              </w:rPr>
              <w:t>Politische Grundlagen einer nachhaltigen Zukunft</w:t>
            </w:r>
            <w:r>
              <w:rPr>
                <w:noProof/>
                <w:webHidden/>
              </w:rPr>
              <w:tab/>
            </w:r>
            <w:r>
              <w:rPr>
                <w:noProof/>
                <w:webHidden/>
              </w:rPr>
              <w:fldChar w:fldCharType="begin"/>
            </w:r>
            <w:r>
              <w:rPr>
                <w:noProof/>
                <w:webHidden/>
              </w:rPr>
              <w:instrText xml:space="preserve"> PAGEREF _Toc536555109 \h </w:instrText>
            </w:r>
            <w:r>
              <w:rPr>
                <w:noProof/>
                <w:webHidden/>
              </w:rPr>
            </w:r>
            <w:r>
              <w:rPr>
                <w:noProof/>
                <w:webHidden/>
              </w:rPr>
              <w:fldChar w:fldCharType="separate"/>
            </w:r>
            <w:r>
              <w:rPr>
                <w:noProof/>
                <w:webHidden/>
              </w:rPr>
              <w:t>19</w:t>
            </w:r>
            <w:r>
              <w:rPr>
                <w:noProof/>
                <w:webHidden/>
              </w:rPr>
              <w:fldChar w:fldCharType="end"/>
            </w:r>
          </w:hyperlink>
        </w:p>
        <w:p w:rsidR="00152528" w:rsidRDefault="00124136">
          <w:pPr>
            <w:pStyle w:val="TOC3"/>
            <w:tabs>
              <w:tab w:val="left" w:pos="1320"/>
              <w:tab w:val="right" w:leader="dot" w:pos="9062"/>
            </w:tabs>
            <w:rPr>
              <w:rFonts w:eastAsiaTheme="minorEastAsia"/>
              <w:noProof/>
              <w:lang w:val="en-GB" w:eastAsia="en-GB" w:bidi="ar-SA"/>
            </w:rPr>
          </w:pPr>
          <w:hyperlink w:anchor="_Toc536555110" w:history="1">
            <w:r>
              <w:rPr>
                <w:rStyle w:val="Hyperlink"/>
                <w:noProof/>
              </w:rPr>
              <w:t>3.1.1</w:t>
            </w:r>
            <w:r>
              <w:rPr>
                <w:rFonts w:eastAsiaTheme="minorEastAsia"/>
                <w:noProof/>
                <w:lang w:val="en-GB" w:eastAsia="en-GB" w:bidi="ar-SA"/>
              </w:rPr>
              <w:tab/>
            </w:r>
            <w:r>
              <w:rPr>
                <w:rStyle w:val="Hyperlink"/>
                <w:noProof/>
              </w:rPr>
              <w:t>Von der linearen zur Kreislaufwirtschaft</w:t>
            </w:r>
            <w:r>
              <w:rPr>
                <w:noProof/>
                <w:webHidden/>
              </w:rPr>
              <w:tab/>
            </w:r>
            <w:r>
              <w:rPr>
                <w:noProof/>
                <w:webHidden/>
              </w:rPr>
              <w:fldChar w:fldCharType="begin"/>
            </w:r>
            <w:r>
              <w:rPr>
                <w:noProof/>
                <w:webHidden/>
              </w:rPr>
              <w:instrText xml:space="preserve"> PAGEREF _Toc53655511</w:instrText>
            </w:r>
            <w:r>
              <w:rPr>
                <w:noProof/>
                <w:webHidden/>
              </w:rPr>
              <w:instrText xml:space="preserve">0 \h </w:instrText>
            </w:r>
            <w:r>
              <w:rPr>
                <w:noProof/>
                <w:webHidden/>
              </w:rPr>
            </w:r>
            <w:r>
              <w:rPr>
                <w:noProof/>
                <w:webHidden/>
              </w:rPr>
              <w:fldChar w:fldCharType="separate"/>
            </w:r>
            <w:r>
              <w:rPr>
                <w:noProof/>
                <w:webHidden/>
              </w:rPr>
              <w:t>19</w:t>
            </w:r>
            <w:r>
              <w:rPr>
                <w:noProof/>
                <w:webHidden/>
              </w:rPr>
              <w:fldChar w:fldCharType="end"/>
            </w:r>
          </w:hyperlink>
        </w:p>
        <w:p w:rsidR="00152528" w:rsidRDefault="00124136">
          <w:pPr>
            <w:pStyle w:val="TOC3"/>
            <w:tabs>
              <w:tab w:val="left" w:pos="1320"/>
              <w:tab w:val="right" w:leader="dot" w:pos="9062"/>
            </w:tabs>
            <w:rPr>
              <w:rFonts w:eastAsiaTheme="minorEastAsia"/>
              <w:noProof/>
              <w:lang w:val="en-GB" w:eastAsia="en-GB" w:bidi="ar-SA"/>
            </w:rPr>
          </w:pPr>
          <w:hyperlink w:anchor="_Toc536555111" w:history="1">
            <w:r>
              <w:rPr>
                <w:rStyle w:val="Hyperlink"/>
                <w:noProof/>
              </w:rPr>
              <w:t>3.1.2</w:t>
            </w:r>
            <w:r>
              <w:rPr>
                <w:rFonts w:eastAsiaTheme="minorEastAsia"/>
                <w:noProof/>
                <w:lang w:val="en-GB" w:eastAsia="en-GB" w:bidi="ar-SA"/>
              </w:rPr>
              <w:tab/>
            </w:r>
            <w:r>
              <w:rPr>
                <w:rStyle w:val="Hyperlink"/>
                <w:noProof/>
              </w:rPr>
              <w:t>Nachhaltigkeit vom Bauernhof bis zum Verbraucher</w:t>
            </w:r>
            <w:r>
              <w:rPr>
                <w:noProof/>
                <w:webHidden/>
              </w:rPr>
              <w:tab/>
            </w:r>
            <w:r>
              <w:rPr>
                <w:noProof/>
                <w:webHidden/>
              </w:rPr>
              <w:fldChar w:fldCharType="begin"/>
            </w:r>
            <w:r>
              <w:rPr>
                <w:noProof/>
                <w:webHidden/>
              </w:rPr>
              <w:instrText xml:space="preserve"> PAGEREF _Toc536555111 \h </w:instrText>
            </w:r>
            <w:r>
              <w:rPr>
                <w:noProof/>
                <w:webHidden/>
              </w:rPr>
            </w:r>
            <w:r>
              <w:rPr>
                <w:noProof/>
                <w:webHidden/>
              </w:rPr>
              <w:fldChar w:fldCharType="separate"/>
            </w:r>
            <w:r>
              <w:rPr>
                <w:noProof/>
                <w:webHidden/>
              </w:rPr>
              <w:t>22</w:t>
            </w:r>
            <w:r>
              <w:rPr>
                <w:noProof/>
                <w:webHidden/>
              </w:rPr>
              <w:fldChar w:fldCharType="end"/>
            </w:r>
          </w:hyperlink>
        </w:p>
        <w:p w:rsidR="00152528" w:rsidRDefault="00124136">
          <w:pPr>
            <w:pStyle w:val="TOC3"/>
            <w:tabs>
              <w:tab w:val="left" w:pos="1320"/>
              <w:tab w:val="right" w:leader="dot" w:pos="9062"/>
            </w:tabs>
            <w:rPr>
              <w:rFonts w:eastAsiaTheme="minorEastAsia"/>
              <w:noProof/>
              <w:lang w:val="en-GB" w:eastAsia="en-GB" w:bidi="ar-SA"/>
            </w:rPr>
          </w:pPr>
          <w:hyperlink w:anchor="_Toc536555112" w:history="1">
            <w:r>
              <w:rPr>
                <w:rStyle w:val="Hyperlink"/>
                <w:noProof/>
              </w:rPr>
              <w:t>3.1.3</w:t>
            </w:r>
            <w:r>
              <w:rPr>
                <w:rFonts w:eastAsiaTheme="minorEastAsia"/>
                <w:noProof/>
                <w:lang w:val="en-GB" w:eastAsia="en-GB" w:bidi="ar-SA"/>
              </w:rPr>
              <w:tab/>
            </w:r>
            <w:r>
              <w:rPr>
                <w:rStyle w:val="Hyperlink"/>
                <w:noProof/>
              </w:rPr>
              <w:t>Energie, Gebäude und Mobilität für die Zukunft</w:t>
            </w:r>
            <w:r>
              <w:rPr>
                <w:noProof/>
                <w:webHidden/>
              </w:rPr>
              <w:tab/>
            </w:r>
            <w:r>
              <w:rPr>
                <w:noProof/>
                <w:webHidden/>
              </w:rPr>
              <w:fldChar w:fldCharType="begin"/>
            </w:r>
            <w:r>
              <w:rPr>
                <w:noProof/>
                <w:webHidden/>
              </w:rPr>
              <w:instrText xml:space="preserve"> PAGEREF _Toc536555112 \h </w:instrText>
            </w:r>
            <w:r>
              <w:rPr>
                <w:noProof/>
                <w:webHidden/>
              </w:rPr>
            </w:r>
            <w:r>
              <w:rPr>
                <w:noProof/>
                <w:webHidden/>
              </w:rPr>
              <w:fldChar w:fldCharType="separate"/>
            </w:r>
            <w:r>
              <w:rPr>
                <w:noProof/>
                <w:webHidden/>
              </w:rPr>
              <w:t>24</w:t>
            </w:r>
            <w:r>
              <w:rPr>
                <w:noProof/>
                <w:webHidden/>
              </w:rPr>
              <w:fldChar w:fldCharType="end"/>
            </w:r>
          </w:hyperlink>
        </w:p>
        <w:p w:rsidR="00152528" w:rsidRDefault="00124136">
          <w:pPr>
            <w:pStyle w:val="TOC3"/>
            <w:tabs>
              <w:tab w:val="left" w:pos="1320"/>
              <w:tab w:val="right" w:leader="dot" w:pos="9062"/>
            </w:tabs>
            <w:rPr>
              <w:rFonts w:eastAsiaTheme="minorEastAsia"/>
              <w:noProof/>
              <w:lang w:val="en-GB" w:eastAsia="en-GB" w:bidi="ar-SA"/>
            </w:rPr>
          </w:pPr>
          <w:hyperlink w:anchor="_Toc536555113" w:history="1">
            <w:r>
              <w:rPr>
                <w:rStyle w:val="Hyperlink"/>
                <w:noProof/>
              </w:rPr>
              <w:t>3.1.4</w:t>
            </w:r>
            <w:r>
              <w:rPr>
                <w:rFonts w:eastAsiaTheme="minorEastAsia"/>
                <w:noProof/>
                <w:lang w:val="en-GB" w:eastAsia="en-GB" w:bidi="ar-SA"/>
              </w:rPr>
              <w:tab/>
            </w:r>
            <w:r>
              <w:rPr>
                <w:rStyle w:val="Hyperlink"/>
                <w:noProof/>
              </w:rPr>
              <w:t>Sicherstellung einer sozial gerechten Wende</w:t>
            </w:r>
            <w:r>
              <w:rPr>
                <w:noProof/>
                <w:webHidden/>
              </w:rPr>
              <w:tab/>
            </w:r>
            <w:r>
              <w:rPr>
                <w:noProof/>
                <w:webHidden/>
              </w:rPr>
              <w:fldChar w:fldCharType="begin"/>
            </w:r>
            <w:r>
              <w:rPr>
                <w:noProof/>
                <w:webHidden/>
              </w:rPr>
              <w:instrText xml:space="preserve"> PAGEREF _Toc536555113 \h </w:instrText>
            </w:r>
            <w:r>
              <w:rPr>
                <w:noProof/>
                <w:webHidden/>
              </w:rPr>
            </w:r>
            <w:r>
              <w:rPr>
                <w:noProof/>
                <w:webHidden/>
              </w:rPr>
              <w:fldChar w:fldCharType="separate"/>
            </w:r>
            <w:r>
              <w:rPr>
                <w:noProof/>
                <w:webHidden/>
              </w:rPr>
              <w:t>27</w:t>
            </w:r>
            <w:r>
              <w:rPr>
                <w:noProof/>
                <w:webHidden/>
              </w:rPr>
              <w:fldChar w:fldCharType="end"/>
            </w:r>
          </w:hyperlink>
        </w:p>
        <w:p w:rsidR="00152528" w:rsidRDefault="00124136">
          <w:pPr>
            <w:pStyle w:val="TOC2"/>
            <w:rPr>
              <w:rFonts w:eastAsiaTheme="minorEastAsia"/>
              <w:noProof/>
              <w:lang w:val="en-GB" w:eastAsia="en-GB" w:bidi="ar-SA"/>
            </w:rPr>
          </w:pPr>
          <w:hyperlink w:anchor="_Toc536555114" w:history="1">
            <w:r>
              <w:rPr>
                <w:rStyle w:val="Hyperlink"/>
                <w:noProof/>
              </w:rPr>
              <w:t>3.2</w:t>
            </w:r>
            <w:r>
              <w:rPr>
                <w:rFonts w:eastAsiaTheme="minorEastAsia"/>
                <w:noProof/>
                <w:lang w:val="en-GB" w:eastAsia="en-GB" w:bidi="ar-SA"/>
              </w:rPr>
              <w:tab/>
            </w:r>
            <w:r>
              <w:rPr>
                <w:rStyle w:val="Hyperlink"/>
                <w:noProof/>
              </w:rPr>
              <w:t>Horizontale Faktoren der Nachhaltigkeitswende</w:t>
            </w:r>
            <w:r>
              <w:rPr>
                <w:noProof/>
                <w:webHidden/>
              </w:rPr>
              <w:tab/>
            </w:r>
            <w:r>
              <w:rPr>
                <w:noProof/>
                <w:webHidden/>
              </w:rPr>
              <w:fldChar w:fldCharType="begin"/>
            </w:r>
            <w:r>
              <w:rPr>
                <w:noProof/>
                <w:webHidden/>
              </w:rPr>
              <w:instrText xml:space="preserve"> PAGEREF _Toc536555114 \h </w:instrText>
            </w:r>
            <w:r>
              <w:rPr>
                <w:noProof/>
                <w:webHidden/>
              </w:rPr>
            </w:r>
            <w:r>
              <w:rPr>
                <w:noProof/>
                <w:webHidden/>
              </w:rPr>
              <w:fldChar w:fldCharType="separate"/>
            </w:r>
            <w:r>
              <w:rPr>
                <w:noProof/>
                <w:webHidden/>
              </w:rPr>
              <w:t>31</w:t>
            </w:r>
            <w:r>
              <w:rPr>
                <w:noProof/>
                <w:webHidden/>
              </w:rPr>
              <w:fldChar w:fldCharType="end"/>
            </w:r>
          </w:hyperlink>
        </w:p>
        <w:p w:rsidR="00152528" w:rsidRDefault="00124136">
          <w:pPr>
            <w:pStyle w:val="TOC3"/>
            <w:tabs>
              <w:tab w:val="left" w:pos="1320"/>
              <w:tab w:val="right" w:leader="dot" w:pos="9062"/>
            </w:tabs>
            <w:rPr>
              <w:rFonts w:eastAsiaTheme="minorEastAsia"/>
              <w:noProof/>
              <w:lang w:val="en-GB" w:eastAsia="en-GB" w:bidi="ar-SA"/>
            </w:rPr>
          </w:pPr>
          <w:hyperlink w:anchor="_Toc536555115" w:history="1">
            <w:r>
              <w:rPr>
                <w:rStyle w:val="Hyperlink"/>
                <w:noProof/>
              </w:rPr>
              <w:t>3.2.1</w:t>
            </w:r>
            <w:r>
              <w:rPr>
                <w:rFonts w:eastAsiaTheme="minorEastAsia"/>
                <w:noProof/>
                <w:lang w:val="en-GB" w:eastAsia="en-GB" w:bidi="ar-SA"/>
              </w:rPr>
              <w:tab/>
            </w:r>
            <w:r>
              <w:rPr>
                <w:rStyle w:val="Hyperlink"/>
                <w:noProof/>
              </w:rPr>
              <w:t>Bildung, Wissenschaft, Technologie, Forschung, I</w:t>
            </w:r>
            <w:r>
              <w:rPr>
                <w:rStyle w:val="Hyperlink"/>
                <w:noProof/>
              </w:rPr>
              <w:t>nnovation und Digitalisierung</w:t>
            </w:r>
            <w:r>
              <w:rPr>
                <w:noProof/>
                <w:webHidden/>
              </w:rPr>
              <w:tab/>
            </w:r>
            <w:r>
              <w:rPr>
                <w:noProof/>
                <w:webHidden/>
              </w:rPr>
              <w:fldChar w:fldCharType="begin"/>
            </w:r>
            <w:r>
              <w:rPr>
                <w:noProof/>
                <w:webHidden/>
              </w:rPr>
              <w:instrText xml:space="preserve"> PAGEREF _Toc536555115 \h </w:instrText>
            </w:r>
            <w:r>
              <w:rPr>
                <w:noProof/>
                <w:webHidden/>
              </w:rPr>
            </w:r>
            <w:r>
              <w:rPr>
                <w:noProof/>
                <w:webHidden/>
              </w:rPr>
              <w:fldChar w:fldCharType="separate"/>
            </w:r>
            <w:r>
              <w:rPr>
                <w:noProof/>
                <w:webHidden/>
              </w:rPr>
              <w:t>31</w:t>
            </w:r>
            <w:r>
              <w:rPr>
                <w:noProof/>
                <w:webHidden/>
              </w:rPr>
              <w:fldChar w:fldCharType="end"/>
            </w:r>
          </w:hyperlink>
        </w:p>
        <w:p w:rsidR="00152528" w:rsidRDefault="00124136">
          <w:pPr>
            <w:pStyle w:val="TOC3"/>
            <w:tabs>
              <w:tab w:val="left" w:pos="1320"/>
              <w:tab w:val="right" w:leader="dot" w:pos="9062"/>
            </w:tabs>
            <w:rPr>
              <w:rFonts w:eastAsiaTheme="minorEastAsia"/>
              <w:noProof/>
              <w:lang w:val="en-GB" w:eastAsia="en-GB" w:bidi="ar-SA"/>
            </w:rPr>
          </w:pPr>
          <w:hyperlink w:anchor="_Toc536555116" w:history="1">
            <w:r>
              <w:rPr>
                <w:rStyle w:val="Hyperlink"/>
                <w:noProof/>
              </w:rPr>
              <w:t>3.2.2</w:t>
            </w:r>
            <w:r>
              <w:rPr>
                <w:rFonts w:eastAsiaTheme="minorEastAsia"/>
                <w:noProof/>
                <w:lang w:val="en-GB" w:eastAsia="en-GB" w:bidi="ar-SA"/>
              </w:rPr>
              <w:tab/>
            </w:r>
            <w:r>
              <w:rPr>
                <w:rStyle w:val="Hyperlink"/>
                <w:noProof/>
              </w:rPr>
              <w:t>Finanzen, Preisgestaltung, Steuern und Wettbewerb</w:t>
            </w:r>
            <w:r>
              <w:rPr>
                <w:noProof/>
                <w:webHidden/>
              </w:rPr>
              <w:tab/>
            </w:r>
            <w:r>
              <w:rPr>
                <w:noProof/>
                <w:webHidden/>
              </w:rPr>
              <w:fldChar w:fldCharType="begin"/>
            </w:r>
            <w:r>
              <w:rPr>
                <w:noProof/>
                <w:webHidden/>
              </w:rPr>
              <w:instrText xml:space="preserve"> PAGEREF _Toc536555116 \h </w:instrText>
            </w:r>
            <w:r>
              <w:rPr>
                <w:noProof/>
                <w:webHidden/>
              </w:rPr>
            </w:r>
            <w:r>
              <w:rPr>
                <w:noProof/>
                <w:webHidden/>
              </w:rPr>
              <w:fldChar w:fldCharType="separate"/>
            </w:r>
            <w:r>
              <w:rPr>
                <w:noProof/>
                <w:webHidden/>
              </w:rPr>
              <w:t>34</w:t>
            </w:r>
            <w:r>
              <w:rPr>
                <w:noProof/>
                <w:webHidden/>
              </w:rPr>
              <w:fldChar w:fldCharType="end"/>
            </w:r>
          </w:hyperlink>
        </w:p>
        <w:p w:rsidR="00152528" w:rsidRDefault="00124136">
          <w:pPr>
            <w:pStyle w:val="TOC3"/>
            <w:tabs>
              <w:tab w:val="left" w:pos="1320"/>
              <w:tab w:val="right" w:leader="dot" w:pos="9062"/>
            </w:tabs>
            <w:rPr>
              <w:rFonts w:eastAsiaTheme="minorEastAsia"/>
              <w:noProof/>
              <w:lang w:val="en-GB" w:eastAsia="en-GB" w:bidi="ar-SA"/>
            </w:rPr>
          </w:pPr>
          <w:hyperlink w:anchor="_Toc536555117" w:history="1">
            <w:r>
              <w:rPr>
                <w:rStyle w:val="Hyperlink"/>
                <w:noProof/>
              </w:rPr>
              <w:t>3.2.3</w:t>
            </w:r>
            <w:r>
              <w:rPr>
                <w:rFonts w:eastAsiaTheme="minorEastAsia"/>
                <w:noProof/>
                <w:lang w:val="en-GB" w:eastAsia="en-GB" w:bidi="ar-SA"/>
              </w:rPr>
              <w:tab/>
            </w:r>
            <w:r>
              <w:rPr>
                <w:rStyle w:val="Hyperlink"/>
                <w:noProof/>
              </w:rPr>
              <w:t>Verantwortungsvolles unternehmerisches Handeln, soziale Verantwortung der Unternehmen und neue Geschäftsmodelle</w:t>
            </w:r>
            <w:r>
              <w:rPr>
                <w:noProof/>
                <w:webHidden/>
              </w:rPr>
              <w:tab/>
            </w:r>
            <w:r>
              <w:rPr>
                <w:noProof/>
                <w:webHidden/>
              </w:rPr>
              <w:fldChar w:fldCharType="begin"/>
            </w:r>
            <w:r>
              <w:rPr>
                <w:noProof/>
                <w:webHidden/>
              </w:rPr>
              <w:instrText xml:space="preserve"> PAGEREF _Toc536555117 \h </w:instrText>
            </w:r>
            <w:r>
              <w:rPr>
                <w:noProof/>
                <w:webHidden/>
              </w:rPr>
            </w:r>
            <w:r>
              <w:rPr>
                <w:noProof/>
                <w:webHidden/>
              </w:rPr>
              <w:fldChar w:fldCharType="separate"/>
            </w:r>
            <w:r>
              <w:rPr>
                <w:noProof/>
                <w:webHidden/>
              </w:rPr>
              <w:t>38</w:t>
            </w:r>
            <w:r>
              <w:rPr>
                <w:noProof/>
                <w:webHidden/>
              </w:rPr>
              <w:fldChar w:fldCharType="end"/>
            </w:r>
          </w:hyperlink>
        </w:p>
        <w:p w:rsidR="00152528" w:rsidRDefault="00124136">
          <w:pPr>
            <w:pStyle w:val="TOC3"/>
            <w:tabs>
              <w:tab w:val="left" w:pos="1320"/>
              <w:tab w:val="right" w:leader="dot" w:pos="9062"/>
            </w:tabs>
            <w:rPr>
              <w:rFonts w:eastAsiaTheme="minorEastAsia"/>
              <w:noProof/>
              <w:lang w:val="en-GB" w:eastAsia="en-GB" w:bidi="ar-SA"/>
            </w:rPr>
          </w:pPr>
          <w:hyperlink w:anchor="_Toc536555118" w:history="1">
            <w:r>
              <w:rPr>
                <w:rStyle w:val="Hyperlink"/>
                <w:noProof/>
              </w:rPr>
              <w:t>3.2.4</w:t>
            </w:r>
            <w:r>
              <w:rPr>
                <w:rFonts w:eastAsiaTheme="minorEastAsia"/>
                <w:noProof/>
                <w:lang w:val="en-GB" w:eastAsia="en-GB" w:bidi="ar-SA"/>
              </w:rPr>
              <w:tab/>
            </w:r>
            <w:r>
              <w:rPr>
                <w:rStyle w:val="Hyperlink"/>
                <w:noProof/>
              </w:rPr>
              <w:t>Offener und regelbasierter Handel</w:t>
            </w:r>
            <w:r>
              <w:rPr>
                <w:noProof/>
                <w:webHidden/>
              </w:rPr>
              <w:tab/>
            </w:r>
            <w:r>
              <w:rPr>
                <w:noProof/>
                <w:webHidden/>
              </w:rPr>
              <w:fldChar w:fldCharType="begin"/>
            </w:r>
            <w:r>
              <w:rPr>
                <w:noProof/>
                <w:webHidden/>
              </w:rPr>
              <w:instrText xml:space="preserve"> PAGEREF _Toc536555118 \h </w:instrText>
            </w:r>
            <w:r>
              <w:rPr>
                <w:noProof/>
                <w:webHidden/>
              </w:rPr>
            </w:r>
            <w:r>
              <w:rPr>
                <w:noProof/>
                <w:webHidden/>
              </w:rPr>
              <w:fldChar w:fldCharType="separate"/>
            </w:r>
            <w:r>
              <w:rPr>
                <w:noProof/>
                <w:webHidden/>
              </w:rPr>
              <w:t>39</w:t>
            </w:r>
            <w:r>
              <w:rPr>
                <w:noProof/>
                <w:webHidden/>
              </w:rPr>
              <w:fldChar w:fldCharType="end"/>
            </w:r>
          </w:hyperlink>
        </w:p>
        <w:p w:rsidR="00152528" w:rsidRDefault="00124136">
          <w:pPr>
            <w:pStyle w:val="TOC3"/>
            <w:tabs>
              <w:tab w:val="left" w:pos="1320"/>
              <w:tab w:val="right" w:leader="dot" w:pos="9062"/>
            </w:tabs>
            <w:rPr>
              <w:rFonts w:eastAsiaTheme="minorEastAsia"/>
              <w:noProof/>
              <w:lang w:val="en-GB" w:eastAsia="en-GB" w:bidi="ar-SA"/>
            </w:rPr>
          </w:pPr>
          <w:hyperlink w:anchor="_Toc536555119" w:history="1">
            <w:r>
              <w:rPr>
                <w:rStyle w:val="Hyperlink"/>
                <w:noProof/>
              </w:rPr>
              <w:t>3.2.5</w:t>
            </w:r>
            <w:r>
              <w:rPr>
                <w:rFonts w:eastAsiaTheme="minorEastAsia"/>
                <w:noProof/>
                <w:lang w:val="en-GB" w:eastAsia="en-GB" w:bidi="ar-SA"/>
              </w:rPr>
              <w:tab/>
            </w:r>
            <w:r>
              <w:rPr>
                <w:rStyle w:val="Hyperlink"/>
                <w:noProof/>
              </w:rPr>
              <w:t>Governance und Gewährleistung der Politikkohärenz auf allen Ebenen</w:t>
            </w:r>
            <w:r>
              <w:rPr>
                <w:noProof/>
                <w:webHidden/>
              </w:rPr>
              <w:tab/>
            </w:r>
            <w:r>
              <w:rPr>
                <w:noProof/>
                <w:webHidden/>
              </w:rPr>
              <w:fldChar w:fldCharType="begin"/>
            </w:r>
            <w:r>
              <w:rPr>
                <w:noProof/>
                <w:webHidden/>
              </w:rPr>
              <w:instrText xml:space="preserve"> PAGEREF _Toc536555119 \h </w:instrText>
            </w:r>
            <w:r>
              <w:rPr>
                <w:noProof/>
                <w:webHidden/>
              </w:rPr>
            </w:r>
            <w:r>
              <w:rPr>
                <w:noProof/>
                <w:webHidden/>
              </w:rPr>
              <w:fldChar w:fldCharType="separate"/>
            </w:r>
            <w:r>
              <w:rPr>
                <w:noProof/>
                <w:webHidden/>
              </w:rPr>
              <w:t>41</w:t>
            </w:r>
            <w:r>
              <w:rPr>
                <w:noProof/>
                <w:webHidden/>
              </w:rPr>
              <w:fldChar w:fldCharType="end"/>
            </w:r>
          </w:hyperlink>
        </w:p>
        <w:p w:rsidR="00152528" w:rsidRDefault="00124136">
          <w:pPr>
            <w:pStyle w:val="TOC1"/>
            <w:rPr>
              <w:rFonts w:eastAsiaTheme="minorEastAsia"/>
              <w:noProof/>
              <w:lang w:val="en-GB" w:eastAsia="en-GB" w:bidi="ar-SA"/>
            </w:rPr>
          </w:pPr>
          <w:hyperlink w:anchor="_Toc536555120" w:history="1">
            <w:r>
              <w:rPr>
                <w:rStyle w:val="Hyperlink"/>
                <w:rFonts w:eastAsia="Times New Roman"/>
                <w:noProof/>
              </w:rPr>
              <w:t>4</w:t>
            </w:r>
            <w:r>
              <w:rPr>
                <w:rFonts w:eastAsiaTheme="minorEastAsia"/>
                <w:noProof/>
                <w:lang w:val="en-GB" w:eastAsia="en-GB" w:bidi="ar-SA"/>
              </w:rPr>
              <w:tab/>
            </w:r>
            <w:r>
              <w:rPr>
                <w:rStyle w:val="Hyperlink"/>
                <w:noProof/>
              </w:rPr>
              <w:t>Die EU als globaler Wegbereiter einer nachhaltig</w:t>
            </w:r>
            <w:r>
              <w:rPr>
                <w:rStyle w:val="Hyperlink"/>
                <w:noProof/>
              </w:rPr>
              <w:t>en Entwicklung</w:t>
            </w:r>
            <w:r>
              <w:rPr>
                <w:noProof/>
                <w:webHidden/>
              </w:rPr>
              <w:tab/>
            </w:r>
            <w:r>
              <w:rPr>
                <w:noProof/>
                <w:webHidden/>
              </w:rPr>
              <w:fldChar w:fldCharType="begin"/>
            </w:r>
            <w:r>
              <w:rPr>
                <w:noProof/>
                <w:webHidden/>
              </w:rPr>
              <w:instrText xml:space="preserve"> PAGEREF _Toc536555120 \h </w:instrText>
            </w:r>
            <w:r>
              <w:rPr>
                <w:noProof/>
                <w:webHidden/>
              </w:rPr>
            </w:r>
            <w:r>
              <w:rPr>
                <w:noProof/>
                <w:webHidden/>
              </w:rPr>
              <w:fldChar w:fldCharType="separate"/>
            </w:r>
            <w:r>
              <w:rPr>
                <w:noProof/>
                <w:webHidden/>
              </w:rPr>
              <w:t>43</w:t>
            </w:r>
            <w:r>
              <w:rPr>
                <w:noProof/>
                <w:webHidden/>
              </w:rPr>
              <w:fldChar w:fldCharType="end"/>
            </w:r>
          </w:hyperlink>
        </w:p>
        <w:p w:rsidR="00152528" w:rsidRDefault="00124136">
          <w:pPr>
            <w:pStyle w:val="TOC1"/>
            <w:rPr>
              <w:rFonts w:eastAsiaTheme="minorEastAsia"/>
              <w:noProof/>
              <w:lang w:val="en-GB" w:eastAsia="en-GB" w:bidi="ar-SA"/>
            </w:rPr>
          </w:pPr>
          <w:hyperlink w:anchor="_Toc536555121" w:history="1">
            <w:r>
              <w:rPr>
                <w:rStyle w:val="Hyperlink"/>
                <w:rFonts w:eastAsia="Times New Roman"/>
                <w:noProof/>
              </w:rPr>
              <w:t>5</w:t>
            </w:r>
            <w:r>
              <w:rPr>
                <w:rFonts w:eastAsiaTheme="minorEastAsia"/>
                <w:noProof/>
                <w:lang w:val="en-GB" w:eastAsia="en-GB" w:bidi="ar-SA"/>
              </w:rPr>
              <w:tab/>
            </w:r>
            <w:r>
              <w:rPr>
                <w:rStyle w:val="Hyperlink"/>
                <w:noProof/>
              </w:rPr>
              <w:t>Zukunftsszenarien</w:t>
            </w:r>
            <w:r>
              <w:rPr>
                <w:noProof/>
                <w:webHidden/>
              </w:rPr>
              <w:tab/>
            </w:r>
            <w:r>
              <w:rPr>
                <w:noProof/>
                <w:webHidden/>
              </w:rPr>
              <w:fldChar w:fldCharType="begin"/>
            </w:r>
            <w:r>
              <w:rPr>
                <w:noProof/>
                <w:webHidden/>
              </w:rPr>
              <w:instrText xml:space="preserve"> PAGEREF _Toc536555121 \h </w:instrText>
            </w:r>
            <w:r>
              <w:rPr>
                <w:noProof/>
                <w:webHidden/>
              </w:rPr>
            </w:r>
            <w:r>
              <w:rPr>
                <w:noProof/>
                <w:webHidden/>
              </w:rPr>
              <w:fldChar w:fldCharType="separate"/>
            </w:r>
            <w:r>
              <w:rPr>
                <w:noProof/>
                <w:webHidden/>
              </w:rPr>
              <w:t>46</w:t>
            </w:r>
            <w:r>
              <w:rPr>
                <w:noProof/>
                <w:webHidden/>
              </w:rPr>
              <w:fldChar w:fldCharType="end"/>
            </w:r>
          </w:hyperlink>
        </w:p>
        <w:p w:rsidR="00152528" w:rsidRDefault="00124136">
          <w:pPr>
            <w:rPr>
              <w:noProof/>
            </w:rPr>
          </w:pPr>
          <w:r>
            <w:rPr>
              <w:b/>
              <w:bCs/>
              <w:noProof/>
            </w:rPr>
            <w:fldChar w:fldCharType="end"/>
          </w:r>
        </w:p>
      </w:sdtContent>
    </w:sdt>
    <w:p w:rsidR="00152528" w:rsidRDefault="00152528">
      <w:pPr>
        <w:pStyle w:val="Heading1"/>
        <w:numPr>
          <w:ilvl w:val="0"/>
          <w:numId w:val="0"/>
        </w:numPr>
        <w:spacing w:before="240" w:after="240"/>
        <w:rPr>
          <w:rFonts w:ascii="Times New Roman" w:hAnsi="Times New Roman" w:cs="Times New Roman"/>
          <w:noProof/>
          <w:sz w:val="24"/>
          <w:szCs w:val="24"/>
        </w:rPr>
      </w:pPr>
    </w:p>
    <w:p w:rsidR="00152528" w:rsidRDefault="00152528">
      <w:pPr>
        <w:rPr>
          <w:rFonts w:ascii="Times New Roman" w:hAnsi="Times New Roman" w:cs="Times New Roman"/>
          <w:noProof/>
          <w:sz w:val="24"/>
          <w:szCs w:val="24"/>
        </w:rPr>
      </w:pPr>
    </w:p>
    <w:p w:rsidR="00152528" w:rsidRDefault="00152528">
      <w:pPr>
        <w:rPr>
          <w:rFonts w:ascii="Times New Roman" w:hAnsi="Times New Roman" w:cs="Times New Roman"/>
          <w:noProof/>
          <w:sz w:val="24"/>
          <w:szCs w:val="24"/>
        </w:rPr>
      </w:pPr>
    </w:p>
    <w:p w:rsidR="00152528" w:rsidRDefault="00124136">
      <w:pPr>
        <w:rPr>
          <w:rFonts w:ascii="Times New Roman" w:hAnsi="Times New Roman" w:cs="Times New Roman"/>
          <w:noProof/>
          <w:sz w:val="24"/>
          <w:szCs w:val="24"/>
        </w:rPr>
      </w:pPr>
      <w:r>
        <w:rPr>
          <w:noProof/>
        </w:rPr>
        <w:br w:type="page"/>
      </w:r>
    </w:p>
    <w:p w:rsidR="00152528" w:rsidRDefault="00124136">
      <w:pPr>
        <w:pStyle w:val="Heading1"/>
        <w:numPr>
          <w:ilvl w:val="0"/>
          <w:numId w:val="0"/>
        </w:numPr>
        <w:ind w:left="284"/>
        <w:rPr>
          <w:rFonts w:eastAsia="Times New Roman"/>
          <w:noProof/>
        </w:rPr>
      </w:pPr>
      <w:bookmarkStart w:id="1" w:name="_Toc536442036"/>
      <w:bookmarkStart w:id="2" w:name="_Toc536555105"/>
      <w:r>
        <w:rPr>
          <w:noProof/>
        </w:rPr>
        <w:lastRenderedPageBreak/>
        <w:t>Vorwort des Ersten Vizepräsidenten Timmermans und des Vizepräsidenten Katainen</w:t>
      </w:r>
      <w:bookmarkEnd w:id="1"/>
      <w:bookmarkEnd w:id="2"/>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Wir Europäer können stolz auf unsere Errungenschaften sein. Durch Integration und enge Zusammenarbeit</w:t>
      </w:r>
      <w:r>
        <w:rPr>
          <w:rFonts w:ascii="Times New Roman" w:hAnsi="Times New Roman"/>
          <w:noProof/>
          <w:color w:val="000000"/>
          <w:sz w:val="24"/>
        </w:rPr>
        <w:t xml:space="preserve"> haben wir für unsere Bürgerinnen und Bürger beispiellosen Wohlstand und hohe Sozialstandards erreicht und ihnen große Chancen eröffnet. Wir haben unsere gemeinsamen Grundsätze und Werte der Demokratie, der Menschenrechte und der Rechtsstaatlichkeit in uns</w:t>
      </w:r>
      <w:r>
        <w:rPr>
          <w:rFonts w:ascii="Times New Roman" w:hAnsi="Times New Roman"/>
          <w:noProof/>
          <w:color w:val="000000"/>
          <w:sz w:val="24"/>
        </w:rPr>
        <w:t>eren Verträgen verankert und eine Europäische Union geschaffen, die vereint und frei ist.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Dieser Erfolg ist darauf zurückzuführen, dass die Europäer die Messlatte hoch angesetzt haben. Unsere ausgeprägte demokratische Kultur spornt zu heftigen Debatten an</w:t>
      </w:r>
      <w:r>
        <w:rPr>
          <w:rFonts w:ascii="Times New Roman" w:hAnsi="Times New Roman"/>
          <w:noProof/>
          <w:color w:val="000000"/>
          <w:sz w:val="24"/>
        </w:rPr>
        <w:t xml:space="preserve"> und das ist auch gut so. Aber deshalb dürfen wir uns noch lange nicht selbstzufrieden zurücklehnen und der Geschichte ihren Lauf lassen. Wir müssen kontinuierlich daran arbeiten, den Lebensstandard aller Europäer zu erhöhen, die Menschen besser zu schütze</w:t>
      </w:r>
      <w:r>
        <w:rPr>
          <w:rFonts w:ascii="Times New Roman" w:hAnsi="Times New Roman"/>
          <w:noProof/>
          <w:color w:val="000000"/>
          <w:sz w:val="24"/>
        </w:rPr>
        <w:t>n, zu verteidigen und zur Teilhabe zu befähigen und ihnen ausreichende Sicherheit vor Bedrohungen wie Terrorismus oder Klimawandel zu bieten.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Die Welt ist in ständigem Fluss und wir befinden uns mitten in der vierten industriellen Revolution. Alles ändert</w:t>
      </w:r>
      <w:r>
        <w:rPr>
          <w:rFonts w:ascii="Times New Roman" w:hAnsi="Times New Roman"/>
          <w:noProof/>
          <w:color w:val="000000"/>
          <w:sz w:val="24"/>
        </w:rPr>
        <w:t xml:space="preserve"> sich und niemand kann sich dem entziehen. Etwas anderes zu behaupten, widerspräche dem gesunden Menschenverstand und wäre verantwortungslos. Es stellt sich die Frage, ob wir zu Opfern des Wandels werden oder ob wir uns ihm stellen und die Zügel in die Han</w:t>
      </w:r>
      <w:r>
        <w:rPr>
          <w:rFonts w:ascii="Times New Roman" w:hAnsi="Times New Roman"/>
          <w:noProof/>
          <w:color w:val="000000"/>
          <w:sz w:val="24"/>
        </w:rPr>
        <w:t>d nehmen. Die Europäer stehen vor drängenden Herausforderungen wie Umweltzerstörung und Klimawandel, demografischer Übergang, Migration, Ungleichheit und knappe öffentliche Finanzen. Die Bürgerinnen und Bürger machen sich Sorgen um ihre Zukunft und die ihr</w:t>
      </w:r>
      <w:r>
        <w:rPr>
          <w:rFonts w:ascii="Times New Roman" w:hAnsi="Times New Roman"/>
          <w:noProof/>
          <w:color w:val="000000"/>
          <w:sz w:val="24"/>
        </w:rPr>
        <w:t>er Kinder. Wir häufen ökologische Schulden an – mit sehr weitreichenden Folgen. Künftige Generationen werden diese Schulden zurückzahlen müssen und die Zinsen werden hoch sein, wenn wir nicht entschlossener handeln.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Die Europäische Union hat den Europäern</w:t>
      </w:r>
      <w:r>
        <w:rPr>
          <w:rFonts w:ascii="Times New Roman" w:hAnsi="Times New Roman"/>
          <w:noProof/>
          <w:color w:val="000000"/>
          <w:sz w:val="24"/>
        </w:rPr>
        <w:t xml:space="preserve"> zu dienen und nicht umgekehrt. Die Europäische Union muss den Menschen bei der Verwirklichung ihrer Ziele helfen und sich ihrer Sorgen dringend wirkungsvoll annehmen. Dazu müssen wir zunächst die Situation analysieren und der Realität und den unleugbaren </w:t>
      </w:r>
      <w:r>
        <w:rPr>
          <w:rFonts w:ascii="Times New Roman" w:hAnsi="Times New Roman"/>
          <w:noProof/>
          <w:color w:val="000000"/>
          <w:sz w:val="24"/>
        </w:rPr>
        <w:t>Tatsachen ins Auge sehen. Diese Tatsachen sollten uns jedoch nicht Besorgnis und Angst einflößen, sondern uns zum Handeln animieren.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Viele dieser Sorgen haben mit Herausforderungen zu tun, die keine Grenzen kennen und Arbeitsplätze, unseren Wohlstand, uns</w:t>
      </w:r>
      <w:r>
        <w:rPr>
          <w:rFonts w:ascii="Times New Roman" w:hAnsi="Times New Roman"/>
          <w:noProof/>
          <w:color w:val="000000"/>
          <w:sz w:val="24"/>
        </w:rPr>
        <w:t>eren Lebensstandard, unsere Freiheit und unsere Gesundheit gefährden. Kein Staat, keine Nation kann diese Herausforderungen alleine erfolgreich bewältigen. Es bedarf eines großen Akteurs wie der Europäischen Union, die – wenn sie vereint und entschlossen h</w:t>
      </w:r>
      <w:r>
        <w:rPr>
          <w:rFonts w:ascii="Times New Roman" w:hAnsi="Times New Roman"/>
          <w:noProof/>
          <w:color w:val="000000"/>
          <w:sz w:val="24"/>
        </w:rPr>
        <w:t xml:space="preserve">andelt – eine globale, nicht außer Acht zu lassende Kraft ist. Letztlich wird jedoch selbst die europäische Ebene nicht ausreichen, sondern wir brauchen eine Agenda mit globaler Tragweite, wie sie hervorragend von den 17 Zielen für nachhaltige Entwicklung </w:t>
      </w:r>
      <w:r>
        <w:rPr>
          <w:rFonts w:ascii="Times New Roman" w:hAnsi="Times New Roman"/>
          <w:noProof/>
          <w:color w:val="000000"/>
          <w:sz w:val="24"/>
        </w:rPr>
        <w:t>(Sustainable Development Goals – SDGs) verkörpert wird, zu denen sich 193 Staaten – auch die Europäische Union und ihre Mitgliedstaaten – bekannt haben. Diese SDGs zeigen den Weg auf, wie wir die Herausforderungen, vor denen wir stehen, bewältigen und unse</w:t>
      </w:r>
      <w:r>
        <w:rPr>
          <w:rFonts w:ascii="Times New Roman" w:hAnsi="Times New Roman"/>
          <w:noProof/>
          <w:color w:val="000000"/>
          <w:sz w:val="24"/>
        </w:rPr>
        <w:t>re natürliche Umwelt, unsere Wirtschaft und unsere Lebensbedingungen verbessern können.</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lastRenderedPageBreak/>
        <w:t>Nachhaltige Entwicklung ist ein komplexes Thema, aber ein einfaches Konzept: Ziel ist, dafür zu sorgen, dass unser Wirtschaftswachstum dauerhaft auf einem Modell beruht</w:t>
      </w:r>
      <w:r>
        <w:rPr>
          <w:rFonts w:ascii="Times New Roman" w:hAnsi="Times New Roman"/>
          <w:noProof/>
          <w:color w:val="000000"/>
          <w:sz w:val="24"/>
        </w:rPr>
        <w:t>, das faire Ergebnisse für die gesamte Menschheit hervorbringt, und dass die Menschen nicht mehr Ressourcen verbrauchen, als die Erde zu bieten hat. Dies bedeutet, dass wir unsere Wirtschaft modernisieren müssen, um zu nachhaltigen Konsum- und Produktionsm</w:t>
      </w:r>
      <w:r>
        <w:rPr>
          <w:rFonts w:ascii="Times New Roman" w:hAnsi="Times New Roman"/>
          <w:noProof/>
          <w:color w:val="000000"/>
          <w:sz w:val="24"/>
        </w:rPr>
        <w:t>ustern überzugehen, um die Ungleichgewichte in unserem Lebensmittelsystem zu korrigieren und um unsere Mobilität sowie die Art und Weise, wie wir Energie erzeugen und nutzen und unsere Gebäude konzipieren, auf Nachhaltigkeit auszurichten. Zu diesem Zweck m</w:t>
      </w:r>
      <w:r>
        <w:rPr>
          <w:rFonts w:ascii="Times New Roman" w:hAnsi="Times New Roman"/>
          <w:noProof/>
          <w:color w:val="000000"/>
          <w:sz w:val="24"/>
        </w:rPr>
        <w:t>üssen wir auch unsere Wissenschaft, unsere Fördergelder, unsere Besteuerung und unsere Politikgestaltung ganz auf die Verwirklichung der Ziele für nachhaltige Entwicklung ausrichten.</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Es geht hier nicht um links oder rechts, sondern um richtig oder falsch. </w:t>
      </w:r>
      <w:r>
        <w:rPr>
          <w:rFonts w:ascii="Times New Roman" w:hAnsi="Times New Roman"/>
          <w:noProof/>
          <w:color w:val="000000"/>
          <w:sz w:val="24"/>
        </w:rPr>
        <w:t>Glücklicherweise ist die Europäische Union dank ihrer erheblichen Wettbewerbsvorteile in einer guten Ausgangsposition. Europa hat Umweltstandards entwickelt, die zu den weltweit höchsten zählen, ehrgeizige Klimaschutzmaßnahmen eingeführt und sich für das K</w:t>
      </w:r>
      <w:r>
        <w:rPr>
          <w:rFonts w:ascii="Times New Roman" w:hAnsi="Times New Roman"/>
          <w:noProof/>
          <w:color w:val="000000"/>
          <w:sz w:val="24"/>
        </w:rPr>
        <w:t xml:space="preserve">limaschutzübereinkommen von Paris eingesetzt. Durch ihre Außenpolitik und ihre offene, auf Regeln basierende Handelsagenda können auch Drittländer von den nachhaltigen Lösungen der Europäischen Union profitieren.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Der Gründung der Europäischen Union lag die Prämisse zugrunde, die Robert Schuman vor fast 70 Jahren so treffend formuliert hat: „Der Friede der Welt kann nicht gewahrt werden ohne schöpferische Anstrengungen, die der Größe der Bedrohung entsprechen.“ Heut</w:t>
      </w:r>
      <w:r>
        <w:rPr>
          <w:rFonts w:ascii="Times New Roman" w:hAnsi="Times New Roman"/>
          <w:noProof/>
          <w:color w:val="000000"/>
          <w:sz w:val="24"/>
        </w:rPr>
        <w:t xml:space="preserve">e können wir die Worte „Friede der Welt“ durch die Worte „das Wohlergehen und das Überleben der Menschheit“ ergänzen.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Die Nachhaltigkeitsagenda ist eine positive Agenda, mit der angestrebt wird, das Leben der Menschen zu verbessern. Europa verfügt über </w:t>
      </w:r>
      <w:r>
        <w:rPr>
          <w:rFonts w:ascii="Times New Roman" w:hAnsi="Times New Roman"/>
          <w:noProof/>
          <w:color w:val="000000"/>
          <w:sz w:val="24"/>
        </w:rPr>
        <w:t>alles Nötige, um die größten Herausforderungen anzugehen. Gemeinsam können wir das schaffen. Voraussetzung ist das Engagement eines jeden und der politische Wille, die Ziele konsequent zu verfolgen. Auch wenn andere sich zurückziehen – Europa muss nun vora</w:t>
      </w:r>
      <w:r>
        <w:rPr>
          <w:rFonts w:ascii="Times New Roman" w:hAnsi="Times New Roman"/>
          <w:noProof/>
          <w:color w:val="000000"/>
          <w:sz w:val="24"/>
        </w:rPr>
        <w:t>nschreiten, seine Wettbewerbsfähigkeit verbessern, in nachhaltiges Wachstum investieren und für den Rest der Welt eine Vorreiterrolle übernehmen.</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Eine Vision zu haben, reicht nicht aus, sondern wir müssen uns auch darauf einigen, wie wir konkret dorthin ge</w:t>
      </w:r>
      <w:r>
        <w:rPr>
          <w:rFonts w:ascii="Times New Roman" w:hAnsi="Times New Roman"/>
          <w:noProof/>
          <w:color w:val="000000"/>
          <w:sz w:val="24"/>
        </w:rPr>
        <w:t>langen wollen. Das vorliegende Reflexionspapier ist unser Beitrag zu dieser Debatte.</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Ohne den wertvollen Input der einschlägigen europäischen Interessenträger hätten wir es so nicht erstellen können. Zivilgesellschaft, Privatwirtschaft und Wissenschaft sin</w:t>
      </w:r>
      <w:r>
        <w:rPr>
          <w:rFonts w:ascii="Times New Roman" w:hAnsi="Times New Roman"/>
          <w:noProof/>
          <w:color w:val="000000"/>
          <w:sz w:val="24"/>
        </w:rPr>
        <w:t>d in diese Debatte eingebunden. Die von der Europäischen Kommission im Jahr 2017 zu den SDGs eingerichtete hochrangige Multi-Stakeholder-Plattform war sehr nützlich, um themenübergreifend Ideen zu sammeln.</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Die Fragestellungen dieses Papiers sollen in den k</w:t>
      </w:r>
      <w:r>
        <w:rPr>
          <w:rFonts w:ascii="Times New Roman" w:hAnsi="Times New Roman"/>
          <w:noProof/>
          <w:color w:val="000000"/>
          <w:sz w:val="24"/>
        </w:rPr>
        <w:t>ommenden Monaten als Anstoß für eine Debatte zwischen Bürgern, Interessenträgern, Regierungen und Institutionen dienen, die wiederum Anregungen für die Debatte über die Zukunft Europas, die Vorbereitung der Strategischen Agenda 2019-2024 der Europäischen U</w:t>
      </w:r>
      <w:r>
        <w:rPr>
          <w:rFonts w:ascii="Times New Roman" w:hAnsi="Times New Roman"/>
          <w:noProof/>
          <w:color w:val="000000"/>
          <w:sz w:val="24"/>
        </w:rPr>
        <w:t>nion und die Festlegung der Prioritäten der nächsten Europäischen Kommission liefern soll.</w:t>
      </w:r>
    </w:p>
    <w:p w:rsidR="00152528" w:rsidRDefault="00124136">
      <w:pPr>
        <w:pStyle w:val="Heading1"/>
        <w:rPr>
          <w:rFonts w:eastAsia="Times New Roman"/>
          <w:noProof/>
        </w:rPr>
      </w:pPr>
      <w:bookmarkStart w:id="3" w:name="_Toc536442037"/>
      <w:bookmarkStart w:id="4" w:name="_Toc536555106"/>
      <w:r>
        <w:rPr>
          <w:noProof/>
        </w:rPr>
        <w:lastRenderedPageBreak/>
        <w:t>Nachhaltige Entwicklung zur Sicherung der menschlichen Lebensgrundlagen: Wettbewerbsvorteile Europas</w:t>
      </w:r>
      <w:bookmarkEnd w:id="3"/>
      <w:bookmarkEnd w:id="4"/>
    </w:p>
    <w:p w:rsidR="00152528" w:rsidRDefault="00152528">
      <w:pPr>
        <w:spacing w:line="240" w:lineRule="auto"/>
        <w:jc w:val="both"/>
        <w:rPr>
          <w:rFonts w:ascii="Times New Roman" w:hAnsi="Times New Roman" w:cs="Times New Roman"/>
          <w:noProof/>
          <w:sz w:val="14"/>
          <w:szCs w:val="1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Auf der Generalversammlung der Vereinten Nationen im September </w:t>
      </w:r>
      <w:r>
        <w:rPr>
          <w:rFonts w:ascii="Times New Roman" w:hAnsi="Times New Roman"/>
          <w:noProof/>
          <w:sz w:val="24"/>
        </w:rPr>
        <w:t>2015 unterzeichneten zahlreiche Länder der Welt die Agenda 2030 für nachhaltige Entwicklung (Agenda 2030 der Vereinten Nationen) und deren 17 Ziele für nachhaltige Entwicklung (Sustainable Development Goals – SDGs). Damit einigten sie sich auf eine konkret</w:t>
      </w:r>
      <w:r>
        <w:rPr>
          <w:rFonts w:ascii="Times New Roman" w:hAnsi="Times New Roman"/>
          <w:noProof/>
          <w:sz w:val="24"/>
        </w:rPr>
        <w:t>e „To-do-Liste für die Menschen und den Planeten“</w:t>
      </w:r>
      <w:r>
        <w:rPr>
          <w:rStyle w:val="FootnoteReference"/>
          <w:rFonts w:ascii="Times New Roman" w:hAnsi="Times New Roman"/>
          <w:noProof/>
          <w:sz w:val="24"/>
        </w:rPr>
        <w:footnoteReference w:id="1"/>
      </w:r>
      <w:r>
        <w:rPr>
          <w:rFonts w:ascii="Times New Roman" w:hAnsi="Times New Roman"/>
          <w:noProof/>
          <w:sz w:val="24"/>
        </w:rPr>
        <w:t>. Staats- und Regierungschefs aus aller Welt verpflichteten sich, die Armut zu beenden, den Planeten zu schützen und dafür zu sorgen, dass alle Menschen in den Genuss von Frieden und Wohlstand kommen. Die S</w:t>
      </w:r>
      <w:r>
        <w:rPr>
          <w:rFonts w:ascii="Times New Roman" w:hAnsi="Times New Roman"/>
          <w:noProof/>
          <w:sz w:val="24"/>
        </w:rPr>
        <w:t>DGs bilden zusammen mit dem Klimaschutzübereinkommen von Paris den Fahrplan zur Schaffung einer besseren Welt und den globalen Rahmen für die internationale Zusammenarbeit auf dem Gebiet der nachhaltigen Entwicklung, ihrer wirtschaftlichen, sozialen und ök</w:t>
      </w:r>
      <w:r>
        <w:rPr>
          <w:rFonts w:ascii="Times New Roman" w:hAnsi="Times New Roman"/>
          <w:noProof/>
          <w:sz w:val="24"/>
        </w:rPr>
        <w:t xml:space="preserve">ologischen Dimension und ihrer Governance-Dimension. Die EU war eine der treibenden Kräfte hinter der Agenda 2030 der Vereinten Nationen und hat sich uneingeschränkt zu ihrer Umsetzung verpflichtet.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nachhaltige Entwicklung – eine Entwicklung, die den </w:t>
      </w:r>
      <w:r>
        <w:rPr>
          <w:rFonts w:ascii="Times New Roman" w:hAnsi="Times New Roman"/>
          <w:noProof/>
          <w:sz w:val="24"/>
        </w:rPr>
        <w:t>Bedürfnissen der heutigen Generationen gerecht wird, ohne die Möglichkeiten künftiger Generationen zur Erfüllung ihrer Bedürfnisse zu beeinträchtigen – ist tief im europäischen Projekt verankert. Die europäische Integration und die EU-Politik haben nach de</w:t>
      </w:r>
      <w:r>
        <w:rPr>
          <w:rFonts w:ascii="Times New Roman" w:hAnsi="Times New Roman"/>
          <w:noProof/>
          <w:sz w:val="24"/>
        </w:rPr>
        <w:t>m Krieg zur Überwindung von Armut und Hunger beigetragen und zur Schaffung eines Raums der Freiheit und Demokratie geführt, in dem die europäischen Bürgerinnen und Bürger Wohlstand und Wohlergehen in nie da gewesenem Ausmaß erreicht haben.</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Im Einklang mit </w:t>
      </w:r>
      <w:r>
        <w:rPr>
          <w:rFonts w:ascii="Times New Roman" w:hAnsi="Times New Roman"/>
          <w:noProof/>
          <w:sz w:val="24"/>
        </w:rPr>
        <w:t>Artikel 2 des Vertrags über die Europäische Union</w:t>
      </w:r>
      <w:r>
        <w:rPr>
          <w:rStyle w:val="FootnoteReference"/>
          <w:rFonts w:ascii="Times New Roman" w:hAnsi="Times New Roman"/>
          <w:noProof/>
          <w:sz w:val="24"/>
        </w:rPr>
        <w:footnoteReference w:id="2"/>
      </w:r>
      <w:r>
        <w:rPr>
          <w:rFonts w:ascii="Times New Roman" w:hAnsi="Times New Roman"/>
          <w:noProof/>
          <w:sz w:val="24"/>
        </w:rPr>
        <w:t xml:space="preserve"> hat sich die EU stets für inklusivere Gesellschaften auf der Grundlage von Demokratie und Rechtsstaatlichkeit eingesetzt. Die Sozial- und Gesundheitsstandards der EU gehören zu den ehrgeizigsten der Welt u</w:t>
      </w:r>
      <w:r>
        <w:rPr>
          <w:rFonts w:ascii="Times New Roman" w:hAnsi="Times New Roman"/>
          <w:noProof/>
          <w:sz w:val="24"/>
        </w:rPr>
        <w:t>nd Europa ist der Kontinent mit der höchsten Lebenserwartung. Unsere soziale Marktwirtschaft hat Wohlstand erzeugt und durch solide Sozialsysteme für Sicherheit gesorgt. Beträchtliche Investitionen in Forschung und Innovation haben neue Technologien und Pr</w:t>
      </w:r>
      <w:r>
        <w:rPr>
          <w:rFonts w:ascii="Times New Roman" w:hAnsi="Times New Roman"/>
          <w:noProof/>
          <w:sz w:val="24"/>
        </w:rPr>
        <w:t>oduktionsmodelle hervorgebracht, die eine nachhaltigere Nutzung der Ressourcen und die Einführung digitaler Lösungen ermöglichen. Gesunde öffentliche Haushalte und moderne Volkswirtschaften sind von zentraler Bedeutung; die Fortschritte auf dem Weg zu eine</w:t>
      </w:r>
      <w:r>
        <w:rPr>
          <w:rFonts w:ascii="Times New Roman" w:hAnsi="Times New Roman"/>
          <w:noProof/>
          <w:sz w:val="24"/>
        </w:rPr>
        <w:t>r soliden Finanzpolitik und Strukturreformen haben zu einer Verringerung des Schuldenstands und zur Schaffung von Arbeitsplätzen geführt. Die Beschäftigungsquote der 20- bis 64-Jährigen stieg im dritten Quartal 2018 auf 73,5 % und erreichte damit den höchs</w:t>
      </w:r>
      <w:r>
        <w:rPr>
          <w:rFonts w:ascii="Times New Roman" w:hAnsi="Times New Roman"/>
          <w:noProof/>
          <w:sz w:val="24"/>
        </w:rPr>
        <w:t>ten Wert, der jemals innerhalb der EU verzeichnet wurde. Dies hat sich positiv auf die Produktivität und das Wachstum in Europa ausgewirkt. Auch wenn es immer noch wirtschaftliche, soziale und territoriale Unterschiede zwischen den Mitgliedstaaten und Regi</w:t>
      </w:r>
      <w:r>
        <w:rPr>
          <w:rFonts w:ascii="Times New Roman" w:hAnsi="Times New Roman"/>
          <w:noProof/>
          <w:sz w:val="24"/>
        </w:rPr>
        <w:t>onen der EU gibt</w:t>
      </w:r>
      <w:r>
        <w:rPr>
          <w:rStyle w:val="FootnoteReference"/>
          <w:rFonts w:ascii="Times New Roman" w:hAnsi="Times New Roman"/>
          <w:noProof/>
          <w:sz w:val="24"/>
        </w:rPr>
        <w:footnoteReference w:id="3"/>
      </w:r>
      <w:r>
        <w:rPr>
          <w:rFonts w:ascii="Times New Roman" w:hAnsi="Times New Roman"/>
          <w:noProof/>
          <w:sz w:val="24"/>
        </w:rPr>
        <w:t>, hat die Kohäsionspolitik der EU allen zu Wachstum verholfen und auf dem ganzen Kontinent die Unterschiede verringert (Aufwärtskonvergenz). Darüber hinaus zeichnet sich die EU durch einige der höchsten Sozial- und Umweltstandards und eine</w:t>
      </w:r>
      <w:r>
        <w:rPr>
          <w:rFonts w:ascii="Times New Roman" w:hAnsi="Times New Roman"/>
          <w:noProof/>
          <w:sz w:val="24"/>
        </w:rPr>
        <w:t xml:space="preserve"> überaus ehrgeizige Politik zum Schutz der menschlichen Gesundheit aus und ist inzwischen weltweiter Vorreiter bei der Bekämpfung des Klimawandels. Die EU-Mitgliedstaaten haben in vielen Bereichen der </w:t>
      </w:r>
      <w:r>
        <w:rPr>
          <w:rFonts w:ascii="Times New Roman" w:hAnsi="Times New Roman"/>
          <w:noProof/>
          <w:sz w:val="24"/>
        </w:rPr>
        <w:lastRenderedPageBreak/>
        <w:t>Agenda 2030 der Vereinten Nationen beachtliche Fortschr</w:t>
      </w:r>
      <w:r>
        <w:rPr>
          <w:rFonts w:ascii="Times New Roman" w:hAnsi="Times New Roman"/>
          <w:noProof/>
          <w:sz w:val="24"/>
        </w:rPr>
        <w:t>itte erzielt, weshalb die EU zu den Orten der Welt gehört oder gar der Ort ist, wo es sich am besten lebt.</w:t>
      </w:r>
    </w:p>
    <w:p w:rsidR="00152528" w:rsidRDefault="00152528">
      <w:pPr>
        <w:spacing w:line="240" w:lineRule="auto"/>
        <w:jc w:val="both"/>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476715" cy="155461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76715" cy="1554615"/>
                    </a:xfrm>
                    <a:prstGeom prst="rect">
                      <a:avLst/>
                    </a:prstGeom>
                  </pic:spPr>
                </pic:pic>
              </a:graphicData>
            </a:graphic>
          </wp:inline>
        </w:drawing>
      </w:r>
    </w:p>
    <w:p w:rsidR="00152528" w:rsidRDefault="00152528">
      <w:pPr>
        <w:spacing w:line="240" w:lineRule="auto"/>
        <w:jc w:val="both"/>
        <w:rPr>
          <w:rFonts w:ascii="Times New Roman" w:hAnsi="Times New Roman" w:cs="Times New Roman"/>
          <w:i/>
          <w:noProof/>
          <w:sz w:val="24"/>
          <w:szCs w:val="24"/>
        </w:rPr>
      </w:pPr>
    </w:p>
    <w:p w:rsidR="00152528" w:rsidRDefault="00124136">
      <w:pPr>
        <w:pBdr>
          <w:top w:val="single" w:sz="4" w:space="5"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Die Europäische Union gehört zu den lebenswertesten Orten der Welt</w:t>
      </w:r>
    </w:p>
    <w:p w:rsidR="00152528" w:rsidRDefault="00124136">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Neun Mitgliedstaaten der EU-27 gehören zu den 20 Ländern mit den glücklichsten</w:t>
      </w:r>
      <w:r>
        <w:rPr>
          <w:rFonts w:ascii="Times New Roman" w:hAnsi="Times New Roman"/>
          <w:noProof/>
          <w:sz w:val="24"/>
        </w:rPr>
        <w:t xml:space="preserve"> Menschen der Welt, mit Finnland an der Spitze.</w:t>
      </w:r>
      <w:r>
        <w:rPr>
          <w:rStyle w:val="FootnoteReference"/>
          <w:rFonts w:ascii="Times New Roman" w:hAnsi="Times New Roman"/>
          <w:noProof/>
          <w:sz w:val="24"/>
        </w:rPr>
        <w:footnoteReference w:id="4"/>
      </w:r>
      <w:r>
        <w:rPr>
          <w:rFonts w:ascii="Times New Roman" w:hAnsi="Times New Roman"/>
          <w:noProof/>
          <w:sz w:val="24"/>
        </w:rPr>
        <w:t xml:space="preserve">  </w:t>
      </w:r>
    </w:p>
    <w:p w:rsidR="00152528" w:rsidRDefault="00124136">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Die allgemeine Lebenszufriedenheit in der EU, ausgehend vom subjektiven Wohlbefinden der europäischen Bürgerinnen und Bürger, liegt bei 70 %.</w:t>
      </w:r>
      <w:r>
        <w:rPr>
          <w:rStyle w:val="FootnoteReference"/>
          <w:rFonts w:ascii="Times New Roman" w:hAnsi="Times New Roman"/>
          <w:noProof/>
          <w:sz w:val="24"/>
        </w:rPr>
        <w:footnoteReference w:id="5"/>
      </w:r>
    </w:p>
    <w:p w:rsidR="00152528" w:rsidRDefault="00124136">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Elf Mitgliedstaaten der EU-27 sind unter den ersten 20 auf dem</w:t>
      </w:r>
      <w:r>
        <w:rPr>
          <w:rFonts w:ascii="Times New Roman" w:hAnsi="Times New Roman"/>
          <w:noProof/>
          <w:sz w:val="24"/>
        </w:rPr>
        <w:t xml:space="preserve"> weltweiten „Jugendfortschrittsindex“ (Youth Progress Index)</w:t>
      </w:r>
      <w:r>
        <w:rPr>
          <w:rStyle w:val="FootnoteReference"/>
          <w:rFonts w:ascii="Times New Roman" w:hAnsi="Times New Roman"/>
          <w:noProof/>
          <w:sz w:val="24"/>
        </w:rPr>
        <w:footnoteReference w:id="6"/>
      </w:r>
      <w:r>
        <w:rPr>
          <w:rFonts w:ascii="Times New Roman" w:hAnsi="Times New Roman"/>
          <w:noProof/>
          <w:sz w:val="24"/>
        </w:rPr>
        <w:t xml:space="preserve"> des Europäischen Jugendforums. Der Jugendfortschrittsindex ist eines der ersten Instrumente, die entwickelt wurden, um eine umfassende Vorstellung davon zu vermitteln, was das Leben eines jungen</w:t>
      </w:r>
      <w:r>
        <w:rPr>
          <w:rFonts w:ascii="Times New Roman" w:hAnsi="Times New Roman"/>
          <w:noProof/>
          <w:sz w:val="24"/>
        </w:rPr>
        <w:t xml:space="preserve"> Menschen heutzutage ausmacht, unabhängig von ökonomischen Indikatoren. </w:t>
      </w:r>
    </w:p>
    <w:p w:rsidR="00152528" w:rsidRDefault="00152528">
      <w:pPr>
        <w:spacing w:line="240" w:lineRule="auto"/>
        <w:jc w:val="both"/>
        <w:rPr>
          <w:rFonts w:ascii="Times New Roman" w:hAnsi="Times New Roman" w:cs="Times New Roman"/>
          <w:noProof/>
          <w:sz w:val="24"/>
          <w:szCs w:val="24"/>
        </w:rPr>
      </w:pPr>
    </w:p>
    <w:p w:rsidR="00152528" w:rsidRDefault="00152528">
      <w:pPr>
        <w:spacing w:line="240" w:lineRule="auto"/>
        <w:jc w:val="both"/>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2804159" cy="1402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04403" cy="1402202"/>
                    </a:xfrm>
                    <a:prstGeom prst="rect">
                      <a:avLst/>
                    </a:prstGeom>
                  </pic:spPr>
                </pic:pic>
              </a:graphicData>
            </a:graphic>
          </wp:inline>
        </w:drawing>
      </w:r>
    </w:p>
    <w:p w:rsidR="00152528" w:rsidRDefault="00152528">
      <w:pPr>
        <w:spacing w:line="240" w:lineRule="auto"/>
        <w:jc w:val="center"/>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noProof/>
          <w:sz w:val="24"/>
          <w:szCs w:val="24"/>
        </w:rPr>
      </w:pPr>
      <w:r>
        <w:rPr>
          <w:noProof/>
          <w:lang w:val="en-GB" w:eastAsia="en-GB" w:bidi="ar-SA"/>
        </w:rPr>
        <w:lastRenderedPageBreak/>
        <w:drawing>
          <wp:inline distT="0" distB="0" distL="0" distR="0">
            <wp:extent cx="3657600" cy="794316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57916" cy="7943848"/>
                    </a:xfrm>
                    <a:prstGeom prst="rect">
                      <a:avLst/>
                    </a:prstGeom>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Nichts ist jedoch jemals vollständig oder dauerhaft gesichert. Unsere Demokratie, unsere Wirtschaft und unsere natürliche Umwelt – all dies erfordert kontinuierliche Anstrengun</w:t>
      </w:r>
      <w:r>
        <w:rPr>
          <w:rFonts w:ascii="Times New Roman" w:hAnsi="Times New Roman"/>
          <w:noProof/>
          <w:sz w:val="24"/>
        </w:rPr>
        <w:t xml:space="preserve">gen, um unsere Errungenschaften zu konsolidieren, um die negativen Auswirkungen der Wirtschafts- und Finanzkrise vollständig zu überwinden, um zu verhindern, dass </w:t>
      </w:r>
      <w:r>
        <w:rPr>
          <w:rFonts w:ascii="Times New Roman" w:hAnsi="Times New Roman"/>
          <w:noProof/>
          <w:sz w:val="24"/>
        </w:rPr>
        <w:lastRenderedPageBreak/>
        <w:t>Verbesserungen bei unserer Gesundheit, unserem Wohlstand und unserem Wohlergehen zulasten der</w:t>
      </w:r>
      <w:r>
        <w:rPr>
          <w:rFonts w:ascii="Times New Roman" w:hAnsi="Times New Roman"/>
          <w:noProof/>
          <w:sz w:val="24"/>
        </w:rPr>
        <w:t xml:space="preserve"> Umwelt gehen, um soziale Ungleichheiten zu überwinden und um grenzüberschreitende Herausforderungen anzugehen.</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Wir befinden uns mitten in der vierten industriellen Revolution, die spürbare Veränderungen für jedermann mit sich bringen wird. Entscheidend is</w:t>
      </w:r>
      <w:r>
        <w:rPr>
          <w:rFonts w:ascii="Times New Roman" w:hAnsi="Times New Roman"/>
          <w:noProof/>
          <w:sz w:val="24"/>
        </w:rPr>
        <w:t>t, ob wir in der Lage sein werden, die Reaktion darauf unseren Werten und Interessen entsprechend auszurichten und zu steuern. Die EU und ihre Mitgliedstaaten haben erhebliche Wettbewerbsvorteile, die es uns ermöglichen, die Führung zu übernehmen und unser</w:t>
      </w:r>
      <w:r>
        <w:rPr>
          <w:rFonts w:ascii="Times New Roman" w:hAnsi="Times New Roman"/>
          <w:noProof/>
          <w:sz w:val="24"/>
        </w:rPr>
        <w:t>e Volkswirtschaften zu modernisieren, unsere natürliche Umwelt zu schützen und die Gesundheit und das Wohlergehen aller Europäer zu verbessern. Um dies zu erreichen, müssen wir die SDGs umsetzen und weiter in Kompetenzen, Innovation und neue Technologien i</w:t>
      </w:r>
      <w:r>
        <w:rPr>
          <w:rFonts w:ascii="Times New Roman" w:hAnsi="Times New Roman"/>
          <w:noProof/>
          <w:sz w:val="24"/>
        </w:rPr>
        <w:t xml:space="preserve">nvestieren, sodass wir dazu beitragen, den wirtschaftlichen und gesellschaftlichen Wandelunter dem Vorzeichen der Nachhaltigkeit zu steuern.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Wir müssen darüber nachdenken, wie wir unsere Produktions- und Konsummuster weiterentwickeln können. Wir müssen je</w:t>
      </w:r>
      <w:r>
        <w:rPr>
          <w:rFonts w:ascii="Times New Roman" w:hAnsi="Times New Roman"/>
          <w:noProof/>
          <w:sz w:val="24"/>
        </w:rPr>
        <w:t>tzt handeln, um die Erderwärmung und den Verlust von Ökosystemen und biologischer Vielfalt zu stoppen, die unser Wohlergehen, die Aussichten auf ein nachhaltiges Wachstum und selbst das Leben auf diesem Planeten bedrohen. Wir sind zwar dazu in der Lage, do</w:t>
      </w:r>
      <w:r>
        <w:rPr>
          <w:rFonts w:ascii="Times New Roman" w:hAnsi="Times New Roman"/>
          <w:noProof/>
          <w:sz w:val="24"/>
        </w:rPr>
        <w:t>ch viel Zeit bleibt uns nicht. Ungleichheiten und territoriale Unterschiede sind trotz der erzielten Fortschritte nach wie vor weitverbreitet. Dagegen vorzugehen, ist wichtig für eine gerechte Gesellschaft, aber auch für den Schutz und die Stärkung des soz</w:t>
      </w:r>
      <w:r>
        <w:rPr>
          <w:rFonts w:ascii="Times New Roman" w:hAnsi="Times New Roman"/>
          <w:noProof/>
          <w:sz w:val="24"/>
        </w:rPr>
        <w:t xml:space="preserve">ialen Zusammenhalts und für die Sicherung der sozialen und politischen Stabilität in und zwischen den Mitgliedstaaten der EU.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Darüber hinaus ist eine respektierte, funktionierende und regelbasierte multilaterale Weltordnung das beste Mittel gegen das Gese</w:t>
      </w:r>
      <w:r>
        <w:rPr>
          <w:rFonts w:ascii="Times New Roman" w:hAnsi="Times New Roman"/>
          <w:noProof/>
          <w:sz w:val="24"/>
        </w:rPr>
        <w:t>tz des Dschungels in einer anarchischen Welt mit Atomwaffen, Extremismus und begrenzten Ressourcen. Der gefährliche nationalistische Trend „Mein Land zuerst“ nimmt zu und kann Unfrieden und Konflikte auslösen. Einige Länder haben eine Abkehr von ihren glob</w:t>
      </w:r>
      <w:r>
        <w:rPr>
          <w:rFonts w:ascii="Times New Roman" w:hAnsi="Times New Roman"/>
          <w:noProof/>
          <w:sz w:val="24"/>
        </w:rPr>
        <w:t xml:space="preserve">alen Verpflichtungen in Bezug auf das menschliche Wohlergehen, die Sicherheit, den Umweltschutz und den Klimaschutz eingeleitet und bringen damit die auf Regeln basierende Ordnung ins Wanken.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SDGs sind kein Selbstzweck, sondern dienen uns als Kompass </w:t>
      </w:r>
      <w:r>
        <w:rPr>
          <w:rFonts w:ascii="Times New Roman" w:hAnsi="Times New Roman"/>
          <w:noProof/>
          <w:sz w:val="24"/>
        </w:rPr>
        <w:t>und Karte. Sie bieten die notwendige langfristige Perspektive, die über die Legislaturperioden und Bestrebungen, kurzfristig schnelle Erfolge zu erzielen, hinausreicht. Sie helfen uns dabei, für starke Demokratien einzutreten, moderne und dynamische Volksw</w:t>
      </w:r>
      <w:r>
        <w:rPr>
          <w:rFonts w:ascii="Times New Roman" w:hAnsi="Times New Roman"/>
          <w:noProof/>
          <w:sz w:val="24"/>
        </w:rPr>
        <w:t xml:space="preserve">irtschaften aufzubauen, zu einer Welt mit besseren Lebensstandards beizutragen, Ungleichheiten zu verringern und sicherzustellen, dass niemand zurückgelassen wird, während gleichzeitig den Belastbarkeitsgrenzen unseres Planeten ernsthaft Rechnung getragen </w:t>
      </w:r>
      <w:r>
        <w:rPr>
          <w:rFonts w:ascii="Times New Roman" w:hAnsi="Times New Roman"/>
          <w:noProof/>
          <w:sz w:val="24"/>
        </w:rPr>
        <w:t xml:space="preserve">wird, sodass er künftigen Generationen erhalten bleibt. </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noProof/>
          <w:lang w:val="en-GB" w:eastAsia="en-GB" w:bidi="ar-SA"/>
        </w:rPr>
        <w:drawing>
          <wp:inline distT="0" distB="0" distL="0" distR="0">
            <wp:extent cx="6082758"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88228" cy="2707533"/>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Die Juncker-Kommission hat sich seit ihrem Amtsantritt dafür eingesetzt, die nachhaltige Entwicklung in ihrer gesamten Politik zum Thema zu machen</w:t>
      </w:r>
      <w:r>
        <w:rPr>
          <w:rStyle w:val="FootnoteReference"/>
          <w:rFonts w:ascii="Times New Roman" w:hAnsi="Times New Roman"/>
          <w:noProof/>
          <w:sz w:val="24"/>
        </w:rPr>
        <w:footnoteReference w:id="7"/>
      </w:r>
      <w:r>
        <w:rPr>
          <w:rFonts w:ascii="Times New Roman" w:hAnsi="Times New Roman"/>
          <w:noProof/>
          <w:sz w:val="24"/>
        </w:rPr>
        <w:t>, und hat bereits den Weg für die Nachhaltigkeit</w:t>
      </w:r>
      <w:r>
        <w:rPr>
          <w:rFonts w:ascii="Times New Roman" w:hAnsi="Times New Roman"/>
          <w:noProof/>
          <w:sz w:val="24"/>
        </w:rPr>
        <w:t>sstrategien der nächsten Generation geebnet: Dazu zählen unter anderem die Europäische Säule sozialer Rechte und der neue Europäische Konsens über die Entwicklungspolitik, die wertebasierte Strategie „Handel für alle“, das Strategische Engagement für die G</w:t>
      </w:r>
      <w:r>
        <w:rPr>
          <w:rFonts w:ascii="Times New Roman" w:hAnsi="Times New Roman"/>
          <w:noProof/>
          <w:sz w:val="24"/>
        </w:rPr>
        <w:t>leichstellung der Geschlechter und der Europäische Bildungsraum,</w:t>
      </w:r>
      <w:r>
        <w:rPr>
          <w:rFonts w:ascii="Times New Roman" w:hAnsi="Times New Roman"/>
          <w:noProof/>
          <w:color w:val="000000"/>
          <w:sz w:val="24"/>
        </w:rPr>
        <w:t xml:space="preserve"> das Paket für die Kreislaufwirtschaft, „Europa in Bewegung“ und die Energieunion, die Strategie für blaues Wachstum und die Bioökonomie-Strategie oder die Investitionsoffensive und der Aktion</w:t>
      </w:r>
      <w:r>
        <w:rPr>
          <w:rFonts w:ascii="Times New Roman" w:hAnsi="Times New Roman"/>
          <w:noProof/>
          <w:color w:val="000000"/>
          <w:sz w:val="24"/>
        </w:rPr>
        <w:t xml:space="preserve">splan für nachhaltige Finanzierung, die Städteagenda für die EU und der Aktionsplan für die Natur. </w:t>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Die Juncker-Kommission hat außerdem vorgeschlagen, die Finanzen der EU nachhaltiger zu gestalten, indem die Bereitstellung von EU-Fördermitteln stärker an </w:t>
      </w:r>
      <w:r>
        <w:rPr>
          <w:rFonts w:ascii="Times New Roman" w:hAnsi="Times New Roman"/>
          <w:noProof/>
          <w:color w:val="000000"/>
          <w:sz w:val="24"/>
        </w:rPr>
        <w:t xml:space="preserve">die Rechtsstaatlichkeit gekoppelt wird und ein ehrgeizigeres Ziel von 25 % für Klimaausgaben in den künftigen EU-Haushalt aufgenommen wird.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Kürzlich hat die Juncker-Kommission eine langfristige strategische Vision für eine wohlhabende, moderne, </w:t>
      </w:r>
      <w:r>
        <w:rPr>
          <w:rFonts w:ascii="Times New Roman" w:hAnsi="Times New Roman"/>
          <w:noProof/>
          <w:sz w:val="24"/>
        </w:rPr>
        <w:t>wettbewerbsfähige und klimaneutrale EU-Wirtschaft bis 2050</w:t>
      </w:r>
      <w:r>
        <w:rPr>
          <w:rStyle w:val="FootnoteReference"/>
          <w:rFonts w:ascii="Times New Roman" w:hAnsi="Times New Roman"/>
          <w:noProof/>
          <w:sz w:val="24"/>
        </w:rPr>
        <w:footnoteReference w:id="8"/>
      </w:r>
      <w:r>
        <w:rPr>
          <w:rFonts w:ascii="Times New Roman" w:hAnsi="Times New Roman"/>
          <w:noProof/>
          <w:sz w:val="24"/>
        </w:rPr>
        <w:t xml:space="preserve"> vorgelegt. Diese Vision ebnet den Weg für einen strukturellen Wandel der europäischen Wirtschaft, der nachhaltiges Wachstum und Beschäftigung fördert.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Alle diese strategischen Maßnahmen werden o</w:t>
      </w:r>
      <w:r>
        <w:rPr>
          <w:rFonts w:ascii="Times New Roman" w:hAnsi="Times New Roman"/>
          <w:noProof/>
          <w:sz w:val="24"/>
        </w:rPr>
        <w:t>hne Abstriche in die Praxis umgesetzt werden müssen. Sie werden zudem durch weitere Maßnahmen ergänzt werden müssen, wobei zu berücksichtigen ist, dass alle Politikbereiche miteinander zusammenhängen; gleichzeitig ist etwaigen neuen Herausforderungen, Fakt</w:t>
      </w:r>
      <w:r>
        <w:rPr>
          <w:rFonts w:ascii="Times New Roman" w:hAnsi="Times New Roman"/>
          <w:noProof/>
          <w:sz w:val="24"/>
        </w:rPr>
        <w:t>en und Erkenntnissen Rechnung zu tragen. Der soziale Dialog und freiwillige Maßnahmen vonseiten der Privatwirtschaft spielen in dieser Hinsicht ebenfalls eine wichtige Rolle.</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Die EU ist äußerst gut aufgestellt, um eine Führungsrolle zu übernehmen. Andere </w:t>
      </w:r>
      <w:r>
        <w:rPr>
          <w:rFonts w:ascii="Times New Roman" w:hAnsi="Times New Roman"/>
          <w:noProof/>
          <w:sz w:val="24"/>
        </w:rPr>
        <w:t>Weltmächte ziehen sich zurück, wodurch ein politisches Vakuum entsteht. Dies ist eine entscheidende Gelegenheit für die EU, Führungsstärke zu zeigen und als Wegbereiter anderen voranzugehen.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rPr>
        <w:t>Im Mai dieses Jahres werden die EU-Bürger ein neues Europäisches</w:t>
      </w:r>
      <w:r>
        <w:rPr>
          <w:rFonts w:ascii="Times New Roman" w:hAnsi="Times New Roman"/>
          <w:noProof/>
          <w:sz w:val="24"/>
        </w:rPr>
        <w:t xml:space="preserve"> Parlament wählen und im Herbst wird eine neue Kommission ihr Amt antreten. Das Zieldatum der Strategie „Europa 2020“ für intelligentes, nachhaltiges und integratives Wachstum</w:t>
      </w:r>
      <w:r>
        <w:rPr>
          <w:rStyle w:val="FootnoteReference"/>
          <w:rFonts w:ascii="Times New Roman" w:hAnsi="Times New Roman"/>
          <w:noProof/>
          <w:sz w:val="24"/>
        </w:rPr>
        <w:footnoteReference w:id="9"/>
      </w:r>
      <w:r>
        <w:rPr>
          <w:rFonts w:ascii="Times New Roman" w:hAnsi="Times New Roman"/>
          <w:noProof/>
          <w:sz w:val="24"/>
        </w:rPr>
        <w:t xml:space="preserve"> ist in Sicht. Daher muss sich unser Blick darüber hinaus auf den nächsten fünfj</w:t>
      </w:r>
      <w:r>
        <w:rPr>
          <w:rFonts w:ascii="Times New Roman" w:hAnsi="Times New Roman"/>
          <w:noProof/>
          <w:sz w:val="24"/>
        </w:rPr>
        <w:t>ährigen Politikzyklus für Europa und den neuen Mehrjährigen Finanzrahmen für den Zeitraum 2021 bis 2027 richten. Der Europäische Rat</w:t>
      </w:r>
      <w:r>
        <w:rPr>
          <w:rStyle w:val="FootnoteReference"/>
          <w:rFonts w:ascii="Times New Roman" w:hAnsi="Times New Roman"/>
          <w:noProof/>
          <w:sz w:val="24"/>
        </w:rPr>
        <w:footnoteReference w:id="10"/>
      </w:r>
      <w:r>
        <w:rPr>
          <w:rFonts w:ascii="Times New Roman" w:hAnsi="Times New Roman"/>
          <w:noProof/>
          <w:sz w:val="24"/>
        </w:rPr>
        <w:t xml:space="preserve"> hat die Absicht der Kommission begrüßt, dieses Reflexionspapier zu veröffentlichen, das den Weg für eine umfassende Umsetz</w:t>
      </w:r>
      <w:r>
        <w:rPr>
          <w:rFonts w:ascii="Times New Roman" w:hAnsi="Times New Roman"/>
          <w:noProof/>
          <w:sz w:val="24"/>
        </w:rPr>
        <w:t>ungsstrategie für 2019 ebnen soll. Mit diesem Reflexionspapier wird eine Debatte über die Weiterentwicklung der EU-Vision für eine nachhaltige Entwicklung und die Ausrichtung der Politik in den einzelnen Bereichen nach 2020 angestoßen. Gleichzeitig wird di</w:t>
      </w:r>
      <w:r>
        <w:rPr>
          <w:rFonts w:ascii="Times New Roman" w:hAnsi="Times New Roman"/>
          <w:noProof/>
          <w:sz w:val="24"/>
        </w:rPr>
        <w:t>e langfristige Umsetzung der Ziele für nachhaltige Entwicklung vorbereitet.</w:t>
      </w:r>
      <w:r>
        <w:rPr>
          <w:rStyle w:val="FootnoteReference"/>
          <w:rFonts w:ascii="Times New Roman" w:hAnsi="Times New Roman"/>
          <w:noProof/>
          <w:sz w:val="24"/>
        </w:rPr>
        <w:footnoteReference w:id="11"/>
      </w:r>
      <w:r>
        <w:rPr>
          <w:rFonts w:ascii="Times New Roman" w:hAnsi="Times New Roman"/>
          <w:noProof/>
          <w:sz w:val="24"/>
        </w:rPr>
        <w:t xml:space="preserve"> Die Kommission möchte zu einer wirklich umfassenden und zukunftsorientierten Debatte über die Zukunft Europas beitragen. Die nachhaltige Entwicklung ist untrennbar mit dieser Zuku</w:t>
      </w:r>
      <w:r>
        <w:rPr>
          <w:rFonts w:ascii="Times New Roman" w:hAnsi="Times New Roman"/>
          <w:noProof/>
          <w:sz w:val="24"/>
        </w:rPr>
        <w:t xml:space="preserve">nft verbunden. </w:t>
      </w:r>
    </w:p>
    <w:p w:rsidR="00152528" w:rsidRDefault="00124136">
      <w:pPr>
        <w:pStyle w:val="Heading1"/>
        <w:rPr>
          <w:rFonts w:eastAsia="Times New Roman"/>
          <w:noProof/>
        </w:rPr>
      </w:pPr>
      <w:bookmarkStart w:id="5" w:name="_Toc532469537"/>
      <w:bookmarkStart w:id="6" w:name="_Toc536442038"/>
      <w:bookmarkStart w:id="7" w:name="_Toc536555107"/>
      <w:bookmarkEnd w:id="5"/>
      <w:r>
        <w:rPr>
          <w:noProof/>
        </w:rPr>
        <w:t>Die EU und die anstehenden globalen Herausforderungen</w:t>
      </w:r>
      <w:bookmarkEnd w:id="6"/>
      <w:bookmarkEnd w:id="7"/>
    </w:p>
    <w:p w:rsidR="00152528" w:rsidRDefault="00152528">
      <w:pPr>
        <w:rPr>
          <w:noProof/>
          <w:sz w:val="4"/>
          <w:szCs w:val="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Infolge der Reformanstrengungen auf allen Ebenen haben sich die wirtschaftlichen Eckdaten in der EU nach der Wirtschafts- und Finanzkrise wieder verbessert.</w:t>
      </w:r>
      <w:r>
        <w:rPr>
          <w:rStyle w:val="FootnoteReference"/>
          <w:rFonts w:ascii="Times New Roman" w:hAnsi="Times New Roman"/>
          <w:noProof/>
          <w:sz w:val="24"/>
        </w:rPr>
        <w:footnoteReference w:id="12"/>
      </w:r>
      <w:r>
        <w:rPr>
          <w:rFonts w:ascii="Times New Roman" w:hAnsi="Times New Roman"/>
          <w:noProof/>
          <w:sz w:val="24"/>
        </w:rPr>
        <w:t xml:space="preserve"> </w:t>
      </w:r>
      <w:r>
        <w:rPr>
          <w:rFonts w:ascii="Times New Roman" w:hAnsi="Times New Roman"/>
          <w:noProof/>
          <w:color w:val="000000"/>
          <w:sz w:val="24"/>
        </w:rPr>
        <w:t>Den jüngsten Prognosen</w:t>
      </w:r>
      <w:r>
        <w:rPr>
          <w:rStyle w:val="FootnoteReference"/>
          <w:rFonts w:ascii="Times New Roman" w:hAnsi="Times New Roman"/>
          <w:noProof/>
          <w:color w:val="000000"/>
          <w:sz w:val="24"/>
        </w:rPr>
        <w:footnoteReference w:id="13"/>
      </w:r>
      <w:r>
        <w:rPr>
          <w:rFonts w:ascii="Times New Roman" w:hAnsi="Times New Roman"/>
          <w:noProof/>
          <w:color w:val="000000"/>
          <w:sz w:val="24"/>
        </w:rPr>
        <w:t xml:space="preserve"> zufolge dürfte es jedoch notwendig sein, die Wachstumsraten zu steigern, die Schuldenquoten zu senken und die Haushaltsdisziplin aufrechtzuerhalten, um die Rahmenbedingungen für eine solide Wirtschaft zu schaffen. Wenn wir nichts unternehmen, um die Wirts</w:t>
      </w:r>
      <w:r>
        <w:rPr>
          <w:rFonts w:ascii="Times New Roman" w:hAnsi="Times New Roman"/>
          <w:noProof/>
          <w:color w:val="000000"/>
          <w:sz w:val="24"/>
        </w:rPr>
        <w:t>chaft widerstandsfähiger zu machen, den Zusammenhalt zu stärken und strukturelle Schwachstellen anzugehen, könnte es in den nächsten Jahren in einem Umfeld mit großen Abwärtsrisiken zu einem Verlust an Dynamik kommen. Umgekehrt können wir – wenn wir die no</w:t>
      </w:r>
      <w:r>
        <w:rPr>
          <w:rFonts w:ascii="Times New Roman" w:hAnsi="Times New Roman"/>
          <w:noProof/>
          <w:color w:val="000000"/>
          <w:sz w:val="24"/>
        </w:rPr>
        <w:t>twendigen Strukturreformen durchführen – zu mehr Wohlergehen und einer stabileren Zukunft beitragen, unter anderem durch Investitionen in Forschung und Innovation, öffentliche Dienstleistungen, Sozialsysteme und Umweltschutz. Sowohl auf der Ebene der EU al</w:t>
      </w:r>
      <w:r>
        <w:rPr>
          <w:rFonts w:ascii="Times New Roman" w:hAnsi="Times New Roman"/>
          <w:noProof/>
          <w:color w:val="000000"/>
          <w:sz w:val="24"/>
        </w:rPr>
        <w:t>s auch auf der Ebene der Mitgliedstaaten sind Schritte erforderlich, um zukunftssichere Steuer- und Rentensysteme, einschließlich stabiler Steuereinnahmen im Binnenmarkt, zu gewährleisten.</w:t>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Darüber hinaus werden viele Herausforderungen, die unser Wohlergeh</w:t>
      </w:r>
      <w:r>
        <w:rPr>
          <w:rFonts w:ascii="Times New Roman" w:hAnsi="Times New Roman"/>
          <w:noProof/>
          <w:color w:val="000000"/>
          <w:sz w:val="24"/>
        </w:rPr>
        <w:t xml:space="preserve">en und unseren wirtschaftlichen Wohlstand bedrohen, immer dringlicher. All diese Herausforderungen sind komplex und eng miteinander verwoben, was bedeutet, dass sich die Bewältigung eines der Probleme auch positiv auf andere auswirken kann. </w:t>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Das größte Na</w:t>
      </w:r>
      <w:r>
        <w:rPr>
          <w:rFonts w:ascii="Times New Roman" w:hAnsi="Times New Roman"/>
          <w:noProof/>
          <w:sz w:val="24"/>
        </w:rPr>
        <w:t>chhaltigkeitsdefizit und die größte Herausforderung, vor der wir stehen, sind die ökologischen Schulden, die wir durch Ausbeutung und Erschöpfung unserer natürlichen Ressourcen anhäufen. Damit setzten wir unsere Fähigkeit aufs Spiel‚ die Bedürfnisse künfti</w:t>
      </w:r>
      <w:r>
        <w:rPr>
          <w:rFonts w:ascii="Times New Roman" w:hAnsi="Times New Roman"/>
          <w:noProof/>
          <w:sz w:val="24"/>
        </w:rPr>
        <w:t>ger Generationen innerhalb der Belastbarkeitsgrenzen unseres Planeten zu erfüllen.</w:t>
      </w:r>
      <w:r>
        <w:rPr>
          <w:rFonts w:ascii="Times New Roman" w:hAnsi="Times New Roman"/>
          <w:noProof/>
          <w:color w:val="000000"/>
          <w:sz w:val="24"/>
        </w:rPr>
        <w:t xml:space="preserve"> Weltweit gefährdet die Knappheit der wichtigsten Ressourcen – von Trinkwasser bis hin zu fruchtbarem Boden – die menschliche Existenz. </w:t>
      </w:r>
      <w:r>
        <w:rPr>
          <w:rFonts w:ascii="Times New Roman" w:hAnsi="Times New Roman"/>
          <w:noProof/>
          <w:sz w:val="24"/>
        </w:rPr>
        <w:t>Die Menschheit nutzt heutzutage das Äq</w:t>
      </w:r>
      <w:r>
        <w:rPr>
          <w:rFonts w:ascii="Times New Roman" w:hAnsi="Times New Roman"/>
          <w:noProof/>
          <w:sz w:val="24"/>
        </w:rPr>
        <w:t>uivalent von 1,7 Erden.</w:t>
      </w:r>
      <w:r>
        <w:rPr>
          <w:rStyle w:val="FootnoteReference"/>
          <w:rFonts w:ascii="Times New Roman" w:hAnsi="Times New Roman"/>
          <w:noProof/>
          <w:color w:val="000000"/>
          <w:sz w:val="24"/>
        </w:rPr>
        <w:footnoteReference w:id="14"/>
      </w:r>
      <w:r>
        <w:rPr>
          <w:rFonts w:ascii="Times New Roman" w:hAnsi="Times New Roman"/>
          <w:noProof/>
          <w:color w:val="000000"/>
          <w:sz w:val="24"/>
        </w:rPr>
        <w:t xml:space="preserve"> Mit einem weltweiten Verbrauch an materiellen Ressourcen, der zwischen 1900 und 2015 um das Vierzehnfache gestiegen ist und sich zwischen 2015 und 2050 mehr als verdoppeln dürfte</w:t>
      </w:r>
      <w:r>
        <w:rPr>
          <w:rStyle w:val="FootnoteReference"/>
          <w:rFonts w:ascii="Times New Roman" w:hAnsi="Times New Roman"/>
          <w:noProof/>
          <w:color w:val="000000"/>
          <w:sz w:val="24"/>
        </w:rPr>
        <w:footnoteReference w:id="15"/>
      </w:r>
      <w:r>
        <w:rPr>
          <w:rFonts w:ascii="Times New Roman" w:hAnsi="Times New Roman"/>
          <w:noProof/>
          <w:color w:val="000000"/>
          <w:sz w:val="24"/>
        </w:rPr>
        <w:t>, bewegt sich die Welt rasch auf verschiedene Kipppu</w:t>
      </w:r>
      <w:r>
        <w:rPr>
          <w:rFonts w:ascii="Times New Roman" w:hAnsi="Times New Roman"/>
          <w:noProof/>
          <w:color w:val="000000"/>
          <w:sz w:val="24"/>
        </w:rPr>
        <w:t xml:space="preserve">nkte zu. Neben der Umweltbelastung ist dies eine der großen Herausforderungen für die EU-Wirtschaft, die auf die internationalen Werkstoffmärkte angewiesen ist.  </w:t>
      </w:r>
    </w:p>
    <w:p w:rsidR="00152528" w:rsidRDefault="00152528">
      <w:pPr>
        <w:jc w:val="both"/>
        <w:rPr>
          <w:rFonts w:ascii="Times New Roman" w:hAnsi="Times New Roman" w:cs="Times New Roman"/>
          <w:i/>
          <w:noProof/>
          <w:sz w:val="24"/>
          <w:szCs w:val="24"/>
        </w:rPr>
      </w:pPr>
    </w:p>
    <w:p w:rsidR="00152528" w:rsidRDefault="00124136">
      <w:pPr>
        <w:jc w:val="center"/>
        <w:rPr>
          <w:rFonts w:ascii="Times New Roman" w:hAnsi="Times New Roman" w:cs="Times New Roman"/>
          <w:i/>
          <w:noProof/>
          <w:sz w:val="24"/>
          <w:szCs w:val="24"/>
        </w:rPr>
      </w:pPr>
      <w:r>
        <w:rPr>
          <w:noProof/>
          <w:lang w:val="en-GB" w:eastAsia="en-GB" w:bidi="ar-SA"/>
        </w:rPr>
        <w:drawing>
          <wp:inline distT="0" distB="0" distL="0" distR="0">
            <wp:extent cx="4213860" cy="42891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14225" cy="4289480"/>
                    </a:xfrm>
                    <a:prstGeom prst="rect">
                      <a:avLst/>
                    </a:prstGeom>
                  </pic:spPr>
                </pic:pic>
              </a:graphicData>
            </a:graphic>
          </wp:inline>
        </w:drawing>
      </w:r>
    </w:p>
    <w:p w:rsidR="00152528" w:rsidRDefault="00152528">
      <w:pPr>
        <w:jc w:val="both"/>
        <w:rPr>
          <w:rFonts w:ascii="Times New Roman" w:hAnsi="Times New Roman" w:cs="Times New Roman"/>
          <w:i/>
          <w:noProof/>
          <w:sz w:val="24"/>
          <w:szCs w:val="24"/>
        </w:rPr>
      </w:pPr>
    </w:p>
    <w:p w:rsidR="00152528" w:rsidRDefault="00152528">
      <w:pPr>
        <w:spacing w:line="240" w:lineRule="auto"/>
        <w:jc w:val="both"/>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4572000" cy="3708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396" cy="3709172"/>
                    </a:xfrm>
                    <a:prstGeom prst="rect">
                      <a:avLst/>
                    </a:prstGeom>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biologische Vielfalt und die Ökosysteme werden zunehmend durch menschliches Handel</w:t>
      </w:r>
      <w:r>
        <w:rPr>
          <w:rFonts w:ascii="Times New Roman" w:hAnsi="Times New Roman"/>
          <w:noProof/>
          <w:sz w:val="24"/>
        </w:rPr>
        <w:t>n gefährdet; in nur 40 Jahren sind die Bestände an Wirbeltieren weltweit um durchschnittlich 60 % zurückgegangen</w:t>
      </w:r>
      <w:r>
        <w:rPr>
          <w:rStyle w:val="FootnoteReference"/>
          <w:rFonts w:ascii="Times New Roman" w:hAnsi="Times New Roman"/>
          <w:noProof/>
          <w:sz w:val="24"/>
        </w:rPr>
        <w:footnoteReference w:id="16"/>
      </w:r>
      <w:r>
        <w:rPr>
          <w:rFonts w:ascii="Times New Roman" w:hAnsi="Times New Roman"/>
          <w:noProof/>
          <w:sz w:val="24"/>
        </w:rPr>
        <w:t>. Die Zerstörung der tropischen Regenwälder schreitet rasch voran: Jedes Jahr geht eine Fläche in etwa der Größe Griechenlands verloren.</w:t>
      </w:r>
      <w:r>
        <w:rPr>
          <w:rFonts w:ascii="Times New Roman" w:hAnsi="Times New Roman"/>
          <w:b/>
          <w:noProof/>
          <w:sz w:val="24"/>
        </w:rPr>
        <w:t xml:space="preserve"> </w:t>
      </w:r>
      <w:r>
        <w:rPr>
          <w:rFonts w:ascii="Times New Roman" w:hAnsi="Times New Roman"/>
          <w:noProof/>
          <w:sz w:val="24"/>
        </w:rPr>
        <w:t>Dies s</w:t>
      </w:r>
      <w:r>
        <w:rPr>
          <w:rFonts w:ascii="Times New Roman" w:hAnsi="Times New Roman"/>
          <w:noProof/>
          <w:sz w:val="24"/>
        </w:rPr>
        <w:t>ind nicht die „Probleme anderer“. In der EU sind nur 23 % der Arten und 16 % der Lebensräume gesund. Was die Landnutzung angeht, ist der „Fußabdruck“ tierischer Lebensmittel besonders groß</w:t>
      </w:r>
      <w:r>
        <w:rPr>
          <w:rStyle w:val="FootnoteReference"/>
          <w:rFonts w:ascii="Times New Roman" w:hAnsi="Times New Roman"/>
          <w:noProof/>
          <w:sz w:val="24"/>
        </w:rPr>
        <w:footnoteReference w:id="17"/>
      </w:r>
      <w:r>
        <w:rPr>
          <w:rFonts w:ascii="Times New Roman" w:hAnsi="Times New Roman"/>
          <w:noProof/>
          <w:sz w:val="24"/>
        </w:rPr>
        <w:t xml:space="preserve"> und die wachsende Nachfrage nach Fisch und Meeresfrüchten belastet</w:t>
      </w:r>
      <w:r>
        <w:rPr>
          <w:rFonts w:ascii="Times New Roman" w:hAnsi="Times New Roman"/>
          <w:noProof/>
          <w:sz w:val="24"/>
        </w:rPr>
        <w:t xml:space="preserve"> die Meeresökosysteme ganz erheblich</w:t>
      </w:r>
      <w:r>
        <w:rPr>
          <w:rStyle w:val="FootnoteReference"/>
          <w:rFonts w:ascii="Times New Roman" w:hAnsi="Times New Roman"/>
          <w:noProof/>
          <w:sz w:val="24"/>
        </w:rPr>
        <w:footnoteReference w:id="18"/>
      </w:r>
      <w:r>
        <w:rPr>
          <w:rFonts w:ascii="Times New Roman" w:hAnsi="Times New Roman"/>
          <w:noProof/>
          <w:sz w:val="24"/>
        </w:rPr>
        <w:t>.</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 xml:space="preserve">Die weltweiten Treibhausgasemissionen steigen weiterhin in alarmierendem Tempo an, wobei der Energieverbrauch, aber auch die übermäßige Inanspruchnahme von Ressourcen und die Zerstörung von Ökosystemen wichtige </w:t>
      </w:r>
      <w:r>
        <w:rPr>
          <w:rFonts w:ascii="Times New Roman" w:hAnsi="Times New Roman"/>
          <w:noProof/>
          <w:color w:val="000000"/>
          <w:sz w:val="24"/>
        </w:rPr>
        <w:t>Triebkräfte sind.</w:t>
      </w:r>
      <w:r>
        <w:rPr>
          <w:rFonts w:ascii="Times New Roman" w:hAnsi="Times New Roman"/>
          <w:noProof/>
          <w:sz w:val="24"/>
        </w:rPr>
        <w:t xml:space="preserve"> Der Verkehr ist für 27 % der Treibhausgasemissionen in der EU verantwortlich und in vielen städtischen Gebieten werden die in der EU vereinbarten Grenzwerte für die Luftverschmutzung nicht eingehalten. Der Wasser- und Energieverbrauch und</w:t>
      </w:r>
      <w:r>
        <w:rPr>
          <w:rFonts w:ascii="Times New Roman" w:hAnsi="Times New Roman"/>
          <w:noProof/>
          <w:sz w:val="24"/>
        </w:rPr>
        <w:t xml:space="preserve"> die Schadstoffemissionen bei der Lebensmittelerzeugung sind immer noch hoch: Sie verursacht etwa 11,3 % der Treibhausgasemissionen in der EU. Trotz der ehrgeizigen Maßnahmen der EU zur Dekarbonisierung und der im Rahmen der G7 und G20 eingegangenen Verpfl</w:t>
      </w:r>
      <w:r>
        <w:rPr>
          <w:rFonts w:ascii="Times New Roman" w:hAnsi="Times New Roman"/>
          <w:noProof/>
          <w:sz w:val="24"/>
        </w:rPr>
        <w:t>ichtungen zur Beendigung der Subventionierung werden fossile Brennstoffe in der EU nach wie vor mit rund 55 Mrd. EUR pro Jahr (d. h. ca. 20 % der EU-Kraftstoffeinfuhren) von der öffentlichen Hand subventioniert.</w:t>
      </w:r>
      <w:r>
        <w:rPr>
          <w:rStyle w:val="FootnoteReference"/>
          <w:rFonts w:ascii="Times New Roman" w:hAnsi="Times New Roman"/>
          <w:noProof/>
          <w:sz w:val="24"/>
        </w:rPr>
        <w:footnoteReference w:id="19"/>
      </w:r>
      <w:r>
        <w:rPr>
          <w:rFonts w:ascii="Times New Roman" w:hAnsi="Times New Roman"/>
          <w:noProof/>
          <w:sz w:val="24"/>
        </w:rPr>
        <w:t xml:space="preserve">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Insgesamt ist es der EU gelungen, ihre ei</w:t>
      </w:r>
      <w:r>
        <w:rPr>
          <w:rFonts w:ascii="Times New Roman" w:hAnsi="Times New Roman"/>
          <w:noProof/>
          <w:sz w:val="24"/>
        </w:rPr>
        <w:t xml:space="preserve">genen Emissionen zu verringern und sie vom Wirtschaftswachstum abzukoppeln, sodass sie einen nennenswerten Beitrag zu den weltweiten Anstrengungen leistet. Dabei sind auch die Emissionen zu berücksichtigen, die durch die Erzeugnisse verursacht werden, die </w:t>
      </w:r>
      <w:r>
        <w:rPr>
          <w:rFonts w:ascii="Times New Roman" w:hAnsi="Times New Roman"/>
          <w:noProof/>
          <w:sz w:val="24"/>
        </w:rPr>
        <w:t>in die EU ein- bzw. aus ihr ausgeführt werden.</w:t>
      </w:r>
      <w:r>
        <w:rPr>
          <w:rStyle w:val="FootnoteReference"/>
          <w:rFonts w:ascii="Times New Roman" w:hAnsi="Times New Roman"/>
          <w:noProof/>
          <w:sz w:val="24"/>
        </w:rPr>
        <w:footnoteReference w:id="20"/>
      </w:r>
      <w:r>
        <w:rPr>
          <w:rFonts w:ascii="Times New Roman" w:hAnsi="Times New Roman"/>
          <w:noProof/>
          <w:sz w:val="24"/>
        </w:rPr>
        <w:t xml:space="preserve"> Jedoch sind sowohl auf EU-Ebene als auch weltweit noch mehr Anstrengungen erforderlich.</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color w:val="000000"/>
          <w:sz w:val="24"/>
        </w:rPr>
        <w:t>Wenn die verheerenden Auswirkungen des Klimawandels und der Zerstörung des Naturkapitals nicht angegangen werden, werden sie schwerwiegende Auswirkungen auf die Wirtschaft haben, die Lebensqualität auf dem gesamten Planeten verringern und die Intensität un</w:t>
      </w:r>
      <w:r>
        <w:rPr>
          <w:rFonts w:ascii="Times New Roman" w:hAnsi="Times New Roman"/>
          <w:noProof/>
          <w:color w:val="000000"/>
          <w:sz w:val="24"/>
        </w:rPr>
        <w:t xml:space="preserve">d Häufigkeit von Naturkatastrophen erhöhen, sodass mehr Menschenleben gefährdet werden. </w:t>
      </w:r>
      <w:r>
        <w:rPr>
          <w:rFonts w:ascii="Times New Roman" w:hAnsi="Times New Roman"/>
          <w:noProof/>
          <w:sz w:val="24"/>
        </w:rPr>
        <w:t>Zwar wird eine Umkehrung dieser negativen Trends auch etwas kosten und beträchtliche gemeinsame Anstrengungen erfordern, aber die Kosten des Nichthandelns und die damit</w:t>
      </w:r>
      <w:r>
        <w:rPr>
          <w:rFonts w:ascii="Times New Roman" w:hAnsi="Times New Roman"/>
          <w:noProof/>
          <w:sz w:val="24"/>
        </w:rPr>
        <w:t xml:space="preserve"> verbundenen sozialen Auswirkungen wären viel höher.</w:t>
      </w:r>
      <w:r>
        <w:rPr>
          <w:rStyle w:val="FootnoteReference"/>
          <w:rFonts w:ascii="Times New Roman" w:hAnsi="Times New Roman"/>
          <w:noProof/>
          <w:sz w:val="24"/>
        </w:rPr>
        <w:footnoteReference w:id="21"/>
      </w:r>
      <w:r>
        <w:rPr>
          <w:rFonts w:ascii="Times New Roman" w:hAnsi="Times New Roman"/>
          <w:noProof/>
          <w:sz w:val="24"/>
        </w:rPr>
        <w:t xml:space="preserve"> </w:t>
      </w: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Die globalen Herausforderungen bringen auch das Sozialmodell der EU – ein Eckpfeiler des europäischen Projekts – ins Wanken. Der technologische, strukturelle und demografische Wandel in einer globalisi</w:t>
      </w:r>
      <w:r>
        <w:rPr>
          <w:rFonts w:ascii="Times New Roman" w:hAnsi="Times New Roman"/>
          <w:noProof/>
          <w:color w:val="000000"/>
          <w:sz w:val="24"/>
        </w:rPr>
        <w:t xml:space="preserve">erten Welt verändert das Gesicht der Arbeit und stellt unsere Solidarität infrage, wodurch das Versprechen, dass jede Generation hoffen kann, eine bessere Welt als die letzte zu erben, untergraben wird. Außerdem könnten dadurch die grundlegenden Werte der </w:t>
      </w:r>
      <w:r>
        <w:rPr>
          <w:rFonts w:ascii="Times New Roman" w:hAnsi="Times New Roman"/>
          <w:noProof/>
          <w:color w:val="000000"/>
          <w:sz w:val="24"/>
        </w:rPr>
        <w:t xml:space="preserve">EU – Demokratie, Rechtsstaatlichkeit und Grundrechte – zunehmend gefährdet werden. </w:t>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4412363" cy="4892464"/>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12363" cy="4892464"/>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Derzeit sind rund 22,5 % der EU-Bevölkerung noch immer von Armut oder sozialer Ausgrenzung bedroht und 6,9 % der Europäer sind nach wie vor von erheblicher materieller </w:t>
      </w:r>
      <w:r>
        <w:rPr>
          <w:rFonts w:ascii="Times New Roman" w:hAnsi="Times New Roman"/>
          <w:noProof/>
          <w:sz w:val="24"/>
        </w:rPr>
        <w:t>Deprivation betroffen. 2017 ging die Einkommensungleichheit in den EU-Mitgliedstaaten zum ersten Mal seit der Finanzkrise zurück. Die Einkommensungleichheiten sind jedoch immer noch zu groß, auch angesichts einer weiterhin hohen Vermögenskonzentration an d</w:t>
      </w:r>
      <w:r>
        <w:rPr>
          <w:rFonts w:ascii="Times New Roman" w:hAnsi="Times New Roman"/>
          <w:noProof/>
          <w:sz w:val="24"/>
        </w:rPr>
        <w:t>er Spitze. Dies hat vielfältige soziale Folgen, die zu Unterschieden bei Wohlergehen und Lebensqualität führen.</w:t>
      </w:r>
      <w:r>
        <w:rPr>
          <w:rFonts w:ascii="Times New Roman" w:hAnsi="Times New Roman"/>
          <w:noProof/>
          <w:color w:val="000000"/>
          <w:sz w:val="24"/>
        </w:rPr>
        <w:t xml:space="preserve"> </w:t>
      </w:r>
      <w:r>
        <w:rPr>
          <w:rFonts w:ascii="Times New Roman" w:hAnsi="Times New Roman"/>
          <w:noProof/>
          <w:sz w:val="24"/>
        </w:rPr>
        <w:t>Die EU-Mitgliedstaaten sind auch mit einer Reihe von Herausforderungen konfrontiert, wenn es darum geht, erschwingliche Energie für alle Europäe</w:t>
      </w:r>
      <w:r>
        <w:rPr>
          <w:rFonts w:ascii="Times New Roman" w:hAnsi="Times New Roman"/>
          <w:noProof/>
          <w:sz w:val="24"/>
        </w:rPr>
        <w:t>r zu gewährleisten; Millionen Menschen können ihr Zuhause kaum heizen</w:t>
      </w:r>
      <w:r>
        <w:rPr>
          <w:rStyle w:val="FootnoteReference"/>
          <w:rFonts w:ascii="Times New Roman" w:hAnsi="Times New Roman"/>
          <w:noProof/>
          <w:sz w:val="24"/>
        </w:rPr>
        <w:footnoteReference w:id="22"/>
      </w:r>
      <w:r>
        <w:rPr>
          <w:rFonts w:ascii="Times New Roman" w:hAnsi="Times New Roman"/>
          <w:noProof/>
          <w:sz w:val="24"/>
        </w:rPr>
        <w:t>. Während sich etwa 43 Millionen Menschen in der EU nicht einmal jeden zweiten Tag eine ordentliche Mahlzeit leisten können</w:t>
      </w:r>
      <w:r>
        <w:rPr>
          <w:rStyle w:val="FootnoteReference"/>
          <w:rFonts w:ascii="Times New Roman" w:hAnsi="Times New Roman"/>
          <w:noProof/>
          <w:sz w:val="24"/>
        </w:rPr>
        <w:footnoteReference w:id="23"/>
      </w:r>
      <w:r>
        <w:rPr>
          <w:rFonts w:ascii="Times New Roman" w:hAnsi="Times New Roman"/>
          <w:noProof/>
          <w:sz w:val="24"/>
        </w:rPr>
        <w:t>, verschwenden wir etwa 20 % der produzierten Lebensmittel</w:t>
      </w:r>
      <w:r>
        <w:rPr>
          <w:rStyle w:val="FootnoteReference"/>
          <w:rFonts w:ascii="Times New Roman" w:hAnsi="Times New Roman"/>
          <w:noProof/>
          <w:sz w:val="24"/>
        </w:rPr>
        <w:footnoteReference w:id="24"/>
      </w:r>
      <w:r>
        <w:rPr>
          <w:rFonts w:ascii="Times New Roman" w:hAnsi="Times New Roman"/>
          <w:noProof/>
          <w:sz w:val="24"/>
        </w:rPr>
        <w:t xml:space="preserve"> un</w:t>
      </w:r>
      <w:r>
        <w:rPr>
          <w:rFonts w:ascii="Times New Roman" w:hAnsi="Times New Roman"/>
          <w:noProof/>
          <w:sz w:val="24"/>
        </w:rPr>
        <w:t>d mehr als die Hälfte der erwachsenen Bevölkerung in der EU ist übergewichtig</w:t>
      </w:r>
      <w:r>
        <w:rPr>
          <w:rStyle w:val="FootnoteReference"/>
          <w:rFonts w:ascii="Times New Roman" w:hAnsi="Times New Roman"/>
          <w:noProof/>
          <w:sz w:val="24"/>
        </w:rPr>
        <w:footnoteReference w:id="25"/>
      </w:r>
      <w:r>
        <w:rPr>
          <w:rFonts w:ascii="Times New Roman" w:hAnsi="Times New Roman"/>
          <w:noProof/>
          <w:sz w:val="24"/>
        </w:rPr>
        <w:t>, mit erheblichen Gesundheitsrisiken als Folge. Ein weiteres Gesundheitsrisiko ist die antimikrobielle Resistenz, die in den kommenden Jahrzehnten mehr als 10 Millionen Todesfäll</w:t>
      </w:r>
      <w:r>
        <w:rPr>
          <w:rFonts w:ascii="Times New Roman" w:hAnsi="Times New Roman"/>
          <w:noProof/>
          <w:sz w:val="24"/>
        </w:rPr>
        <w:t>e pro Jahr verursachen könnte</w:t>
      </w:r>
      <w:r>
        <w:rPr>
          <w:rStyle w:val="FootnoteReference"/>
          <w:rFonts w:ascii="Times New Roman" w:hAnsi="Times New Roman"/>
          <w:noProof/>
          <w:sz w:val="24"/>
        </w:rPr>
        <w:footnoteReference w:id="26"/>
      </w:r>
      <w:r>
        <w:rPr>
          <w:rFonts w:ascii="Times New Roman" w:hAnsi="Times New Roman"/>
          <w:noProof/>
          <w:sz w:val="24"/>
        </w:rPr>
        <w:t xml:space="preserve">. </w:t>
      </w:r>
    </w:p>
    <w:p w:rsidR="00152528" w:rsidRDefault="00124136">
      <w:pPr>
        <w:autoSpaceDE w:val="0"/>
        <w:autoSpaceDN w:val="0"/>
        <w:adjustRightInd w:val="0"/>
        <w:spacing w:after="0" w:line="240" w:lineRule="auto"/>
        <w:jc w:val="both"/>
        <w:rPr>
          <w:rFonts w:ascii="Times New Roman" w:hAnsi="Times New Roman" w:cs="Times New Roman"/>
          <w:i/>
          <w:noProof/>
          <w:sz w:val="24"/>
          <w:szCs w:val="24"/>
        </w:rPr>
      </w:pPr>
      <w:r>
        <w:rPr>
          <w:noProof/>
        </w:rPr>
        <w:tab/>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337560" cy="24215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38447" cy="2422202"/>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Auch heute noch sind Frauen und Männern nicht vollständig gleichgestellt. Trotz der Tatsache, dass die Beschäftigungsquote von Frauen historisch hoch ist und mehr Frauen Führungspositionen besetzen als je zuvor, sind </w:t>
      </w:r>
      <w:r>
        <w:rPr>
          <w:rFonts w:ascii="Times New Roman" w:hAnsi="Times New Roman"/>
          <w:noProof/>
          <w:sz w:val="24"/>
        </w:rPr>
        <w:t>keine Fortschritte bzw. in manchen Bereichen sogar Rückschritte zu verzeichnen.</w:t>
      </w:r>
      <w:r>
        <w:rPr>
          <w:rStyle w:val="FootnoteReference"/>
          <w:rFonts w:ascii="Times New Roman" w:hAnsi="Times New Roman"/>
          <w:noProof/>
          <w:sz w:val="24"/>
        </w:rPr>
        <w:footnoteReference w:id="27"/>
      </w:r>
      <w:r>
        <w:rPr>
          <w:rFonts w:ascii="Times New Roman" w:hAnsi="Times New Roman"/>
          <w:noProof/>
          <w:sz w:val="24"/>
        </w:rPr>
        <w:t xml:space="preserve"> In zwölf EU-Mitgliedstaaten war in den letzten zehn Jahren ein Rückwärtstrend bei der Geschlechterausgewogenheit zu verzeichnen, was die Zeit, die für Pflege, Hausarbeit und s</w:t>
      </w:r>
      <w:r>
        <w:rPr>
          <w:rFonts w:ascii="Times New Roman" w:hAnsi="Times New Roman"/>
          <w:noProof/>
          <w:sz w:val="24"/>
        </w:rPr>
        <w:t>oziale Tätigkeiten verbracht wurde, angeht. Bei Beschäftigung und Entlohnung bestehen weiterhin Ungleichheiten.</w:t>
      </w:r>
      <w:r>
        <w:rPr>
          <w:rStyle w:val="FootnoteReference"/>
          <w:rFonts w:ascii="Times New Roman" w:hAnsi="Times New Roman"/>
          <w:noProof/>
          <w:sz w:val="24"/>
        </w:rPr>
        <w:footnoteReference w:id="28"/>
      </w:r>
      <w:r>
        <w:rPr>
          <w:rFonts w:ascii="Times New Roman" w:hAnsi="Times New Roman"/>
          <w:noProof/>
          <w:sz w:val="24"/>
        </w:rPr>
        <w:t xml:space="preserve"> </w:t>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bCs/>
          <w:noProof/>
          <w:color w:val="000000"/>
          <w:sz w:val="24"/>
          <w:szCs w:val="24"/>
        </w:rPr>
      </w:pPr>
      <w:r>
        <w:rPr>
          <w:noProof/>
          <w:lang w:val="en-GB" w:eastAsia="en-GB" w:bidi="ar-SA"/>
        </w:rPr>
        <w:drawing>
          <wp:inline distT="0" distB="0" distL="0" distR="0">
            <wp:extent cx="2936432" cy="1402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36687" cy="1402202"/>
                    </a:xfrm>
                    <a:prstGeom prst="rect">
                      <a:avLst/>
                    </a:prstGeom>
                  </pic:spPr>
                </pic:pic>
              </a:graphicData>
            </a:graphic>
          </wp:inline>
        </w:drawing>
      </w:r>
    </w:p>
    <w:p w:rsidR="00152528" w:rsidRDefault="00152528">
      <w:pPr>
        <w:autoSpaceDE w:val="0"/>
        <w:autoSpaceDN w:val="0"/>
        <w:adjustRightInd w:val="0"/>
        <w:spacing w:after="0" w:line="240" w:lineRule="auto"/>
        <w:jc w:val="center"/>
        <w:rPr>
          <w:rFonts w:ascii="Times New Roman" w:hAnsi="Times New Roman" w:cs="Times New Roman"/>
          <w:bCs/>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Die Lebenserwartung in Europa ist weltweit die höchste, was eine große Errungenschaft darstellt. Doch die wachsende Zahl älterer Menschen und das Schrumpfen der Bevölkerung im erwerbsfähigen Alter stellen unser sozioökonomisches Modell vor besondere Heraus</w:t>
      </w:r>
      <w:r>
        <w:rPr>
          <w:rFonts w:ascii="Times New Roman" w:hAnsi="Times New Roman"/>
          <w:noProof/>
          <w:color w:val="000000"/>
          <w:sz w:val="24"/>
        </w:rPr>
        <w:t xml:space="preserve">forderungen. </w:t>
      </w:r>
      <w:r>
        <w:rPr>
          <w:rFonts w:ascii="Times New Roman" w:hAnsi="Times New Roman"/>
          <w:noProof/>
          <w:sz w:val="24"/>
        </w:rPr>
        <w:t>Die Alterung der Bevölkerung in Verbindung mit der langen Lebensdauer und der größeren Wahrscheinlichkeit chronischer Krankheiten kann erhebliche Auswirkungen auf die öffentlichen Finanzen wie auch die Gesundheitssysteme haben.</w:t>
      </w:r>
      <w:r>
        <w:rPr>
          <w:rFonts w:ascii="Times New Roman" w:hAnsi="Times New Roman"/>
          <w:noProof/>
          <w:color w:val="000000"/>
          <w:sz w:val="24"/>
        </w:rPr>
        <w:t xml:space="preserve"> Dadurch erhöht </w:t>
      </w:r>
      <w:r>
        <w:rPr>
          <w:rFonts w:ascii="Times New Roman" w:hAnsi="Times New Roman"/>
          <w:noProof/>
          <w:color w:val="000000"/>
          <w:sz w:val="24"/>
        </w:rPr>
        <w:t xml:space="preserve">sich auch das Risiko der Ungleichheit zwischen den Generationen. </w:t>
      </w:r>
    </w:p>
    <w:p w:rsidR="00152528" w:rsidRDefault="00152528">
      <w:pPr>
        <w:autoSpaceDE w:val="0"/>
        <w:autoSpaceDN w:val="0"/>
        <w:adjustRightInd w:val="0"/>
        <w:spacing w:after="0" w:line="240" w:lineRule="auto"/>
        <w:jc w:val="both"/>
        <w:rPr>
          <w:rFonts w:ascii="Times New Roman" w:hAnsi="Times New Roman" w:cs="Times New Roman"/>
          <w:i/>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bCs/>
          <w:i/>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bCs/>
          <w:i/>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bCs/>
          <w:i/>
          <w:noProof/>
          <w:color w:val="000000"/>
          <w:sz w:val="24"/>
          <w:szCs w:val="24"/>
        </w:rPr>
      </w:pPr>
    </w:p>
    <w:p w:rsidR="00152528" w:rsidRDefault="00124136">
      <w:pPr>
        <w:autoSpaceDE w:val="0"/>
        <w:autoSpaceDN w:val="0"/>
        <w:adjustRightInd w:val="0"/>
        <w:spacing w:after="0" w:line="240" w:lineRule="auto"/>
        <w:jc w:val="center"/>
        <w:rPr>
          <w:rFonts w:ascii="Times New Roman" w:hAnsi="Times New Roman" w:cs="Times New Roman"/>
          <w:bCs/>
          <w:i/>
          <w:noProof/>
          <w:color w:val="000000"/>
          <w:sz w:val="24"/>
          <w:szCs w:val="24"/>
        </w:rPr>
      </w:pPr>
      <w:r>
        <w:rPr>
          <w:noProof/>
          <w:lang w:val="en-GB" w:eastAsia="en-GB" w:bidi="ar-SA"/>
        </w:rPr>
        <w:drawing>
          <wp:inline distT="0" distB="0" distL="0" distR="0">
            <wp:extent cx="3649980" cy="2798318"/>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50297" cy="2798561"/>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bCs/>
          <w:i/>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noProof/>
          <w:sz w:val="24"/>
        </w:rPr>
        <w:t>Ungleichheiten und die Abnahme der sozialen Mobilität bergen ein Risiko für unsere gesamte wirtschaftliche Entwicklung</w:t>
      </w:r>
      <w:r>
        <w:rPr>
          <w:rStyle w:val="FootnoteReference"/>
          <w:rFonts w:ascii="Times New Roman" w:hAnsi="Times New Roman"/>
          <w:noProof/>
          <w:sz w:val="24"/>
        </w:rPr>
        <w:footnoteReference w:id="29"/>
      </w:r>
      <w:r>
        <w:rPr>
          <w:rFonts w:ascii="Times New Roman" w:hAnsi="Times New Roman"/>
          <w:noProof/>
          <w:sz w:val="24"/>
        </w:rPr>
        <w:t xml:space="preserve"> und den sozialen Zusammenhalt. Was die Einkommensunterschiede </w:t>
      </w:r>
      <w:r>
        <w:rPr>
          <w:rFonts w:ascii="Times New Roman" w:hAnsi="Times New Roman"/>
          <w:noProof/>
          <w:sz w:val="24"/>
        </w:rPr>
        <w:t>angeht, ist die Lage in der EU insgesamt vergleichsweise gut, aber weniger gut in Bezug auf die Chancengleichheit. Ungleiche Chancen können die gesellschaftliche und berufliche Integration von Teilen der Bevölkerung behindern und die Wachstumsaussichten be</w:t>
      </w:r>
      <w:r>
        <w:rPr>
          <w:rFonts w:ascii="Times New Roman" w:hAnsi="Times New Roman"/>
          <w:noProof/>
          <w:sz w:val="24"/>
        </w:rPr>
        <w:t>einträchtigen.</w:t>
      </w:r>
      <w:r>
        <w:rPr>
          <w:b/>
          <w:noProof/>
          <w:sz w:val="24"/>
        </w:rPr>
        <w:t xml:space="preserve"> </w:t>
      </w:r>
      <w:r>
        <w:rPr>
          <w:rFonts w:ascii="Times New Roman" w:hAnsi="Times New Roman"/>
          <w:noProof/>
          <w:sz w:val="24"/>
        </w:rPr>
        <w:t>Der Abbau der Ungleichheiten ist wichtig, wenn die Bevölkerung die Nachhaltigkeitswende unterstützen soll. Der zunehmende Hang zu Isolationismus und Nationalismus könnte bedeuten, dass sich zu viele Europäer in einer Welt, die ihnen immer un</w:t>
      </w:r>
      <w:r>
        <w:rPr>
          <w:rFonts w:ascii="Times New Roman" w:hAnsi="Times New Roman"/>
          <w:noProof/>
          <w:sz w:val="24"/>
        </w:rPr>
        <w:t>gerechter vorkommt, nicht ausreichend geschützt fühlen. Fest steht jedoch, dass kein Mitgliedstaat alleine groß oder stark genug ist, um länderübergreifende Herausforderungen zu bewältigen, während wir in der EU mit vereinten Kräften Schutz bieten können.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Auch die Ungleichheiten auf globaler Ebene geben Anlass zu großer Sorge. </w:t>
      </w:r>
      <w:r>
        <w:rPr>
          <w:rFonts w:ascii="Times New Roman" w:hAnsi="Times New Roman"/>
          <w:noProof/>
          <w:color w:val="000000"/>
          <w:sz w:val="24"/>
        </w:rPr>
        <w:t xml:space="preserve">Durch die großen globalen Unterschiede beim Bevölkerungswachstum und den Lebensstandards, die weltweit ansteigenden Temperaturen und den Verlust von Ökosystemen werden Flucht und Migration in der Welt unweigerlich zunehmen. </w:t>
      </w:r>
      <w:r>
        <w:rPr>
          <w:rFonts w:ascii="Times New Roman" w:hAnsi="Times New Roman"/>
          <w:noProof/>
          <w:sz w:val="24"/>
        </w:rPr>
        <w:t xml:space="preserve">So werden </w:t>
      </w:r>
      <w:r>
        <w:rPr>
          <w:rFonts w:ascii="Times New Roman" w:hAnsi="Times New Roman"/>
          <w:noProof/>
          <w:color w:val="000000"/>
          <w:sz w:val="24"/>
        </w:rPr>
        <w:t>Schätzungen zufolge bi</w:t>
      </w:r>
      <w:r>
        <w:rPr>
          <w:rFonts w:ascii="Times New Roman" w:hAnsi="Times New Roman"/>
          <w:noProof/>
          <w:color w:val="000000"/>
          <w:sz w:val="24"/>
        </w:rPr>
        <w:t>s 2050 Hunderte Millionen Menschen infolge des Klimawandels und der Umweltzerstörung aus ihrer Heimat fliehen</w:t>
      </w:r>
      <w:r>
        <w:rPr>
          <w:noProof/>
        </w:rPr>
        <w:t>.</w:t>
      </w:r>
      <w:r>
        <w:rPr>
          <w:rStyle w:val="FootnoteReference"/>
          <w:rFonts w:ascii="Times New Roman" w:hAnsi="Times New Roman"/>
          <w:noProof/>
          <w:color w:val="000000"/>
          <w:sz w:val="24"/>
        </w:rPr>
        <w:footnoteReference w:id="30"/>
      </w:r>
      <w:r>
        <w:rPr>
          <w:rFonts w:ascii="Times New Roman" w:hAnsi="Times New Roman"/>
          <w:noProof/>
          <w:color w:val="000000"/>
          <w:sz w:val="24"/>
        </w:rPr>
        <w:t xml:space="preserve"> Dies verdeutlicht, wie die vielen verschiedenen komplexen Fragen miteinander verknüpft und voneinander abhängig sind und warum sie eine umfassende Antwort erfordern. Es gibt schlichtweg keine Wunderwaffe oder einfache Lösung für diese großen und schwierig</w:t>
      </w:r>
      <w:r>
        <w:rPr>
          <w:rFonts w:ascii="Times New Roman" w:hAnsi="Times New Roman"/>
          <w:noProof/>
          <w:color w:val="000000"/>
          <w:sz w:val="24"/>
        </w:rPr>
        <w:t xml:space="preserve">en Herausforderungen. </w:t>
      </w:r>
    </w:p>
    <w:p w:rsidR="00152528" w:rsidRDefault="00124136">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noProof/>
          <w:color w:val="000000"/>
          <w:sz w:val="24"/>
        </w:rPr>
        <w:t>Es ist eine gewaltige Aufgabe, unser Wirtschaftsmodell zu modernisieren, die sozialen Fragen, vor denen wir stehen, anzugehen und weiterhin eine starke, regelbasierte multilaterale Zusammenarbeit zu fördern. Doch dies sind die notwen</w:t>
      </w:r>
      <w:r>
        <w:rPr>
          <w:rFonts w:ascii="Times New Roman" w:hAnsi="Times New Roman"/>
          <w:noProof/>
          <w:color w:val="000000"/>
          <w:sz w:val="24"/>
        </w:rPr>
        <w:t>digen Ingredienzien, um die soziale Stabilität zu sichern, das Gedeihen unserer Wirtschaft zu ermöglichen und unsere Gesundheit zu verbessern. Unsere freien Gesellschaften benötigen wirtschaftliche Dynamik sowie kontinuierliche Investitionen in Schlüsselte</w:t>
      </w:r>
      <w:r>
        <w:rPr>
          <w:rFonts w:ascii="Times New Roman" w:hAnsi="Times New Roman"/>
          <w:noProof/>
          <w:color w:val="000000"/>
          <w:sz w:val="24"/>
        </w:rPr>
        <w:t>chnologien und Bildung. Für eine bessere Zukunft für alle brauchen wir eine neue Form nachhaltigen Wachstums in der Erkenntnis, dass sich die natürlichen Parameter des 21. Jahrhunderts von denjenigen des vorigen Jahrhunderts stark unterscheiden. Wir stelle</w:t>
      </w:r>
      <w:r>
        <w:rPr>
          <w:rFonts w:ascii="Times New Roman" w:hAnsi="Times New Roman"/>
          <w:noProof/>
          <w:color w:val="000000"/>
          <w:sz w:val="24"/>
        </w:rPr>
        <w:t>n uns dieser Herausforderung.</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bidi="ar-SA"/>
        </w:rPr>
        <w:drawing>
          <wp:inline distT="0" distB="0" distL="0" distR="0">
            <wp:extent cx="2680457" cy="150876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80690" cy="1508891"/>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Die Ziele für nachhaltige Entwicklung sind per definitionem globale Ziele, die für alle Teile der Welt gelten, und als solche müssen wir sie auch angehen. Wir müssen bei unserem Handeln die internationale Dimension im Bli</w:t>
      </w:r>
      <w:r>
        <w:rPr>
          <w:rFonts w:ascii="Times New Roman" w:hAnsi="Times New Roman"/>
          <w:noProof/>
          <w:sz w:val="24"/>
        </w:rPr>
        <w:t>ck haben, indem wir mit gutem Beispiel vorangehen, globale Maßstäbe setzen und die Länder, die Wirtschaft und die Menschen dazu bringen, sich uns anzuschließen. Als weltweit größter Binnenmarkt, Handelspartner, Investor und Geber von Entwicklungshilfe kann</w:t>
      </w:r>
      <w:r>
        <w:rPr>
          <w:rFonts w:ascii="Times New Roman" w:hAnsi="Times New Roman"/>
          <w:noProof/>
          <w:sz w:val="24"/>
        </w:rPr>
        <w:t xml:space="preserve"> die EU den Erfolg der Agenda 2030 der Vereinten Nationen ganz erheblich beeinflussen. Die EU verfolgt in vielen Bereichen bereits die modernste Politik der Welt zur Förderung der Nachhaltigkeit. Wir müssen auf diesem Weg weiter voranschreiten, aber in ras</w:t>
      </w:r>
      <w:r>
        <w:rPr>
          <w:rFonts w:ascii="Times New Roman" w:hAnsi="Times New Roman"/>
          <w:noProof/>
          <w:sz w:val="24"/>
        </w:rPr>
        <w:t>cherem Tempo, um bis 2030 ein nachhaltiges Europa zu verwirklichen. Wir können es uns nicht leisten, die Verantwortung auf die nächste Generationen abzuschieben, und die Zeit wird immer knapper. Welche Entscheidungen wir in den nächsten Jahren treffen oder</w:t>
      </w:r>
      <w:r>
        <w:rPr>
          <w:rFonts w:ascii="Times New Roman" w:hAnsi="Times New Roman"/>
          <w:noProof/>
          <w:sz w:val="24"/>
        </w:rPr>
        <w:t xml:space="preserve"> nicht treffen, wird ausschlaggebend dafür sein, ob es gelingt, diese Trends umzukehren. </w:t>
      </w:r>
    </w:p>
    <w:p w:rsidR="00152528" w:rsidRDefault="00124136">
      <w:pPr>
        <w:pStyle w:val="Heading1"/>
        <w:rPr>
          <w:rFonts w:eastAsia="Times New Roman"/>
          <w:noProof/>
        </w:rPr>
      </w:pPr>
      <w:bookmarkStart w:id="8" w:name="_Toc536442039"/>
      <w:bookmarkStart w:id="9" w:name="_Toc536555108"/>
      <w:r>
        <w:rPr>
          <w:noProof/>
        </w:rPr>
        <w:t>Ein nachhaltiges Europa bis 2030</w:t>
      </w:r>
      <w:bookmarkEnd w:id="8"/>
      <w:bookmarkEnd w:id="9"/>
    </w:p>
    <w:p w:rsidR="00152528" w:rsidRDefault="00152528">
      <w:pPr>
        <w:rPr>
          <w:noProof/>
          <w:sz w:val="4"/>
          <w:szCs w:val="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Nachhaltige Entwicklung soll zu einem höheren Lebensstandard führen. Damit dies geschieht, müssen die Menschen echte Wahlmöglichkeit</w:t>
      </w:r>
      <w:r>
        <w:rPr>
          <w:rFonts w:ascii="Times New Roman" w:hAnsi="Times New Roman"/>
          <w:noProof/>
          <w:sz w:val="24"/>
        </w:rPr>
        <w:t>en erhalten, sind günstige Rahmenbedingungen zu schaffen und es muss Wissen verbreitet und bessere Informationsarbeit geleistet werden. Auf diese Weise dürfte es möglich sein, einen Zustand zu erreichen, bei dem wir uns an den Grundsatz „Gut leben innerhal</w:t>
      </w:r>
      <w:r>
        <w:rPr>
          <w:rFonts w:ascii="Times New Roman" w:hAnsi="Times New Roman"/>
          <w:noProof/>
          <w:sz w:val="24"/>
        </w:rPr>
        <w:t>b der Belastbarkeitsgrenzen unseres Planeten“</w:t>
      </w:r>
      <w:r>
        <w:rPr>
          <w:rStyle w:val="FootnoteReference"/>
          <w:rFonts w:ascii="Times New Roman" w:hAnsi="Times New Roman"/>
          <w:noProof/>
          <w:sz w:val="24"/>
        </w:rPr>
        <w:footnoteReference w:id="31"/>
      </w:r>
      <w:r>
        <w:rPr>
          <w:rFonts w:ascii="Times New Roman" w:hAnsi="Times New Roman"/>
          <w:noProof/>
          <w:sz w:val="24"/>
        </w:rPr>
        <w:t xml:space="preserve"> halten – dank einer intelligenteren Nutzung von Ressourcen und einer modernen Wirtschaft im Dienste unserer Gesundheit und unseres Wohlergehens.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Wir sollten daher den Weg weitergehen, den wir uns vorgenommen </w:t>
      </w:r>
      <w:r>
        <w:rPr>
          <w:rFonts w:ascii="Times New Roman" w:hAnsi="Times New Roman"/>
          <w:noProof/>
          <w:sz w:val="24"/>
        </w:rPr>
        <w:t>haben: Übergang zu einer kohlenstoffarmen, klimaneutralen, ressourceneffizienten und die biologische Vielfalt respektierenden Wirtschaft im Einklang mit der Agenda 2030 der Vereinten Nationen und den 17 SDGs. Diese Wende muss allen zugutekommen, niemand da</w:t>
      </w:r>
      <w:r>
        <w:rPr>
          <w:rFonts w:ascii="Times New Roman" w:hAnsi="Times New Roman"/>
          <w:noProof/>
          <w:sz w:val="24"/>
        </w:rPr>
        <w:t>rf dabei zurückgelassen werden, Gleichheit und Inklusion müssen gewährleistet sein. Unser Wirtschaftswachstum darf nicht mehr so stark wie bisher von nicht erneuerbaren Ressourcen abhängig sein – stattdessen müssen wir nachhaltig bewirtschaftete erneuerbar</w:t>
      </w:r>
      <w:r>
        <w:rPr>
          <w:rFonts w:ascii="Times New Roman" w:hAnsi="Times New Roman"/>
          <w:noProof/>
          <w:sz w:val="24"/>
        </w:rPr>
        <w:t xml:space="preserve">e Ressourcen und Ökosystemleistungen maximal nutzen.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EU hat diese Wende bereits eingeleitet. Zwischen 2000 und 2015 stieg die Zahl der Beschäftigten im Umweltbereich schneller als in der Gesamtwirtschaft</w:t>
      </w:r>
      <w:r>
        <w:rPr>
          <w:rStyle w:val="FootnoteReference"/>
          <w:rFonts w:ascii="Times New Roman" w:hAnsi="Times New Roman"/>
          <w:noProof/>
          <w:sz w:val="24"/>
        </w:rPr>
        <w:footnoteReference w:id="32"/>
      </w:r>
      <w:r>
        <w:rPr>
          <w:noProof/>
        </w:rPr>
        <w:t>.</w:t>
      </w:r>
      <w:r>
        <w:rPr>
          <w:rFonts w:ascii="Times New Roman" w:hAnsi="Times New Roman"/>
          <w:noProof/>
          <w:sz w:val="24"/>
        </w:rPr>
        <w:t xml:space="preserve"> Kohlenstoffarme Technologien entwickeln sich </w:t>
      </w:r>
      <w:r>
        <w:rPr>
          <w:rFonts w:ascii="Times New Roman" w:hAnsi="Times New Roman"/>
          <w:noProof/>
          <w:sz w:val="24"/>
        </w:rPr>
        <w:t xml:space="preserve">zu einem wichtigen Handelsgut, was sich in den Handelsbilanzen deutlich zugunsten der EU niederschlägt. Im Zeitraum 2012-2015 beliefen sich die EU-Ausfuhren im Bereich Technologien für saubere Energie auf 71 Mrd. EUR und überstiegen damit die Einfuhren um </w:t>
      </w:r>
      <w:r>
        <w:rPr>
          <w:rFonts w:ascii="Times New Roman" w:hAnsi="Times New Roman"/>
          <w:noProof/>
          <w:sz w:val="24"/>
        </w:rPr>
        <w:t>11 Mrd. EUR. Die EU stellt bereits unter Beweis, dass Wirtschaftswachstum und Senkung der CO</w:t>
      </w:r>
      <w:r>
        <w:rPr>
          <w:rFonts w:ascii="Times New Roman" w:hAnsi="Times New Roman"/>
          <w:noProof/>
          <w:sz w:val="24"/>
          <w:vertAlign w:val="subscript"/>
        </w:rPr>
        <w:t>2</w:t>
      </w:r>
      <w:r>
        <w:rPr>
          <w:rFonts w:ascii="Times New Roman" w:hAnsi="Times New Roman"/>
          <w:noProof/>
          <w:sz w:val="24"/>
        </w:rPr>
        <w:t xml:space="preserve">-Emissionen miteinander vereinbar sind. </w:t>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086100" cy="235903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87935" cy="2360435"/>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208020" cy="2593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13916" cy="2598537"/>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EU kann die Maßstäbe für den Rest der Welt setzen, wenn sie bei der Umsetzung der SDGs und dem Übergang zu ei</w:t>
      </w:r>
      <w:r>
        <w:rPr>
          <w:rFonts w:ascii="Times New Roman" w:hAnsi="Times New Roman"/>
          <w:noProof/>
          <w:sz w:val="24"/>
        </w:rPr>
        <w:t xml:space="preserve">ner nachhaltigen Wirtschaft u. a. durch intelligente Investitionen in Innovationen und Schlüsseltechnologien die Führung übernimmt. Die EU käme dann als Erste in den Genuss der Vorteile des Wandels und  hätte zudem den größten Wettbewerbsvorsprung auf dem </w:t>
      </w:r>
      <w:r>
        <w:rPr>
          <w:rFonts w:ascii="Times New Roman" w:hAnsi="Times New Roman"/>
          <w:noProof/>
          <w:sz w:val="24"/>
        </w:rPr>
        <w:t>globalen Markt von morgen. Dies wird einen Beitrag zur Stärkung der Mitgliedstaaten in einer stärkeren Union leisten und die Menschen in ihrem Streben nach Freiheit und Wohlergehen unterstützen, sodass die europäische Vision verwirklicht wird.</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color w:val="000000"/>
          <w:sz w:val="24"/>
          <w:szCs w:val="24"/>
        </w:rPr>
      </w:pPr>
      <w:r>
        <w:rPr>
          <w:rFonts w:ascii="Times New Roman" w:hAnsi="Times New Roman"/>
          <w:noProof/>
          <w:sz w:val="24"/>
        </w:rPr>
        <w:t xml:space="preserve">„Grünes </w:t>
      </w:r>
      <w:r>
        <w:rPr>
          <w:rFonts w:ascii="Times New Roman" w:hAnsi="Times New Roman"/>
          <w:noProof/>
          <w:sz w:val="24"/>
        </w:rPr>
        <w:t>Wachstum“ würde „allen Booten Schubkraft geben“</w:t>
      </w:r>
      <w:r>
        <w:rPr>
          <w:rStyle w:val="FootnoteReference"/>
          <w:rFonts w:ascii="Times New Roman" w:hAnsi="Times New Roman"/>
          <w:noProof/>
          <w:sz w:val="24"/>
        </w:rPr>
        <w:footnoteReference w:id="33"/>
      </w:r>
      <w:r>
        <w:rPr>
          <w:rFonts w:ascii="Times New Roman" w:hAnsi="Times New Roman"/>
          <w:noProof/>
          <w:sz w:val="24"/>
        </w:rPr>
        <w:t xml:space="preserve"> und sowohl den Herstellern als auch den Verbrauchern zugutekommen. </w:t>
      </w:r>
      <w:r>
        <w:rPr>
          <w:noProof/>
        </w:rPr>
        <w:t>Schätzungen zufolge könnte die Verwirklichung der SDGs in den Bereichen Ernährung, Landwirtschaft, Energie, Werkstoffe, Städte, Gesundheit u</w:t>
      </w:r>
      <w:r>
        <w:rPr>
          <w:noProof/>
        </w:rPr>
        <w:t>nd Wohlergehen Marktchancen im Wert von mehr als 10 Billionen EUR eröffnen</w:t>
      </w:r>
      <w:r>
        <w:rPr>
          <w:rStyle w:val="FootnoteReference"/>
          <w:rFonts w:ascii="Times New Roman" w:hAnsi="Times New Roman"/>
          <w:noProof/>
          <w:sz w:val="24"/>
        </w:rPr>
        <w:footnoteReference w:id="34"/>
      </w:r>
      <w:r>
        <w:rPr>
          <w:noProof/>
        </w:rPr>
        <w:t>.</w:t>
      </w:r>
      <w:r>
        <w:rPr>
          <w:rFonts w:ascii="Times New Roman" w:hAnsi="Times New Roman"/>
          <w:noProof/>
          <w:sz w:val="24"/>
        </w:rPr>
        <w:t xml:space="preserve"> Die EU hat sich eine ressourceneffiziente und klimaneutrale Wirtschaft zum Ziel gesetzt und wird beweisen, dass eine grüne Wende mit größerem Wohlstand einhergehen kann. Wenn dies</w:t>
      </w:r>
      <w:r>
        <w:rPr>
          <w:rFonts w:ascii="Times New Roman" w:hAnsi="Times New Roman"/>
          <w:noProof/>
          <w:sz w:val="24"/>
        </w:rPr>
        <w:t xml:space="preserve"> gelingen soll, müssen die EU und ihre Mitgliedstaaten in Wissenschaft, Technologie und bei modernen Infrastrukturen eine Vorreiterrolle übernehmen. Wir müssen auch die Entstehung neuer Geschäftsmodelle fördern, Hindernisse für den Binnenmarkt abbauen und </w:t>
      </w:r>
      <w:r>
        <w:rPr>
          <w:rFonts w:ascii="Times New Roman" w:hAnsi="Times New Roman"/>
          <w:noProof/>
          <w:sz w:val="24"/>
        </w:rPr>
        <w:t>die Vorteile neuer Technologien wie etwa künstlicher Intelligenz nutzen. Wichtige horizontale Faktoren wie Forschung und Innovation, Finanzen, Preisgestaltung und Besteuerung, verantwortungsvolles unternehmerisches Handeln sowie neue Geschäftsmodelle und B</w:t>
      </w:r>
      <w:r>
        <w:rPr>
          <w:rFonts w:ascii="Times New Roman" w:hAnsi="Times New Roman"/>
          <w:noProof/>
          <w:sz w:val="24"/>
        </w:rPr>
        <w:t>ildung werden die erforderlichen Rahmenbedingungen für die Nachhaltigkeitswende schaffen, sofern sie auf einen innovativen, umweltgerechten, inklusiven und sozial gerechten wirtschaftlichen Wandel ausgerichtet sind.</w:t>
      </w:r>
      <w:r>
        <w:rPr>
          <w:rFonts w:ascii="Times New Roman" w:hAnsi="Times New Roman"/>
          <w:noProof/>
          <w:color w:val="000000"/>
          <w:sz w:val="24"/>
        </w:rPr>
        <w:t xml:space="preserve"> </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Um dies zu erreichen, müssen wir weiter</w:t>
      </w:r>
      <w:r>
        <w:rPr>
          <w:rFonts w:ascii="Times New Roman" w:hAnsi="Times New Roman"/>
          <w:noProof/>
          <w:sz w:val="24"/>
        </w:rPr>
        <w:t xml:space="preserve">hin in die Menschen und in die verschiedenen Strukturen investieren, die die Grundlage unserer Gesellschaft bilden. </w:t>
      </w:r>
      <w:r>
        <w:rPr>
          <w:rFonts w:ascii="Times New Roman" w:hAnsi="Times New Roman"/>
          <w:noProof/>
          <w:color w:val="000000"/>
          <w:sz w:val="24"/>
        </w:rPr>
        <w:t>Isolierte, unsystematische Ansätze haben sich als unwirksam erwiesen. Nötig sind umfassende, integrierte Strategien. Zum Beispiel lassen sic</w:t>
      </w:r>
      <w:r>
        <w:rPr>
          <w:rFonts w:ascii="Times New Roman" w:hAnsi="Times New Roman"/>
          <w:noProof/>
          <w:color w:val="000000"/>
          <w:sz w:val="24"/>
        </w:rPr>
        <w:t>h Umweltprobleme nicht einfach durch ausschließlich umweltpolitische Maßnahmen lösen, wenn in der Wirtschaftspolitik weiterhin die Nutzung fossiler Brennstoffe, Ressourcenineffizienz oder nicht nachhaltige Produktions- und Konsummuster propagiert werden. E</w:t>
      </w:r>
      <w:r>
        <w:rPr>
          <w:rFonts w:ascii="Times New Roman" w:hAnsi="Times New Roman"/>
          <w:noProof/>
          <w:color w:val="000000"/>
          <w:sz w:val="24"/>
        </w:rPr>
        <w:t>benso reichen sozialpolitische Maßnahmen nicht aus, um die vierte industrielle Revolution zu begleiten und die vom Übergang zu einer klimafreundlichen Wirtschaft betroffenen Erwerbstätigen zu unterstützen; für die notwendige Resilienz unserer Gesellschafte</w:t>
      </w:r>
      <w:r>
        <w:rPr>
          <w:rFonts w:ascii="Times New Roman" w:hAnsi="Times New Roman"/>
          <w:noProof/>
          <w:color w:val="000000"/>
          <w:sz w:val="24"/>
        </w:rPr>
        <w:t>n werden eine solide Bildungs- und Ausbildungspolitik sowie Forschung und Entwicklung ebenfalls entscheidend sein.</w:t>
      </w:r>
      <w:r>
        <w:rPr>
          <w:rFonts w:ascii="Times New Roman" w:hAnsi="Times New Roman"/>
          <w:noProof/>
          <w:sz w:val="24"/>
        </w:rPr>
        <w:t xml:space="preserve">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 xml:space="preserve">Es muss gehandelt werden, und zwar auf allen Ebenen: </w:t>
      </w:r>
      <w:r>
        <w:rPr>
          <w:rFonts w:ascii="Times New Roman" w:hAnsi="Times New Roman"/>
          <w:noProof/>
          <w:sz w:val="24"/>
        </w:rPr>
        <w:t>Die EU-Institutionen, die Mitgliedstaaten und die Regionen müssen einbezogen werden, Städte, Gemeinden und ländliche Gebiete sollten zu Triebkräften des Wandels werden und  Bürger, Unternehmen und Sozialpartner sowie die Forschungs- und Wissensgemeinschaft</w:t>
      </w:r>
      <w:r>
        <w:rPr>
          <w:rFonts w:ascii="Times New Roman" w:hAnsi="Times New Roman"/>
          <w:noProof/>
          <w:sz w:val="24"/>
        </w:rPr>
        <w:t xml:space="preserve"> müssen gemeinsam agieren. Zudem müssen die EU und ihre Mitgliedstaaten mit internationalen Partnern zusammenarbeiten. Wenn wir Erfolg haben wollen, müssen wir auf allen Ebenen am gleichen Strang ziehen. </w:t>
      </w:r>
      <w:bookmarkStart w:id="10" w:name="_Toc529710464"/>
      <w:bookmarkStart w:id="11" w:name="_Toc529711035"/>
      <w:bookmarkStart w:id="12" w:name="_Toc529741350"/>
      <w:bookmarkStart w:id="13" w:name="_Toc529879840"/>
    </w:p>
    <w:p w:rsidR="00152528" w:rsidRDefault="00124136">
      <w:pPr>
        <w:pStyle w:val="Heading2"/>
        <w:rPr>
          <w:noProof/>
        </w:rPr>
      </w:pPr>
      <w:bookmarkStart w:id="14" w:name="_Toc536442040"/>
      <w:bookmarkStart w:id="15" w:name="_Toc536555109"/>
      <w:r>
        <w:rPr>
          <w:noProof/>
        </w:rPr>
        <w:t>Politische Grundlagen einer nachhaltigen Zukunft</w:t>
      </w:r>
      <w:bookmarkEnd w:id="14"/>
      <w:bookmarkEnd w:id="15"/>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Da</w:t>
      </w:r>
      <w:r>
        <w:rPr>
          <w:rFonts w:ascii="Times New Roman" w:hAnsi="Times New Roman"/>
          <w:noProof/>
          <w:sz w:val="24"/>
        </w:rPr>
        <w:t>her ist es außerordentlich wichtig, dass alle Akteure in der EU der Nachhaltigkeitswende Priorität einräumen. Sie müssen dazu die bereichsübergreifenden politischen Agenden weiterentwickeln, die in den letzten Jahren auf EU-Ebene angenommen wurden. Wesentl</w:t>
      </w:r>
      <w:r>
        <w:rPr>
          <w:rFonts w:ascii="Times New Roman" w:hAnsi="Times New Roman"/>
          <w:noProof/>
          <w:sz w:val="24"/>
        </w:rPr>
        <w:t>iche Teile der EU-Politik sind bereits auf die Verwirklichung der SDGs ausgerichtet, müssen aber von den Mitgliedstaaten noch auf integrierte Weise in die Praxis umgesetzt werden. Schätzungen zufolge entstehen beispielsweise durch die Nichtanwendung besteh</w:t>
      </w:r>
      <w:r>
        <w:rPr>
          <w:rFonts w:ascii="Times New Roman" w:hAnsi="Times New Roman"/>
          <w:noProof/>
          <w:sz w:val="24"/>
        </w:rPr>
        <w:t xml:space="preserve">ender EU-Umweltvorschriften jährlich Gesundheitskosten und direkte Umweltkosten in Höhe von 50 Mrd. EUR. </w:t>
      </w:r>
      <w:r>
        <w:rPr>
          <w:noProof/>
        </w:rPr>
        <w:t>Die vollständige Einhaltung der EU-Umweltvorschriften würde nicht nur enorme Vorteile für unsere Umwelt und Gesundheit mit sich bringen, sondern auch A</w:t>
      </w:r>
      <w:r>
        <w:rPr>
          <w:noProof/>
        </w:rPr>
        <w:t>rbeitsplätze schaffen.</w:t>
      </w:r>
      <w:r>
        <w:rPr>
          <w:rStyle w:val="FootnoteReference"/>
          <w:rFonts w:ascii="Times New Roman" w:hAnsi="Times New Roman"/>
          <w:noProof/>
          <w:sz w:val="24"/>
        </w:rPr>
        <w:footnoteReference w:id="35"/>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Allerdings genügt es nicht, einfach das Tempo zu erhöhen und verstärkt auf nachhaltige Lösungen zurückzugreifen, sondern es geht auch darum, Brücken zu bauen und auf allen Ebenen für größere Kohärenz zwischen den verschiedenen Age</w:t>
      </w:r>
      <w:r>
        <w:rPr>
          <w:rFonts w:ascii="Times New Roman" w:hAnsi="Times New Roman"/>
          <w:noProof/>
          <w:sz w:val="24"/>
        </w:rPr>
        <w:t>nden zu sorgen. Politikkohärenz ist eine entscheidende Voraussetzung dafür, dass wir die SDGs verwirklichen und in der EU ein langfristig grünes und inklusives Wachstum gewährleisten können.</w:t>
      </w:r>
    </w:p>
    <w:p w:rsidR="00152528" w:rsidRDefault="00124136">
      <w:pPr>
        <w:spacing w:line="240" w:lineRule="auto"/>
        <w:jc w:val="both"/>
        <w:rPr>
          <w:rFonts w:ascii="Times New Roman" w:hAnsi="Times New Roman" w:cs="Times New Roman"/>
          <w:b/>
          <w:noProof/>
          <w:color w:val="4F81BD" w:themeColor="accent1"/>
          <w:sz w:val="24"/>
          <w:szCs w:val="24"/>
        </w:rPr>
      </w:pPr>
      <w:r>
        <w:rPr>
          <w:rFonts w:ascii="Times New Roman" w:hAnsi="Times New Roman"/>
          <w:noProof/>
          <w:sz w:val="24"/>
        </w:rPr>
        <w:t>Aus der soliden Faktenbasis für die wichtigsten Herausforderungen</w:t>
      </w:r>
      <w:r>
        <w:rPr>
          <w:rFonts w:ascii="Times New Roman" w:hAnsi="Times New Roman"/>
          <w:noProof/>
          <w:sz w:val="24"/>
        </w:rPr>
        <w:t xml:space="preserve"> und Chancen im Bereich der Nachhaltigkeit ergibt sich, dass die EU den Fokus auf Produktion und Konsum in den Bereichen Werkstoffe und Produkte, Lebensmittel, Energie, Mobilität und baulich gestaltete Umwelt legen</w:t>
      </w:r>
      <w:r>
        <w:rPr>
          <w:rStyle w:val="FootnoteReference"/>
          <w:rFonts w:ascii="Times New Roman" w:hAnsi="Times New Roman"/>
          <w:noProof/>
          <w:sz w:val="24"/>
        </w:rPr>
        <w:footnoteReference w:id="36"/>
      </w:r>
      <w:r>
        <w:rPr>
          <w:rFonts w:ascii="Times New Roman" w:hAnsi="Times New Roman"/>
          <w:noProof/>
          <w:sz w:val="24"/>
        </w:rPr>
        <w:t xml:space="preserve"> und dabei auch die sozialen Auswirkungen</w:t>
      </w:r>
      <w:r>
        <w:rPr>
          <w:rFonts w:ascii="Times New Roman" w:hAnsi="Times New Roman"/>
          <w:noProof/>
          <w:sz w:val="24"/>
        </w:rPr>
        <w:t xml:space="preserve"> der Veränderungen in diesen Bereichen berücksichtigen sollte. In diesen Bereichen ist die Nachhaltigkeitswende am dringendsten nötig und potenziell mit dem größten Nutzen für die Wirtschaft, die Gesellschaft und die natürliche Umwelt in der EU verbunden; </w:t>
      </w:r>
      <w:r>
        <w:rPr>
          <w:rFonts w:ascii="Times New Roman" w:hAnsi="Times New Roman"/>
          <w:noProof/>
          <w:sz w:val="24"/>
        </w:rPr>
        <w:t>hier hat sie zudem starke globale Ausstrahlungseffekte. Diese Bereiche existieren nicht isoliert voneinander, sondern sie sind eng miteinander verflochten und verstärken sich wechselseitig</w:t>
      </w:r>
      <w:bookmarkEnd w:id="10"/>
      <w:bookmarkEnd w:id="11"/>
      <w:bookmarkEnd w:id="12"/>
      <w:r>
        <w:rPr>
          <w:rFonts w:ascii="Times New Roman" w:hAnsi="Times New Roman"/>
          <w:noProof/>
          <w:sz w:val="24"/>
        </w:rPr>
        <w:t>.</w:t>
      </w:r>
      <w:bookmarkEnd w:id="13"/>
      <w:r>
        <w:rPr>
          <w:rFonts w:ascii="Times New Roman" w:hAnsi="Times New Roman"/>
          <w:noProof/>
          <w:sz w:val="24"/>
        </w:rPr>
        <w:t xml:space="preserve"> </w:t>
      </w:r>
    </w:p>
    <w:p w:rsidR="00152528" w:rsidRDefault="00124136">
      <w:pPr>
        <w:pStyle w:val="Heading3"/>
        <w:rPr>
          <w:noProof/>
        </w:rPr>
      </w:pPr>
      <w:bookmarkStart w:id="16" w:name="_Toc536442041"/>
      <w:bookmarkStart w:id="17" w:name="_Toc536555110"/>
      <w:r>
        <w:rPr>
          <w:noProof/>
        </w:rPr>
        <w:t>Von der linearen zur Kreislaufwirtschaft</w:t>
      </w:r>
      <w:bookmarkEnd w:id="16"/>
      <w:bookmarkEnd w:id="17"/>
      <w:r>
        <w:rPr>
          <w:noProof/>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Dass verschiedene Werks</w:t>
      </w:r>
      <w:r>
        <w:rPr>
          <w:rFonts w:ascii="Times New Roman" w:hAnsi="Times New Roman" w:cs="Times New Roman"/>
          <w:noProof/>
          <w:sz w:val="24"/>
          <w:szCs w:val="24"/>
        </w:rPr>
        <w:t>toffe und Produkte leichter verfügbar und erschwinglicher geworden sind, hat unser Leben vereinfacht und zum Anstieg des Lebensstandards und der Lebensqualität in der EU beigetragen. Folgen unsere Konsumkultur sind jedoch ein übermäßiger Abbau von Ressourc</w:t>
      </w:r>
      <w:r>
        <w:rPr>
          <w:rFonts w:ascii="Times New Roman" w:hAnsi="Times New Roman" w:cs="Times New Roman"/>
          <w:noProof/>
          <w:sz w:val="24"/>
          <w:szCs w:val="24"/>
        </w:rPr>
        <w:t>en und ein zunehmenden Druck auf Naturkapital und Klima.</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Wir müssen sicherstellen, dass unsere Wirtschaft in nachhaltiger Weise weiter wachsen und der Lebensstandard den Vorstellungen der Menschen entsprechend erhöht werden kann. Hierfür müssen neue Werk</w:t>
      </w:r>
      <w:r>
        <w:rPr>
          <w:rFonts w:ascii="Times New Roman" w:hAnsi="Times New Roman"/>
          <w:noProof/>
          <w:sz w:val="24"/>
        </w:rPr>
        <w:t>stoffe und Produkte konzipiert werden, durch die Wiederverwendung, Reparatur und Recycling mehr und mehr zur gängigen Praxis werden. Dies wird nicht nur das Abfallaufkommen verringern, sondern wir werden auch weniger auf Ressourcen zurückgreifen müssen, di</w:t>
      </w:r>
      <w:r>
        <w:rPr>
          <w:rFonts w:ascii="Times New Roman" w:hAnsi="Times New Roman"/>
          <w:noProof/>
          <w:sz w:val="24"/>
        </w:rPr>
        <w:t>e unter hohen finanziellen und ökologischen Kosten erst noch gewonnen werden müssen. Wenn ein Produkt – sei es eine Jeans, ein Smartphone, eine Lebensmittelverpackung oder ein Möbelstück – das Ende seiner Lebensdauer erreicht hat, bleibt in einer echten Kr</w:t>
      </w:r>
      <w:r>
        <w:rPr>
          <w:rFonts w:ascii="Times New Roman" w:hAnsi="Times New Roman"/>
          <w:noProof/>
          <w:sz w:val="24"/>
        </w:rPr>
        <w:t>eislaufwirtschat der größte Teil des materiellen Produktwerts erhalten, denn was früher als Abfall galt, kann nun wiederverwendet werden, um neue Produkte herzustellen.</w:t>
      </w:r>
    </w:p>
    <w:p w:rsidR="00152528" w:rsidRDefault="00124136">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278380" cy="2621027"/>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2779" cy="2626087"/>
                    </a:xfrm>
                    <a:prstGeom prst="rect">
                      <a:avLst/>
                    </a:prstGeom>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Der </w:t>
      </w:r>
      <w:r>
        <w:rPr>
          <w:rFonts w:ascii="Times New Roman" w:hAnsi="Times New Roman" w:cs="Times New Roman"/>
          <w:b/>
          <w:noProof/>
          <w:sz w:val="24"/>
          <w:szCs w:val="24"/>
        </w:rPr>
        <w:t>Übergang zur Kreislaufwirtschaft</w:t>
      </w:r>
      <w:r>
        <w:rPr>
          <w:rFonts w:ascii="Times New Roman" w:hAnsi="Times New Roman" w:cs="Times New Roman"/>
          <w:noProof/>
          <w:sz w:val="24"/>
          <w:szCs w:val="24"/>
        </w:rPr>
        <w:t xml:space="preserve">, einschließlich zu einer kreislauforientierten </w:t>
      </w:r>
      <w:r>
        <w:rPr>
          <w:rFonts w:ascii="Times New Roman" w:hAnsi="Times New Roman" w:cs="Times New Roman"/>
          <w:noProof/>
          <w:sz w:val="24"/>
          <w:szCs w:val="24"/>
        </w:rPr>
        <w:t>Bioökonomie, bietet enorme Chancen, auf nachhaltiger Basis Wettbewerbsvorteile zu erzielen.</w:t>
      </w:r>
      <w:r>
        <w:rPr>
          <w:rFonts w:ascii="Times New Roman" w:hAnsi="Times New Roman" w:cs="Times New Roman"/>
          <w:b/>
          <w:noProof/>
          <w:sz w:val="24"/>
          <w:szCs w:val="24"/>
        </w:rPr>
        <w:t xml:space="preserve"> </w:t>
      </w:r>
      <w:r>
        <w:rPr>
          <w:rFonts w:ascii="Times New Roman" w:hAnsi="Times New Roman" w:cs="Times New Roman"/>
          <w:noProof/>
          <w:sz w:val="24"/>
          <w:szCs w:val="24"/>
        </w:rPr>
        <w:t>Die Anwendung der Grundsätze der Kreislaufwirtschaft in allen Sektoren und Branchen wird unter Umwelt- und sozialen Gesichtspunkten positiv für Europa sein, das Pot</w:t>
      </w:r>
      <w:r>
        <w:rPr>
          <w:rFonts w:ascii="Times New Roman" w:hAnsi="Times New Roman" w:cs="Times New Roman"/>
          <w:noProof/>
          <w:sz w:val="24"/>
          <w:szCs w:val="24"/>
        </w:rPr>
        <w:t>enzial haben, bis 2030 einen wirtschaftlichen Nettonutzen von 1,8 Billionen EUR zu generieren</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und im gleichen Zeitraum EU-weit über eine Million neuer Arbeitsplätze zu schaffen</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xml:space="preserve">. Die Kreislaufwirtschaft wird zudem ein wichtiger Faktor für die Senkung der </w:t>
      </w:r>
      <w:r>
        <w:rPr>
          <w:rFonts w:ascii="Times New Roman" w:hAnsi="Times New Roman" w:cs="Times New Roman"/>
          <w:noProof/>
          <w:sz w:val="24"/>
          <w:szCs w:val="24"/>
        </w:rPr>
        <w:t>Treibhausgasemissionen sein.</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Da die Produktherstellung in der EU stark von Ressourcen aus anderen Teilen der Welt</w:t>
      </w:r>
      <w:r>
        <w:rPr>
          <w:rFonts w:ascii="Times New Roman" w:hAnsi="Times New Roman"/>
          <w:noProof/>
          <w:sz w:val="24"/>
        </w:rPr>
        <w:t xml:space="preserve"> abhängig ist, würde der Übergang zu einer Kreislaufwirtschaft auch den von der EU ausgehenden globalen ökologischen, sozialen und wirtschaftl</w:t>
      </w:r>
      <w:r>
        <w:rPr>
          <w:rFonts w:ascii="Times New Roman" w:hAnsi="Times New Roman"/>
          <w:noProof/>
          <w:sz w:val="24"/>
        </w:rPr>
        <w:t xml:space="preserve">ichen Druck verringern und die strategische Autonomie der EU fördern. </w:t>
      </w:r>
    </w:p>
    <w:p w:rsidR="00152528" w:rsidRDefault="00124136">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2758440" cy="219163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9109" cy="2192169"/>
                    </a:xfrm>
                    <a:prstGeom prst="rect">
                      <a:avLst/>
                    </a:prstGeom>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EU ist wirtschaftlich bestens aufgestellt, um vom Übergang zur Kreislaufwirtschaft zu profitieren, indem sie kreislauforientierte Produkte zu einem ihrer Hauptmarkenzeichen macht </w:t>
      </w:r>
      <w:r>
        <w:rPr>
          <w:rFonts w:ascii="Times New Roman" w:hAnsi="Times New Roman"/>
          <w:noProof/>
          <w:sz w:val="24"/>
        </w:rPr>
        <w:t>und daraus Wettbewerbsvorteile zieht. Allerdings müssen wir unsere Anstrengungen verstärken, um diesen Vorsprung zu wahren. Der von der Juncker-Kommission 2015 angenommene Aktionsplan für die Kreislaufwirtschaft enthält Maßnahmen, die die EU-Wirtschaft auf</w:t>
      </w:r>
      <w:r>
        <w:rPr>
          <w:rFonts w:ascii="Times New Roman" w:hAnsi="Times New Roman"/>
          <w:noProof/>
          <w:sz w:val="24"/>
        </w:rPr>
        <w:t xml:space="preserve"> die Kreislaufwirtschaft ausrichten und der EU helfen sollen, bei diesem Übergangsprozess weltweit Nummer eins zu werden. Der Aktionsplan umfasst Maßnahmen zur Änderung von Konsum- und Produktionsmustern, wobei der Schwerpunkt auf der Produktgestaltung (Ha</w:t>
      </w:r>
      <w:r>
        <w:rPr>
          <w:rFonts w:ascii="Times New Roman" w:hAnsi="Times New Roman"/>
          <w:noProof/>
          <w:sz w:val="24"/>
        </w:rPr>
        <w:t xml:space="preserve">ltbarkeit, Reparierbarkeit, Wiederverwendung und Recyclingfähigkeit), der Abfallwirtschaft, (Abfallvermeidung, Recycling von Werkstoffen, Energierückgewinnung und Vermeidung der Deponierung) und der verstärkten Sensibilisierung der Verbraucher liegt. Fast </w:t>
      </w:r>
      <w:r>
        <w:rPr>
          <w:rFonts w:ascii="Times New Roman" w:hAnsi="Times New Roman"/>
          <w:noProof/>
          <w:sz w:val="24"/>
        </w:rPr>
        <w:t xml:space="preserve">alle Elemente des Aktionsplans wurden bereits umgesetzt, doch sind weitere Schritte nötig, um eine vollständig kreislauforientierte europäische Wirtschaft aufzubauen. </w:t>
      </w:r>
    </w:p>
    <w:p w:rsidR="00152528" w:rsidRDefault="00124136">
      <w:pPr>
        <w:spacing w:line="240" w:lineRule="auto"/>
        <w:jc w:val="both"/>
        <w:rPr>
          <w:rFonts w:ascii="Times New Roman" w:hAnsi="Times New Roman" w:cs="Times New Roman"/>
          <w:strike/>
          <w:noProof/>
          <w:sz w:val="24"/>
          <w:szCs w:val="24"/>
        </w:rPr>
      </w:pPr>
      <w:r>
        <w:rPr>
          <w:rFonts w:ascii="Times New Roman" w:hAnsi="Times New Roman"/>
          <w:noProof/>
          <w:sz w:val="24"/>
        </w:rPr>
        <w:t>Die 2018 vorgelegte überarbeitete Bioökonomie-Strategie der EU ergänzt den Aktionsplan f</w:t>
      </w:r>
      <w:r>
        <w:rPr>
          <w:rFonts w:ascii="Times New Roman" w:hAnsi="Times New Roman"/>
          <w:noProof/>
          <w:sz w:val="24"/>
        </w:rPr>
        <w:t>ür die Kreislaufwirtschaft, da sie auf eine verbesserte und umfassendere nachhaltige Nutzung erneuerbarer Ressourcen und die Umwandlung von nachwachsenden Rohstoffen und industriellen Nebenprodukten in biobasierte Produkte wie Brennstoffe, Chemikalien, Ver</w:t>
      </w:r>
      <w:r>
        <w:rPr>
          <w:rFonts w:ascii="Times New Roman" w:hAnsi="Times New Roman"/>
          <w:noProof/>
          <w:sz w:val="24"/>
        </w:rPr>
        <w:t xml:space="preserve">bundstoffe, Möbel und Düngemittel abzielt.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Jetzt kommt es darauf an, diese politischen Maßnahmen in die Praxis umzusetzen und neuen Maßnahmen auf allen Entscheidungsebenen in der EU weiterhin Priorität einzuräumen. So muss beispielsweise die ehrgeizige Mo</w:t>
      </w:r>
      <w:r>
        <w:rPr>
          <w:rFonts w:ascii="Times New Roman" w:hAnsi="Times New Roman"/>
          <w:noProof/>
          <w:sz w:val="24"/>
        </w:rPr>
        <w:t>dernisierung der EU-Abfallvorschriften von den Mitgliedstaaten in die Praxis umgesetzt werden. Lebenszyklusanalysen von Produkten sollten zur Norm werden, und der Ökodesign-Rahmen, der zur Steigerung der Effizienz von Produkten führen soll, um den Energie-</w:t>
      </w:r>
      <w:r>
        <w:rPr>
          <w:rFonts w:ascii="Times New Roman" w:hAnsi="Times New Roman"/>
          <w:noProof/>
          <w:sz w:val="24"/>
        </w:rPr>
        <w:t xml:space="preserve"> und Ressourcenverbrauch zu verringern, sollte so weit wie möglich ausgedehnt werden. Die Arbeiten in den Bereichen Chemikalien, nichttoxische Umwelt, Öko-Kennzeichnung und Ökoinnovation, kritische Rohstoffe und Düngemittel müssen beschleunigt werden. Die </w:t>
      </w:r>
      <w:r>
        <w:rPr>
          <w:rFonts w:ascii="Times New Roman" w:hAnsi="Times New Roman"/>
          <w:noProof/>
          <w:sz w:val="24"/>
        </w:rPr>
        <w:t>Förderung des Marktes für Sekundärrohstoffe muss weiterhin hohe Priorität haben. Die Arbeiten hinsichtlich einer kreislauforientierten Kunststoffwirtschaft müssen als wichtiger Schwerpunkt erfolgreich weitergeführt werden, aber auch ressourcen- bzw. schads</w:t>
      </w:r>
      <w:r>
        <w:rPr>
          <w:rFonts w:ascii="Times New Roman" w:hAnsi="Times New Roman"/>
          <w:noProof/>
          <w:sz w:val="24"/>
        </w:rPr>
        <w:t>toffintensiven Branchen wie der Lebensmittel-, Textil- und Elektronikbranche müssen Unterstützung und Anreize geboten werden, damit sie den Übergang zur Kreislaufwirtschaft vollziehen. Die biobasierten Sektoren müssen ausgebaut und gestärkt werden; gleichz</w:t>
      </w:r>
      <w:r>
        <w:rPr>
          <w:rFonts w:ascii="Times New Roman" w:hAnsi="Times New Roman"/>
          <w:noProof/>
          <w:sz w:val="24"/>
        </w:rPr>
        <w:t>eitig gilt es, unsere Ökosysteme zu schützen und den Raubbau an den natürlichen Ressourcen zu verhindern.  Wir sollten die Kreislaufwirtschaft zukunftsgewandt zum Rückgrat der Industriestrategie der EU machen und in diesem Rahmen neue Bereiche und Sektoren</w:t>
      </w:r>
      <w:r>
        <w:rPr>
          <w:rFonts w:ascii="Times New Roman" w:hAnsi="Times New Roman"/>
          <w:noProof/>
          <w:sz w:val="24"/>
        </w:rPr>
        <w:t xml:space="preserve"> in die Kreislaufwirtschaft einbeziehen, die Verbraucher in die Lage versetzen, fundierte Entscheidungen zu treffen und den öffentlichen Sektor anhalten, bei der Vergabe öffentlicher Aufträge verstärkt auf Nachhaltigkeit zu achten. Die Zeit hierfür ist rei</w:t>
      </w:r>
      <w:r>
        <w:rPr>
          <w:rFonts w:ascii="Times New Roman" w:hAnsi="Times New Roman"/>
          <w:noProof/>
          <w:sz w:val="24"/>
        </w:rPr>
        <w:t>f – auch die wachsende öffentliche Unterstützung für die EU-Kunststoffstrategie zeigt, dass die Fortsetzung dieses Weges auf immer mehr Verständnis stößt.</w:t>
      </w:r>
    </w:p>
    <w:p w:rsidR="00152528" w:rsidRDefault="001241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sz w:val="24"/>
          <w:szCs w:val="24"/>
        </w:rPr>
      </w:pPr>
      <w:r>
        <w:rPr>
          <w:rFonts w:ascii="Times New Roman" w:hAnsi="Times New Roman"/>
          <w:b/>
          <w:noProof/>
          <w:sz w:val="24"/>
        </w:rPr>
        <w:t>Kreislaufwirtschaft in der Praxis: Die EU verfügt über die weltweit erste umfassende Strategie für Ku</w:t>
      </w:r>
      <w:r>
        <w:rPr>
          <w:rFonts w:ascii="Times New Roman" w:hAnsi="Times New Roman"/>
          <w:b/>
          <w:noProof/>
          <w:sz w:val="24"/>
        </w:rPr>
        <w:t xml:space="preserve">nststoffe </w:t>
      </w:r>
    </w:p>
    <w:p w:rsidR="00152528" w:rsidRDefault="0012413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Die EU-Strategie für Kunststoffe</w:t>
      </w:r>
      <w:r>
        <w:rPr>
          <w:rStyle w:val="FootnoteReference"/>
          <w:rFonts w:ascii="Times New Roman" w:hAnsi="Times New Roman"/>
          <w:noProof/>
          <w:sz w:val="24"/>
        </w:rPr>
        <w:footnoteReference w:id="41"/>
      </w:r>
      <w:r>
        <w:rPr>
          <w:rFonts w:ascii="Times New Roman" w:hAnsi="Times New Roman"/>
          <w:noProof/>
          <w:sz w:val="24"/>
        </w:rPr>
        <w:t xml:space="preserve"> und die EU-Rechtsvorschriften über Einwegkunststoffartikel</w:t>
      </w:r>
      <w:r>
        <w:rPr>
          <w:rStyle w:val="FootnoteReference"/>
          <w:rFonts w:ascii="Times New Roman" w:hAnsi="Times New Roman"/>
          <w:noProof/>
          <w:sz w:val="24"/>
        </w:rPr>
        <w:footnoteReference w:id="42"/>
      </w:r>
      <w:r>
        <w:rPr>
          <w:rFonts w:ascii="Times New Roman" w:hAnsi="Times New Roman"/>
          <w:noProof/>
          <w:sz w:val="24"/>
        </w:rPr>
        <w:t xml:space="preserve"> werden die Umweltverschmutzung durch Kunststoffabfälle verringern und gleichzeitig Wachstum und Innovation fördern. Bis 2030 müssen alle Kunststoffverpackungen, die in der EU auf den Markt kommen, in wirtschaftlich tragfähiger Weise recylingfähig sein. De</w:t>
      </w:r>
      <w:r>
        <w:rPr>
          <w:rFonts w:ascii="Times New Roman" w:hAnsi="Times New Roman"/>
          <w:noProof/>
          <w:sz w:val="24"/>
        </w:rPr>
        <w:t>r absichtliche Einsatz von Mikroplastik und die schädlichsten Einwegkunststoffartikel, für die es Alternativen gibt, werden verboten, und zur Herstellung neuer Produkte sollen zunehmend recycelte Kunststoffe eingesetzt werden.</w:t>
      </w:r>
    </w:p>
    <w:p w:rsidR="00152528" w:rsidRDefault="00124136">
      <w:pPr>
        <w:pStyle w:val="Heading3"/>
        <w:rPr>
          <w:noProof/>
        </w:rPr>
      </w:pPr>
      <w:bookmarkStart w:id="18" w:name="_Toc532469542"/>
      <w:bookmarkStart w:id="19" w:name="_Toc536442042"/>
      <w:bookmarkStart w:id="20" w:name="_Toc536555111"/>
      <w:bookmarkEnd w:id="18"/>
      <w:r>
        <w:rPr>
          <w:noProof/>
        </w:rPr>
        <w:t xml:space="preserve">Nachhaltigkeit vom Bauernhof </w:t>
      </w:r>
      <w:r>
        <w:rPr>
          <w:noProof/>
        </w:rPr>
        <w:t>bis zum Verbraucher</w:t>
      </w:r>
      <w:bookmarkEnd w:id="19"/>
      <w:bookmarkEnd w:id="20"/>
      <w:r>
        <w:rPr>
          <w:noProof/>
        </w:rPr>
        <w:t xml:space="preserve"> </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Der Agrarsektor und die ländlichen Gebiete der EU sind für das Wohlergehen der Europäer überaus wichtig. Unsere Agrar- und Ernährungswirtschaft macht die EU zu einem der weltweit führenden Lebensmittelerzeuger, garantiert eine sichere </w:t>
      </w:r>
      <w:r>
        <w:rPr>
          <w:rFonts w:ascii="Times New Roman" w:hAnsi="Times New Roman"/>
          <w:noProof/>
          <w:sz w:val="24"/>
        </w:rPr>
        <w:t>Versorgung mit Lebensmitteln und schafft Arbeitsplätze für Millionen von Europäern. Darüber hinaus stehen die EU-Landwirte bei der Erhaltung der natürlichen Umwelt an vorderster Front, da sie für die natürlichen Ressourcen auf 48 % der Flächen in der EU ve</w:t>
      </w:r>
      <w:r>
        <w:rPr>
          <w:rFonts w:ascii="Times New Roman" w:hAnsi="Times New Roman"/>
          <w:noProof/>
          <w:sz w:val="24"/>
        </w:rPr>
        <w:t>rantwortlich sind; weitere 40 % entfallen auf die Forstwirte. Der ländliche Raum der EU ist Standort innovativer Sektoren wie der Bioökonomie und darüber hinaus als Erholungsgebiet und für den Tourismus sehr wichtig. Gerade die Land- und Forstwirte sind je</w:t>
      </w:r>
      <w:r>
        <w:rPr>
          <w:rFonts w:ascii="Times New Roman" w:hAnsi="Times New Roman"/>
          <w:noProof/>
          <w:sz w:val="24"/>
        </w:rPr>
        <w:t>doch vom weiteren Anstieg der Durchschnittstemperaturen und der Schädigung der natürlichen Umwelt direkt betroffen.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EU-Landwirtschaft hat in den Bereichen Klima und Umwelt echte Fortschritte erzielt: Seit 1990 sind die Treibhausgasemissionen in der La</w:t>
      </w:r>
      <w:r>
        <w:rPr>
          <w:rFonts w:ascii="Times New Roman" w:hAnsi="Times New Roman"/>
          <w:noProof/>
          <w:sz w:val="24"/>
        </w:rPr>
        <w:t>ndwirtschaft um 20 % und der Nitratgehalt der Flüsse um 17,7 % gesunken. Die ermittelten Herausforderungen sind jedoch noch nicht bewältigt. Wenn wir unsere Wirtschaft modernisieren, unsere Umwelt schützen und die Qualität unserer Lebensmittel verbessern w</w:t>
      </w:r>
      <w:r>
        <w:rPr>
          <w:rFonts w:ascii="Times New Roman" w:hAnsi="Times New Roman"/>
          <w:noProof/>
          <w:sz w:val="24"/>
        </w:rPr>
        <w:t xml:space="preserve">ollen, müssen Ungleichgewichte in unserer Lebensmittelherstellungskette korrigiert werden, von der Landwirtschaft und Fischerei bis hin zur Lebensmittel- und Getränkeindustrie, von Transport und Vermarktung bis hin zum Verbrauch.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Die SDGs zeigen den Weg a</w:t>
      </w:r>
      <w:r>
        <w:rPr>
          <w:rFonts w:ascii="Times New Roman" w:hAnsi="Times New Roman" w:cs="Times New Roman"/>
          <w:noProof/>
          <w:sz w:val="24"/>
          <w:szCs w:val="24"/>
        </w:rPr>
        <w:t>uf. Schätzungen zufolge könnte mit einem globalen Lebensmittel- und Agrarsystem, das mit den SDGs im Einklang steht, bis 2030 eine neue wirtschaftliche Wertschöpfung von über 1,8 Billionen EUR erzielt werden.</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Ein solches System könnte nährstoffreiche, ers</w:t>
      </w:r>
      <w:r>
        <w:rPr>
          <w:rFonts w:ascii="Times New Roman" w:hAnsi="Times New Roman" w:cs="Times New Roman"/>
          <w:noProof/>
          <w:sz w:val="24"/>
          <w:szCs w:val="24"/>
        </w:rPr>
        <w:t>chwingliche Lebensmittel für eine wachsende Weltbevölkerung liefern, Einkommenssteigerungen bewirken, zur Wiederherstellung von Wäldern, Süßwasserressourcen und Ökosystemen beitragen und wäre zudem viel widerstandsfähiger gegen Klimarisiken.</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Es wird davon</w:t>
      </w:r>
      <w:r>
        <w:rPr>
          <w:rFonts w:ascii="Times New Roman" w:hAnsi="Times New Roman" w:cs="Times New Roman"/>
          <w:noProof/>
          <w:sz w:val="24"/>
          <w:szCs w:val="24"/>
        </w:rPr>
        <w:t xml:space="preserve"> ausgegangen, dass durch nachhaltige Produktionsverfahren in der Landwirtschaft und Lebensmittelherstellung bis 2050 weltweit über 200 Millionen Vollzeitarbeitsplätze entstehen würden</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Auch in diesem Bereich entwickeln sich die gesellschaftlichen Anforde</w:t>
      </w:r>
      <w:r>
        <w:rPr>
          <w:rFonts w:ascii="Times New Roman" w:hAnsi="Times New Roman" w:cs="Times New Roman"/>
          <w:noProof/>
          <w:sz w:val="24"/>
          <w:szCs w:val="24"/>
        </w:rPr>
        <w:t>rungen</w:t>
      </w:r>
      <w:r>
        <w:rPr>
          <w:rFonts w:ascii="Times New Roman" w:hAnsi="Times New Roman"/>
          <w:noProof/>
          <w:sz w:val="24"/>
        </w:rPr>
        <w:t xml:space="preserve"> weiter. Die Bürgerinnen und Bürger legen immer mehr Wert auf Lebensmittel, die einen breiteren Nutzen für die Gesellschaft haben, wie beispielsweise Bioprodukte, Erzeugnisse mit geografischen Angaben, lokale Systeme der Lebensmittelproduktion mit ni</w:t>
      </w:r>
      <w:r>
        <w:rPr>
          <w:rFonts w:ascii="Times New Roman" w:hAnsi="Times New Roman"/>
          <w:noProof/>
          <w:sz w:val="24"/>
        </w:rPr>
        <w:t>edrigerem CO</w:t>
      </w:r>
      <w:r>
        <w:rPr>
          <w:rFonts w:ascii="Times New Roman" w:hAnsi="Times New Roman"/>
          <w:noProof/>
          <w:sz w:val="24"/>
          <w:vertAlign w:val="subscript"/>
        </w:rPr>
        <w:t>2</w:t>
      </w:r>
      <w:r>
        <w:rPr>
          <w:rFonts w:ascii="Times New Roman" w:hAnsi="Times New Roman"/>
          <w:noProof/>
          <w:sz w:val="24"/>
        </w:rPr>
        <w:t xml:space="preserve">-Fußabdruck und </w:t>
      </w:r>
      <w:r>
        <w:rPr>
          <w:rFonts w:ascii="Times New Roman" w:hAnsi="Times New Roman" w:cs="Times New Roman"/>
          <w:noProof/>
          <w:sz w:val="24"/>
          <w:szCs w:val="24"/>
        </w:rPr>
        <w:t>innovative, emissionsarme Lösungen für Lebensmittel. Der auf Umweltschutz und Tierschutz ausgerichtete ökologische Landbau ist in allen EU-Mitgliedstaaten seit 2005 stetig gewachsen und wird dies den Prognosen zufolge auch weit</w:t>
      </w:r>
      <w:r>
        <w:rPr>
          <w:rFonts w:ascii="Times New Roman" w:hAnsi="Times New Roman" w:cs="Times New Roman"/>
          <w:noProof/>
          <w:sz w:val="24"/>
          <w:szCs w:val="24"/>
        </w:rPr>
        <w:t>erhin tun.</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bidi="ar-SA"/>
        </w:rPr>
        <w:drawing>
          <wp:inline distT="0" distB="0" distL="0" distR="0">
            <wp:extent cx="3609892" cy="27255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12783" cy="2727725"/>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Als weltweit größter Exporteur und Importeur von Agrar- und Lebensmittelerzeugnissen</w:t>
      </w:r>
      <w:r>
        <w:rPr>
          <w:rStyle w:val="FootnoteReference"/>
          <w:rFonts w:ascii="Times New Roman" w:hAnsi="Times New Roman"/>
          <w:noProof/>
          <w:sz w:val="24"/>
        </w:rPr>
        <w:footnoteReference w:id="47"/>
      </w:r>
      <w:r>
        <w:rPr>
          <w:rFonts w:ascii="Times New Roman" w:hAnsi="Times New Roman"/>
          <w:noProof/>
          <w:sz w:val="24"/>
        </w:rPr>
        <w:t xml:space="preserve"> ist die EU gut aufgestellt, um diese wirtschaftliche Chance zu nutzen und bei nachhaltigen Lebensmitteln einen weltweiten Spitzenplatz einzunehmen. Dies </w:t>
      </w:r>
      <w:r>
        <w:rPr>
          <w:rFonts w:ascii="Times New Roman" w:hAnsi="Times New Roman"/>
          <w:noProof/>
          <w:sz w:val="24"/>
        </w:rPr>
        <w:t xml:space="preserve">ist erreichbar: Wir benötigen dafür einen umfassenden Ansatz, der eine echte Veränderung der Art und Weise bewirkt, in der wir Lebensmittel erzeugen, verarbeiten, konsumieren und vermarkten, indem wir den Übergang zu einem </w:t>
      </w:r>
      <w:r>
        <w:rPr>
          <w:rFonts w:ascii="Times New Roman" w:hAnsi="Times New Roman"/>
          <w:b/>
          <w:noProof/>
          <w:sz w:val="24"/>
        </w:rPr>
        <w:t>nachhaltigen Lebensmittelsystem</w:t>
      </w:r>
      <w:r>
        <w:rPr>
          <w:rFonts w:ascii="Times New Roman" w:hAnsi="Times New Roman"/>
          <w:noProof/>
          <w:sz w:val="24"/>
        </w:rPr>
        <w:t xml:space="preserve">, </w:t>
      </w:r>
      <w:r>
        <w:rPr>
          <w:rFonts w:ascii="Times New Roman" w:hAnsi="Times New Roman"/>
          <w:noProof/>
          <w:sz w:val="24"/>
        </w:rPr>
        <w:t xml:space="preserve">das auf den Grundsätzen der Kreislaufwirtschaft beruht, beschleunigen und die Erzeugung innovativer, gesunder, umwelt- und tiergerechter, sicherer und nährstoffreicher Lebensmittel zu einem zentralen europäischen Markenzeichen machen.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Die Kommission hat </w:t>
      </w:r>
      <w:r>
        <w:rPr>
          <w:rFonts w:ascii="Times New Roman" w:hAnsi="Times New Roman"/>
          <w:noProof/>
          <w:sz w:val="24"/>
        </w:rPr>
        <w:t>einen Vorschlag für eine modernisierte Gemeinsame Agrarpolitik (GAP) vorgelegt, bei der die nationalen Pläne der Mitgliedstaaten die in den Zielen der GAP verankerten strengen Nachhaltigkeitskriterien widerspiegeln müssen. Die Gemeinsame Fischereipolitik h</w:t>
      </w:r>
      <w:r>
        <w:rPr>
          <w:rFonts w:ascii="Times New Roman" w:hAnsi="Times New Roman"/>
          <w:noProof/>
          <w:sz w:val="24"/>
        </w:rPr>
        <w:t>at zu erheblichen Fortschritten bei der Verbesserung der Nachhaltigkeit der europäischen Fischerei geführt. Allerdings muss der ordnungsgemäßen Umsetzung der Gemeinsamen Fischereipolitik, einschließlich der nachhaltigen Bewirtschaftung aller Fischbestände,</w:t>
      </w:r>
      <w:r>
        <w:rPr>
          <w:rFonts w:ascii="Times New Roman" w:hAnsi="Times New Roman"/>
          <w:noProof/>
          <w:sz w:val="24"/>
        </w:rPr>
        <w:t xml:space="preserve"> und der Entwicklung einer nachhaltigen Aquakultur auch in Zukunft hohe Bedeutung beigemessen werden.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sz w:val="24"/>
          <w:szCs w:val="24"/>
        </w:rPr>
      </w:pPr>
      <w:r>
        <w:rPr>
          <w:rFonts w:ascii="Times New Roman" w:hAnsi="Times New Roman"/>
          <w:b/>
          <w:noProof/>
          <w:sz w:val="24"/>
        </w:rPr>
        <w:t xml:space="preserve">Kasten: Unterstützung des Übergangs zu einer nachhaltigen Landwirtschaft durch eine modernisierte GAP </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Die künftige GAP für den Zeitraum 2021 bis 2027</w:t>
      </w:r>
      <w:r>
        <w:rPr>
          <w:rStyle w:val="FootnoteReference"/>
          <w:rFonts w:ascii="Times New Roman" w:hAnsi="Times New Roman"/>
          <w:noProof/>
          <w:sz w:val="24"/>
        </w:rPr>
        <w:footnoteReference w:id="48"/>
      </w:r>
      <w:r>
        <w:rPr>
          <w:rFonts w:ascii="Times New Roman" w:hAnsi="Times New Roman"/>
          <w:noProof/>
          <w:sz w:val="24"/>
        </w:rPr>
        <w:t xml:space="preserve"> wird auch weiterhin die Versorgung mit hochwertigen Lebensmitteln gewährleisten und das einzigartige europäische Landwirtschaftsmodell nachdrücklich unterstützen, wobei größeres Augenmerk auf den Umwelt- und Klimaschutz, die Förderung des kontinuierlichen</w:t>
      </w:r>
      <w:r>
        <w:rPr>
          <w:rFonts w:ascii="Times New Roman" w:hAnsi="Times New Roman"/>
          <w:noProof/>
          <w:sz w:val="24"/>
        </w:rPr>
        <w:t xml:space="preserve"> Übergangs zu einem nachhaltigeren Agrarsektor und die Entwicklung dynamischer ländlicher Gebiete gelegt werden soll.  </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Style w:val="A2"/>
          <w:rFonts w:ascii="Times New Roman" w:hAnsi="Times New Roman" w:cs="Times New Roman"/>
          <w:noProof/>
          <w:sz w:val="24"/>
          <w:szCs w:val="24"/>
        </w:rPr>
      </w:pPr>
      <w:r>
        <w:rPr>
          <w:rStyle w:val="A2"/>
          <w:rFonts w:ascii="Times New Roman" w:hAnsi="Times New Roman"/>
          <w:noProof/>
          <w:sz w:val="24"/>
        </w:rPr>
        <w:t>Zu den neuen Verpflichtungen gehören die Erhaltung kohlenstoffreicher Böden durch Schutz von Feuchtgebieten oder Torflandschaften, ein verpflichtendes Instrument für die Nährstoffbewirtschaftung zur Verbesserung der Wasserqualität und Verringerung der Ammo</w:t>
      </w:r>
      <w:r>
        <w:rPr>
          <w:rStyle w:val="A2"/>
          <w:rFonts w:ascii="Times New Roman" w:hAnsi="Times New Roman"/>
          <w:noProof/>
          <w:sz w:val="24"/>
        </w:rPr>
        <w:t xml:space="preserve">niak- und Stickoxidkonzentrationen sowie Fruchtwechsel statt Anbaudiversifizierung. Alle Landwirte, die Unterstützung im Rahmen der GAP erhalten, müssen diese Grundregeln einhalten. </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color w:val="000000"/>
          <w:sz w:val="24"/>
          <w:szCs w:val="24"/>
        </w:rPr>
      </w:pPr>
      <w:r>
        <w:rPr>
          <w:rStyle w:val="A2"/>
          <w:rFonts w:ascii="Times New Roman" w:hAnsi="Times New Roman"/>
          <w:noProof/>
          <w:sz w:val="24"/>
        </w:rPr>
        <w:t>Jeder Mitgliedstaat muss Öko-Regelungen ausarbeiten, über die die Landwir</w:t>
      </w:r>
      <w:r>
        <w:rPr>
          <w:rStyle w:val="A2"/>
          <w:rFonts w:ascii="Times New Roman" w:hAnsi="Times New Roman"/>
          <w:noProof/>
          <w:sz w:val="24"/>
        </w:rPr>
        <w:t>te Unterstützung bzw. Anreize erhalten, um Landbewirtschaftungsmethoden anzuwenden, die dem Klima- und Umweltschutz förderlich sind und über die verpflichtenden Anforderungen hinausgehen. Darüber hinaus werden die Landwirte die Möglichkeit haben, weitere B</w:t>
      </w:r>
      <w:r>
        <w:rPr>
          <w:rStyle w:val="A2"/>
          <w:rFonts w:ascii="Times New Roman" w:hAnsi="Times New Roman"/>
          <w:noProof/>
          <w:sz w:val="24"/>
        </w:rPr>
        <w:t>eiträge zu mehr Nachhaltigkeit zu leisten; hierfür können sie über verschiedene freiwillige Regelungen zusätzliche Unterstützung erhalten.</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In diesem Zusammenhang ist zudem Folgendes wichtig: die Durchsetzung eines umsichtigeren Einsatzes antimikrobieller M</w:t>
      </w:r>
      <w:r>
        <w:rPr>
          <w:rFonts w:ascii="Times New Roman" w:hAnsi="Times New Roman"/>
          <w:noProof/>
          <w:sz w:val="24"/>
        </w:rPr>
        <w:t>ittel, um das Risiko weiterer Resistenzen gegen antimikrobielle Mittel bei Tieren und Menschen zu verringern</w:t>
      </w:r>
      <w:r>
        <w:rPr>
          <w:rStyle w:val="FootnoteReference"/>
          <w:rFonts w:ascii="Times New Roman" w:hAnsi="Times New Roman"/>
          <w:noProof/>
          <w:sz w:val="24"/>
        </w:rPr>
        <w:footnoteReference w:id="49"/>
      </w:r>
      <w:r>
        <w:rPr>
          <w:rFonts w:ascii="Times New Roman" w:hAnsi="Times New Roman"/>
          <w:noProof/>
          <w:sz w:val="24"/>
        </w:rPr>
        <w:t>‚ die Umsetzung des EU-Aktionsplans zur Bekämpfung der Lebensmittelverschwendung, die stärkere Berücksichtigung von Tierschutznormen, die Gewährlei</w:t>
      </w:r>
      <w:r>
        <w:rPr>
          <w:rFonts w:ascii="Times New Roman" w:hAnsi="Times New Roman"/>
          <w:noProof/>
          <w:sz w:val="24"/>
        </w:rPr>
        <w:t>stung der Nachhaltigkeit beim Einsatz von Pestiziden und die Umwandlung von Bioabfällen, Rückständen und Rückwürfen in wertvolle Ressourcen. Die Transparenz der Wertschöpfungsketten und Anreize für Erzeuger und Supermärkte, nachhaltige Lebensmittel anzubie</w:t>
      </w:r>
      <w:r>
        <w:rPr>
          <w:rFonts w:ascii="Times New Roman" w:hAnsi="Times New Roman"/>
          <w:noProof/>
          <w:sz w:val="24"/>
        </w:rPr>
        <w:t>ten und eine gesunde Ernährungsweise zu fördern, sowie entsprechende Konsumentscheidungen der Verbraucher könnten durch geeignete innovative Maßnahmen unterstützt werden, so etwa durch bessere Aufklärung und Verbraucherinformationen, damit eine erschwingli</w:t>
      </w:r>
      <w:r>
        <w:rPr>
          <w:rFonts w:ascii="Times New Roman" w:hAnsi="Times New Roman"/>
          <w:noProof/>
          <w:sz w:val="24"/>
        </w:rPr>
        <w:t xml:space="preserve">che und gesunde Ernährung zu einer echten Option wird. </w:t>
      </w:r>
      <w:r>
        <w:rPr>
          <w:rFonts w:ascii="Times New Roman" w:hAnsi="Times New Roman" w:cs="Times New Roman"/>
          <w:noProof/>
          <w:sz w:val="24"/>
          <w:szCs w:val="24"/>
        </w:rPr>
        <w:t>Der Übergang zu einem nachhaltigeren Verbrauch tierischer Erzeugnisse würde ebenfalls erhebliche gesundheitliche Vorteile für die Verbraucher mit sich bringen und sich positiv auf die natürliche Umwelt</w:t>
      </w:r>
      <w:r>
        <w:rPr>
          <w:rFonts w:ascii="Times New Roman" w:hAnsi="Times New Roman" w:cs="Times New Roman"/>
          <w:noProof/>
          <w:sz w:val="24"/>
          <w:szCs w:val="24"/>
        </w:rPr>
        <w:t xml:space="preserve"> auswirken.</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w:t>
      </w:r>
    </w:p>
    <w:p w:rsidR="00152528" w:rsidRDefault="00124136">
      <w:pPr>
        <w:pStyle w:val="Heading3"/>
        <w:rPr>
          <w:noProof/>
        </w:rPr>
      </w:pPr>
      <w:bookmarkStart w:id="21" w:name="_Toc536442043"/>
      <w:bookmarkStart w:id="22" w:name="_Toc536555112"/>
      <w:r>
        <w:rPr>
          <w:noProof/>
        </w:rPr>
        <w:t>Energie, Gebäude und Mobilität für die Zukunft</w:t>
      </w:r>
      <w:bookmarkEnd w:id="21"/>
      <w:bookmarkEnd w:id="22"/>
    </w:p>
    <w:p w:rsidR="00152528" w:rsidRDefault="00124136">
      <w:pPr>
        <w:spacing w:line="240" w:lineRule="auto"/>
        <w:jc w:val="both"/>
        <w:rPr>
          <w:rFonts w:ascii="Times New Roman" w:hAnsi="Times New Roman" w:cs="Times New Roman"/>
          <w:noProof/>
          <w:sz w:val="24"/>
          <w:szCs w:val="24"/>
        </w:rPr>
      </w:pPr>
      <w:r>
        <w:rPr>
          <w:rFonts w:ascii="Times New Roman" w:hAnsi="Times New Roman"/>
          <w:b/>
          <w:noProof/>
          <w:color w:val="000000"/>
          <w:sz w:val="24"/>
        </w:rPr>
        <w:t>Saubere Energie</w:t>
      </w:r>
      <w:r>
        <w:rPr>
          <w:rFonts w:ascii="Times New Roman" w:hAnsi="Times New Roman"/>
          <w:noProof/>
          <w:color w:val="000000"/>
          <w:sz w:val="24"/>
        </w:rPr>
        <w:t xml:space="preserve"> ist der Schlüssel zu einer nachhaltigen Zukunft. </w:t>
      </w:r>
      <w:r>
        <w:rPr>
          <w:rFonts w:ascii="Times New Roman" w:hAnsi="Times New Roman"/>
          <w:noProof/>
          <w:sz w:val="24"/>
        </w:rPr>
        <w:t>Um unsere Umweltwirkung zu reduzieren und die Gesundheit der Menschen in Europa zu schützen, müssen wir Energie nachhaltig erzeug</w:t>
      </w:r>
      <w:r>
        <w:rPr>
          <w:rFonts w:ascii="Times New Roman" w:hAnsi="Times New Roman"/>
          <w:noProof/>
          <w:sz w:val="24"/>
        </w:rPr>
        <w:t xml:space="preserve">en, speichern und verbrauchen.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Bereits heute ist die EU einer der kohlenstoffeffizientesten Wirtschaftsräume der Welt.</w:t>
      </w:r>
      <w:r>
        <w:rPr>
          <w:rFonts w:ascii="Times New Roman" w:hAnsi="Times New Roman"/>
          <w:noProof/>
          <w:color w:val="000000"/>
          <w:sz w:val="24"/>
        </w:rPr>
        <w:t xml:space="preserve"> </w:t>
      </w:r>
      <w:r>
        <w:rPr>
          <w:rFonts w:ascii="Times New Roman" w:hAnsi="Times New Roman"/>
          <w:noProof/>
          <w:sz w:val="24"/>
        </w:rPr>
        <w:t>Erneuerbare Energien sind ein integraler Bestandteil des Energiemixes der EU, und mehr als die Hälfte des in der EU gelieferten Stroms w</w:t>
      </w:r>
      <w:r>
        <w:rPr>
          <w:rFonts w:ascii="Times New Roman" w:hAnsi="Times New Roman"/>
          <w:noProof/>
          <w:sz w:val="24"/>
        </w:rPr>
        <w:t xml:space="preserve">ird klimaneutral erzeugt. </w:t>
      </w:r>
      <w:r>
        <w:rPr>
          <w:rFonts w:ascii="Times New Roman" w:hAnsi="Times New Roman"/>
          <w:noProof/>
          <w:color w:val="000000"/>
          <w:sz w:val="24"/>
        </w:rPr>
        <w:t>In den vergangenen Jahren wurde der Energieverbrauch durch Energieeffizienzmaßnahmen, einschließlich Energiekennzeichnung, gedrosselt.</w:t>
      </w:r>
      <w:r>
        <w:rPr>
          <w:rStyle w:val="FootnoteReference"/>
          <w:rFonts w:ascii="Times New Roman" w:hAnsi="Times New Roman"/>
          <w:noProof/>
          <w:color w:val="000000"/>
          <w:sz w:val="24"/>
        </w:rPr>
        <w:footnoteReference w:id="51"/>
      </w:r>
      <w:r>
        <w:rPr>
          <w:rFonts w:ascii="Times New Roman" w:hAnsi="Times New Roman"/>
          <w:noProof/>
          <w:color w:val="000000"/>
          <w:sz w:val="24"/>
        </w:rPr>
        <w:t xml:space="preserve"> Beim Kauf von Geräten achten die Menschen zunehmend auf Energieeffizienz. In den Bereichen ern</w:t>
      </w:r>
      <w:r>
        <w:rPr>
          <w:rFonts w:ascii="Times New Roman" w:hAnsi="Times New Roman"/>
          <w:noProof/>
          <w:color w:val="000000"/>
          <w:sz w:val="24"/>
        </w:rPr>
        <w:t xml:space="preserve">euerbare Energiequellen und Energieeffizienz sind in Europa knapp 1,5 Millionen Menschen beschäftigt. </w:t>
      </w:r>
    </w:p>
    <w:p w:rsidR="00152528" w:rsidRDefault="00152528">
      <w:pPr>
        <w:spacing w:after="120" w:line="240" w:lineRule="auto"/>
        <w:jc w:val="both"/>
        <w:rPr>
          <w:rFonts w:ascii="Times New Roman" w:hAnsi="Times New Roman" w:cs="Times New Roman"/>
          <w:noProof/>
          <w:color w:val="000000"/>
          <w:sz w:val="24"/>
          <w:szCs w:val="24"/>
        </w:rPr>
      </w:pPr>
    </w:p>
    <w:p w:rsidR="00152528" w:rsidRDefault="00152528">
      <w:pPr>
        <w:spacing w:after="120" w:line="240" w:lineRule="auto"/>
        <w:jc w:val="both"/>
        <w:rPr>
          <w:rFonts w:ascii="Times New Roman" w:hAnsi="Times New Roman" w:cs="Times New Roman"/>
          <w:noProof/>
          <w:color w:val="000000"/>
          <w:sz w:val="24"/>
          <w:szCs w:val="24"/>
        </w:rPr>
      </w:pPr>
    </w:p>
    <w:p w:rsidR="00152528" w:rsidRDefault="00152528">
      <w:pPr>
        <w:spacing w:after="120" w:line="240" w:lineRule="auto"/>
        <w:jc w:val="both"/>
        <w:rPr>
          <w:rFonts w:ascii="Times New Roman" w:hAnsi="Times New Roman" w:cs="Times New Roman"/>
          <w:noProof/>
          <w:color w:val="000000"/>
          <w:sz w:val="24"/>
          <w:szCs w:val="24"/>
        </w:rPr>
      </w:pPr>
    </w:p>
    <w:p w:rsidR="00152528" w:rsidRDefault="00124136">
      <w:pPr>
        <w:spacing w:after="12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3690893" cy="4147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0983" cy="4147819"/>
                    </a:xfrm>
                    <a:prstGeom prst="rect">
                      <a:avLst/>
                    </a:prstGeom>
                    <a:noFill/>
                    <a:ln>
                      <a:noFill/>
                    </a:ln>
                  </pic:spPr>
                </pic:pic>
              </a:graphicData>
            </a:graphic>
          </wp:inline>
        </w:drawing>
      </w:r>
    </w:p>
    <w:p w:rsidR="00152528" w:rsidRDefault="00124136">
      <w:pPr>
        <w:spacing w:after="120" w:line="240" w:lineRule="auto"/>
        <w:jc w:val="both"/>
        <w:rPr>
          <w:rFonts w:ascii="Times New Roman" w:hAnsi="Times New Roman" w:cs="Times New Roman"/>
          <w:noProof/>
          <w:sz w:val="24"/>
          <w:szCs w:val="24"/>
        </w:rPr>
      </w:pPr>
      <w:r>
        <w:rPr>
          <w:rFonts w:ascii="Times New Roman" w:hAnsi="Times New Roman"/>
          <w:noProof/>
          <w:color w:val="000000"/>
          <w:sz w:val="24"/>
        </w:rPr>
        <w:t xml:space="preserve">Mit der Energieunion hat die Europäische Kommission einen der umfassendsten Rechtsrahmen der Welt für die Energiewende und die Modernisierung der </w:t>
      </w:r>
      <w:r>
        <w:rPr>
          <w:rFonts w:ascii="Times New Roman" w:hAnsi="Times New Roman"/>
          <w:noProof/>
          <w:color w:val="000000"/>
          <w:sz w:val="24"/>
        </w:rPr>
        <w:t>Wirtschaft aufgestellt, in dem die Politikbereiche Klima, Energie, Verkehr, Forschung und weitere Bereiche zusammengeführt werden. Die auf EU-Ebene bis zum Jahr 2030 angestrebten Ziele, mindestens einen Anteil von 32 % erneuerbaren Energien am Gesamtenergi</w:t>
      </w:r>
      <w:r>
        <w:rPr>
          <w:rFonts w:ascii="Times New Roman" w:hAnsi="Times New Roman"/>
          <w:noProof/>
          <w:color w:val="000000"/>
          <w:sz w:val="24"/>
        </w:rPr>
        <w:t xml:space="preserve">everbrauch und Energieeffizienzgewinne von mindestens 32,5 % zu erreichen, sind Teil der Verordnung über die Energieunion; sie ermöglichen es uns, die im Rahmen des Klimaschutzübereinkommens von Paris eingegangene Verpflichtung, die Treibhausgasemissionen </w:t>
      </w:r>
      <w:r>
        <w:rPr>
          <w:rFonts w:ascii="Times New Roman" w:hAnsi="Times New Roman"/>
          <w:noProof/>
          <w:color w:val="000000"/>
          <w:sz w:val="24"/>
        </w:rPr>
        <w:t>bis zum Jahr 2030 um mindestens 40 % gegenüber den Werten von 1990 zu reduzieren, zu übertreffen.</w:t>
      </w:r>
    </w:p>
    <w:p w:rsidR="00152528" w:rsidRDefault="0012413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Kasten: Saubere Energie bietet Chancen für Beschäftigung und Wachstum</w:t>
      </w:r>
    </w:p>
    <w:p w:rsidR="00152528" w:rsidRDefault="0012413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Im Zeitraum 2008 bis 2014 ist die Zahl der Arbeitsplätze im Bereich der Technologien zur</w:t>
      </w:r>
      <w:r>
        <w:rPr>
          <w:rFonts w:ascii="Times New Roman" w:hAnsi="Times New Roman"/>
          <w:noProof/>
          <w:sz w:val="24"/>
        </w:rPr>
        <w:t xml:space="preserve"> Nutzung erneuerbarer Energie um 70 % gestiegen, und bis zum Jahr 2030 könnten weitere 900 000 Arbeitsplätze geschaffen werden, sofern öffentliche und private Investitionen mobilisiert werden. Bis zu 400 000 zusätzliche lokale Arbeitsplätze könnten im Ener</w:t>
      </w:r>
      <w:r>
        <w:rPr>
          <w:rFonts w:ascii="Times New Roman" w:hAnsi="Times New Roman"/>
          <w:noProof/>
          <w:sz w:val="24"/>
        </w:rPr>
        <w:t>gieeffizienzsektor entstehen.</w:t>
      </w:r>
    </w:p>
    <w:p w:rsidR="00152528" w:rsidRDefault="00152528">
      <w:pPr>
        <w:spacing w:after="0" w:line="240" w:lineRule="auto"/>
        <w:jc w:val="both"/>
        <w:rPr>
          <w:rFonts w:ascii="Times New Roman" w:hAnsi="Times New Roman" w:cs="Times New Roman"/>
          <w:noProof/>
          <w:sz w:val="24"/>
          <w:szCs w:val="24"/>
        </w:rPr>
      </w:pPr>
    </w:p>
    <w:p w:rsidR="00152528" w:rsidRDefault="00124136">
      <w:pPr>
        <w:pStyle w:val="Body"/>
        <w:rPr>
          <w:rFonts w:ascii="Times New Roman" w:hAnsi="Times New Roman" w:cs="Times New Roman"/>
          <w:noProof/>
        </w:rPr>
      </w:pPr>
      <w:r>
        <w:rPr>
          <w:rFonts w:ascii="Times New Roman" w:hAnsi="Times New Roman"/>
          <w:noProof/>
        </w:rPr>
        <w:t>Nach dem Jahr 2030 muss mehr getan werden, um Buchstaben und Geist des Übereinkommens von Paris gerecht zu werden und die wirtschaftlichen Möglichkeiten der Energiewende voll auszuschöpfen. Die EU kann ihre kostspielige Abhän</w:t>
      </w:r>
      <w:r>
        <w:rPr>
          <w:rFonts w:ascii="Times New Roman" w:hAnsi="Times New Roman"/>
          <w:noProof/>
        </w:rPr>
        <w:t>gigkeit von fossilen Brennstoffen deutlich verringern, ihre Ausgaben für die Einfuhr von fossilen Brennstoffen um 260 Mrd. EUR senken, ihre Energieautonomie verbessern und zu einem gerechteren Energiemarkt beitragen.</w:t>
      </w:r>
      <w:r>
        <w:rPr>
          <w:rFonts w:ascii="Times New Roman" w:hAnsi="Times New Roman"/>
          <w:b/>
          <w:noProof/>
        </w:rPr>
        <w:t xml:space="preserve"> </w:t>
      </w:r>
      <w:r>
        <w:rPr>
          <w:rFonts w:ascii="Times New Roman" w:hAnsi="Times New Roman"/>
          <w:noProof/>
        </w:rPr>
        <w:t>Wichtig ist, dass wir die Integration d</w:t>
      </w:r>
      <w:r>
        <w:rPr>
          <w:rFonts w:ascii="Times New Roman" w:hAnsi="Times New Roman"/>
          <w:noProof/>
        </w:rPr>
        <w:t>es Energiemarkts durch die Errichtung der fehlenden Verbindungsleitungen und die Erleichterung des grenzüberschreitenden Energiehandels weiter vorantreiben. Darüber hinaus kann die Energiewende durch Meeresenergie und Offshore-Windenergie gefördert werden.</w:t>
      </w:r>
      <w:r>
        <w:rPr>
          <w:rFonts w:ascii="Times New Roman" w:hAnsi="Times New Roman"/>
          <w:noProof/>
        </w:rPr>
        <w:t xml:space="preserve"> Als Spitzenreiter bei diesen Technologien sollte die EU weiterhin von ihren Vorreitervorteilen profitieren. </w:t>
      </w:r>
    </w:p>
    <w:p w:rsidR="00152528" w:rsidRDefault="00124136">
      <w:pPr>
        <w:pStyle w:val="Body"/>
        <w:rPr>
          <w:rFonts w:ascii="Times New Roman" w:hAnsi="Times New Roman" w:cs="Times New Roman"/>
          <w:noProof/>
        </w:rPr>
      </w:pPr>
      <w:r>
        <w:rPr>
          <w:rFonts w:ascii="Times New Roman" w:hAnsi="Times New Roman"/>
          <w:noProof/>
        </w:rPr>
        <w:t xml:space="preserve">Da auf </w:t>
      </w:r>
      <w:r>
        <w:rPr>
          <w:rFonts w:ascii="Times New Roman" w:hAnsi="Times New Roman"/>
          <w:b/>
          <w:noProof/>
        </w:rPr>
        <w:t>Gebäude</w:t>
      </w:r>
      <w:r>
        <w:rPr>
          <w:rFonts w:ascii="Times New Roman" w:hAnsi="Times New Roman"/>
          <w:noProof/>
        </w:rPr>
        <w:t xml:space="preserve"> derzeit rund 40 % des Energieverbrauchs entfallen, müssen die Renovierung und Modernisierung von Gebäuden zur Verbesserung der Ener</w:t>
      </w:r>
      <w:r>
        <w:rPr>
          <w:rFonts w:ascii="Times New Roman" w:hAnsi="Times New Roman"/>
          <w:noProof/>
        </w:rPr>
        <w:t>gieeffizienz gefördert werden, womit bereits begonnen wurde. So sind in Europa in Umweltbranchen, die insbesondere mit der Sanierung von Gebäuden in Verbindung stehen, mehr als 3,4 Millionen Personen beschäftigt. Der Energiebedarf von Gebäuden lässt sich d</w:t>
      </w:r>
      <w:r>
        <w:rPr>
          <w:rFonts w:ascii="Times New Roman" w:hAnsi="Times New Roman"/>
          <w:noProof/>
        </w:rPr>
        <w:t>urch den zunehmenden Einsatz von effizienten, sauberen Elektroheizungen senken, aber auch durch intelligentere Gebäude und Geräte sowie durch bessere Dämmstoffe, die vollkommen den Grundsätzen der Kreislaufwirtschaft entsprechen. Die Richtlinie über die Ge</w:t>
      </w:r>
      <w:r>
        <w:rPr>
          <w:rFonts w:ascii="Times New Roman" w:hAnsi="Times New Roman"/>
          <w:noProof/>
        </w:rPr>
        <w:t>samtenergieeffizienz von Gebäuden zielt darauf ab, die Lebensqualität zu steigern, indem unsere Wohnhäuser besser wärmegedämmt und belüftet werden und somit ein angenehmeres Wohn- und Lebensumfeld bieten; gleichzeitig soll der Gebäudebestand bis 2050 dekar</w:t>
      </w:r>
      <w:r>
        <w:rPr>
          <w:rFonts w:ascii="Times New Roman" w:hAnsi="Times New Roman"/>
          <w:noProof/>
        </w:rPr>
        <w:t>bonisiert werden. Solche Maßnahmen tragen zur Senkung der Lebenshaltungskosten bei, sodass die Menschen mehr Geld übrig haben. Es müssen jedoch Mittel und Wege gefunden werden, um den Bürgerinnen und Bürgern zu helfen, diese Wende überhaupt erst zu bewerks</w:t>
      </w:r>
      <w:r>
        <w:rPr>
          <w:rFonts w:ascii="Times New Roman" w:hAnsi="Times New Roman"/>
          <w:noProof/>
        </w:rPr>
        <w:t>telligen.</w:t>
      </w:r>
    </w:p>
    <w:p w:rsidR="00152528" w:rsidRDefault="00124136">
      <w:pPr>
        <w:spacing w:line="240" w:lineRule="auto"/>
        <w:jc w:val="both"/>
        <w:rPr>
          <w:rFonts w:ascii="Times New Roman" w:hAnsi="Times New Roman" w:cs="Times New Roman"/>
          <w:noProof/>
        </w:rPr>
      </w:pPr>
      <w:r>
        <w:rPr>
          <w:rFonts w:ascii="Times New Roman" w:hAnsi="Times New Roman"/>
          <w:noProof/>
          <w:sz w:val="24"/>
        </w:rPr>
        <w:t xml:space="preserve">Eine weitere wichtige Triebfeder für den Übergang zu einer sauberen, ressourceneffizienten und kohlenstoffneutralen Zukunft ist der Sektor </w:t>
      </w:r>
      <w:r>
        <w:rPr>
          <w:rFonts w:ascii="Times New Roman" w:hAnsi="Times New Roman"/>
          <w:b/>
          <w:noProof/>
          <w:sz w:val="24"/>
        </w:rPr>
        <w:t>Mobilität</w:t>
      </w:r>
      <w:r>
        <w:rPr>
          <w:rFonts w:ascii="Times New Roman" w:hAnsi="Times New Roman"/>
          <w:noProof/>
          <w:sz w:val="24"/>
        </w:rPr>
        <w:t xml:space="preserve">. Das reicht von der Mobilität in Städten bis zu den transeuropäischen Verkehrsnetzen und umfasst </w:t>
      </w:r>
      <w:r>
        <w:rPr>
          <w:rFonts w:ascii="Times New Roman" w:hAnsi="Times New Roman"/>
          <w:noProof/>
          <w:sz w:val="24"/>
        </w:rPr>
        <w:t>neben dem Straßenverkehr auch die Schifffahrt und den Luftverkehr. Im Sektor Verkehrs- und Mobilitätsdienstleistungen sind rund 11 Millionen Menschen beschäftigt, und die Nachfrage nach Mobilität ist hoch. Derzeit allerdings ist der Verkehr für Luftverschm</w:t>
      </w:r>
      <w:r>
        <w:rPr>
          <w:rFonts w:ascii="Times New Roman" w:hAnsi="Times New Roman"/>
          <w:noProof/>
          <w:sz w:val="24"/>
        </w:rPr>
        <w:t xml:space="preserve">utzung, Lärm, Staus und Unfälle verantwortlich. Der Sektor verursacht bereits knapp ein Viertel der Treibhausgasemissionen in Europa, und sein Emissionsfußabdruck wird immer größer. Im Aktionsplan für emissionsarme Mobilität der Kommission von 2016 und in </w:t>
      </w:r>
      <w:r>
        <w:rPr>
          <w:rFonts w:ascii="Times New Roman" w:hAnsi="Times New Roman"/>
          <w:noProof/>
          <w:sz w:val="24"/>
        </w:rPr>
        <w:t>den Vorschlägen im Rahmen von „Europa in Bewegung“, die daran anknüpfen, sind zahlreiche Maßnahmen zur Verbesserung der Nachhaltigkeit unseres Verkehrssystems vorgesehen. Diese Maßnahmen sind darauf ausgerichtet, die Treibhausgasemissionen zu verringern, u</w:t>
      </w:r>
      <w:r>
        <w:rPr>
          <w:rFonts w:ascii="Times New Roman" w:hAnsi="Times New Roman"/>
          <w:noProof/>
          <w:sz w:val="24"/>
        </w:rPr>
        <w:t xml:space="preserve">nd sollen den Unternehmen in der EU ein Signal geben, damit diese in saubere Beförderungsmittel investieren. Auch dies trägt zu Beschäftigung und Wachstum bei. Wir müssen sauberen, erschwinglichen Alternativen den Vorrang geben und anstreben, dass auf den </w:t>
      </w:r>
      <w:r>
        <w:rPr>
          <w:rFonts w:ascii="Times New Roman" w:hAnsi="Times New Roman"/>
          <w:noProof/>
          <w:sz w:val="24"/>
        </w:rPr>
        <w:t>Straßen in der EU nur noch emissionsfreie Fahrzeuge unterwegs sind. Darüber hinaus müssen wir digitale Technologien optimal nutzen, um den Kraftstoffverbrauch zu senken. Auch die Satellitennavigationssysteme der EU tragen zur Emissionsminderung beispielswe</w:t>
      </w:r>
      <w:r>
        <w:rPr>
          <w:rFonts w:ascii="Times New Roman" w:hAnsi="Times New Roman"/>
          <w:noProof/>
          <w:sz w:val="24"/>
        </w:rPr>
        <w:t>ise im Luft- und Straßenverkehr bei.</w:t>
      </w:r>
    </w:p>
    <w:p w:rsidR="00152528" w:rsidRDefault="00152528">
      <w:pPr>
        <w:pStyle w:val="Body"/>
        <w:rPr>
          <w:rFonts w:ascii="Times New Roman" w:hAnsi="Times New Roman" w:cs="Times New Roman"/>
          <w:i/>
          <w:noProof/>
        </w:rPr>
      </w:pPr>
    </w:p>
    <w:p w:rsidR="00152528" w:rsidRDefault="00124136">
      <w:pPr>
        <w:pStyle w:val="Body"/>
        <w:jc w:val="center"/>
        <w:rPr>
          <w:rFonts w:ascii="Times New Roman" w:hAnsi="Times New Roman" w:cs="Times New Roman"/>
          <w:i/>
          <w:noProof/>
        </w:rPr>
      </w:pPr>
      <w:r>
        <w:rPr>
          <w:noProof/>
          <w:lang w:val="en-GB" w:eastAsia="en-GB" w:bidi="ar-SA"/>
        </w:rPr>
        <w:drawing>
          <wp:inline distT="0" distB="0" distL="0" distR="0">
            <wp:extent cx="3167380" cy="15798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7380" cy="1579880"/>
                    </a:xfrm>
                    <a:prstGeom prst="rect">
                      <a:avLst/>
                    </a:prstGeom>
                    <a:noFill/>
                    <a:ln>
                      <a:noFill/>
                    </a:ln>
                  </pic:spPr>
                </pic:pic>
              </a:graphicData>
            </a:graphic>
          </wp:inline>
        </w:drawing>
      </w:r>
    </w:p>
    <w:p w:rsidR="00152528" w:rsidRDefault="00124136">
      <w:pPr>
        <w:pStyle w:val="Body"/>
        <w:rPr>
          <w:rFonts w:ascii="Times New Roman" w:hAnsi="Times New Roman" w:cs="Times New Roman"/>
          <w:noProof/>
        </w:rPr>
      </w:pPr>
      <w:r>
        <w:rPr>
          <w:rFonts w:ascii="Times New Roman" w:hAnsi="Times New Roman"/>
          <w:noProof/>
        </w:rPr>
        <w:t>Städte sind die Pioniere des Übergangs zu nachhaltiger Mobilität. Ihnen fällt eine wesentliche Rolle in Form nachhaltiger Stadtplanung, integrierter Raumplanung und der Regelung des Mobilitätsbedarfs und der Mobilitä</w:t>
      </w:r>
      <w:r>
        <w:rPr>
          <w:rFonts w:ascii="Times New Roman" w:hAnsi="Times New Roman"/>
          <w:noProof/>
        </w:rPr>
        <w:t>tsinfrastruktur zu. Städtische Gebiete sollten zudem beim Einsatz von Digitalisierung, Automatisierung und anderen innovativen Lösungen Hilfestellung erhalten und auf aktive Verkehrsformen und gemeinsam genutzte Verkehrsmittel abzielen. Dies reicht vom ver</w:t>
      </w:r>
      <w:r>
        <w:rPr>
          <w:rFonts w:ascii="Times New Roman" w:hAnsi="Times New Roman"/>
          <w:noProof/>
        </w:rPr>
        <w:t xml:space="preserve">mehrten Zu-Fuß-Gehen und Fahrradfahren bis zu Car-Sharing-Diensten und Fahrgemeinschaften. </w:t>
      </w:r>
    </w:p>
    <w:p w:rsidR="00152528" w:rsidRDefault="00124136">
      <w:pPr>
        <w:pStyle w:val="Body"/>
        <w:rPr>
          <w:rFonts w:ascii="Times New Roman" w:hAnsi="Times New Roman" w:cs="Times New Roman"/>
          <w:noProof/>
        </w:rPr>
      </w:pPr>
      <w:r>
        <w:rPr>
          <w:rFonts w:ascii="Times New Roman" w:hAnsi="Times New Roman"/>
          <w:noProof/>
        </w:rPr>
        <w:t>Darüber hinaus müssen das Design und das Ende der Nutzungsdauer von Fahrzeugen sowie die Verkehrsinfrastruktur überprüft werden, um sicherzustellen, dass hier die M</w:t>
      </w:r>
      <w:r>
        <w:rPr>
          <w:rFonts w:ascii="Times New Roman" w:hAnsi="Times New Roman"/>
          <w:noProof/>
        </w:rPr>
        <w:t>öglichkeiten des Übergangs zu einer Kreislaufwirtschaft optimal ausgeschöpft werden. Fahrzeuge, die am Ende ihrer Nutzungsdauer angelangt sind, enthalten noch immer zahlreiche wertvolle Werkstoffe. Nach den EU-Rechtsvorschriften für Altfahrzeuge müssen Her</w:t>
      </w:r>
      <w:r>
        <w:rPr>
          <w:rFonts w:ascii="Times New Roman" w:hAnsi="Times New Roman"/>
          <w:noProof/>
        </w:rPr>
        <w:t xml:space="preserve">steller Neufahrzeuge so gestalten und fertigen, dass sie keine Gefahrenstoffe enthalten und dass die Werkstoffe eines Altfahrzeugs einfach für die Herstellung neuer Produkte wiederverwendet und recycelt werden können. </w:t>
      </w:r>
    </w:p>
    <w:p w:rsidR="00152528" w:rsidRDefault="00124136">
      <w:pPr>
        <w:pStyle w:val="Body"/>
        <w:rPr>
          <w:rFonts w:ascii="Times New Roman" w:hAnsi="Times New Roman" w:cs="Times New Roman"/>
          <w:noProof/>
        </w:rPr>
      </w:pPr>
      <w:r>
        <w:rPr>
          <w:rFonts w:ascii="Times New Roman" w:hAnsi="Times New Roman"/>
          <w:noProof/>
        </w:rPr>
        <w:t>Es kann und sollte noch mehr getan we</w:t>
      </w:r>
      <w:r>
        <w:rPr>
          <w:rFonts w:ascii="Times New Roman" w:hAnsi="Times New Roman"/>
          <w:noProof/>
        </w:rPr>
        <w:t xml:space="preserve">rden, um von der Verwendung von Recyclingstoffen in Fahrzeugen und Verkehrsinfrastruktur zu einem effizienteren Recycling zu gelangen. </w:t>
      </w:r>
      <w:r>
        <w:rPr>
          <w:rStyle w:val="Strong"/>
          <w:rFonts w:ascii="Times New Roman" w:hAnsi="Times New Roman"/>
          <w:b w:val="0"/>
          <w:noProof/>
        </w:rPr>
        <w:t xml:space="preserve">So könnten höhere Rücklauf- und Recyclingquoten bei Elektrofahrzeugbatterien in der EU die Abhängigkeit von importierten </w:t>
      </w:r>
      <w:r>
        <w:rPr>
          <w:rStyle w:val="Strong"/>
          <w:rFonts w:ascii="Times New Roman" w:hAnsi="Times New Roman"/>
          <w:b w:val="0"/>
          <w:noProof/>
        </w:rPr>
        <w:t>Werkstoffen senken und dazu beitragen, den Wert von wiedergewonnenen Werkstoffen in der EU-Wirtschaft zu halten.</w:t>
      </w:r>
      <w:r>
        <w:rPr>
          <w:rFonts w:ascii="Times New Roman" w:hAnsi="Times New Roman"/>
          <w:noProof/>
        </w:rPr>
        <w:t xml:space="preserve"> Zusätzliche – regulatorische und finanzielle – Anreize sind wichtig, um das Kreislaufpotenzial des Verkehrssektors optimal zu nutzen.</w:t>
      </w:r>
    </w:p>
    <w:p w:rsidR="00152528" w:rsidRDefault="00124136">
      <w:pPr>
        <w:pStyle w:val="Heading3"/>
        <w:rPr>
          <w:noProof/>
        </w:rPr>
      </w:pPr>
      <w:bookmarkStart w:id="23" w:name="_Toc536442044"/>
      <w:bookmarkStart w:id="24" w:name="_Toc536555113"/>
      <w:r>
        <w:rPr>
          <w:noProof/>
        </w:rPr>
        <w:t>Sicherste</w:t>
      </w:r>
      <w:r>
        <w:rPr>
          <w:noProof/>
        </w:rPr>
        <w:t>llung einer sozial gerechten Wende</w:t>
      </w:r>
      <w:bookmarkEnd w:id="23"/>
      <w:bookmarkEnd w:id="24"/>
      <w:r>
        <w:rPr>
          <w:noProof/>
        </w:rPr>
        <w:t xml:space="preserve"> </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Solidarität und Wohlstand sind Grundwerte an sich und bilden das Fundament unserer freien und demokratischen Gesellschaften. Die Wende zu ökologisch nachhaltigem Wirtschaftswachstum und Wettbewerb kann nur gelingen, wenn</w:t>
      </w:r>
      <w:r>
        <w:rPr>
          <w:rFonts w:ascii="Times New Roman" w:hAnsi="Times New Roman"/>
          <w:noProof/>
          <w:sz w:val="24"/>
        </w:rPr>
        <w:t xml:space="preserve"> sie gleichzeitig inklusiv ist. Mehr Nachhaltigkeit muss daher auch mit der </w:t>
      </w:r>
      <w:r>
        <w:rPr>
          <w:rFonts w:ascii="Times New Roman" w:hAnsi="Times New Roman"/>
          <w:b/>
          <w:noProof/>
          <w:sz w:val="24"/>
        </w:rPr>
        <w:t>Förderung von sozialen Rechten und Wohlergehen</w:t>
      </w:r>
      <w:r>
        <w:rPr>
          <w:rFonts w:ascii="Times New Roman" w:hAnsi="Times New Roman"/>
          <w:noProof/>
          <w:sz w:val="24"/>
        </w:rPr>
        <w:t xml:space="preserve"> für alle einhergehen, was wiederum zum sozialen Zusammenhalt in den Mitgliedstaaten und in der gesamten EU beiträgt.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Nachhaltig</w:t>
      </w:r>
      <w:r>
        <w:rPr>
          <w:rFonts w:ascii="Times New Roman" w:hAnsi="Times New Roman"/>
          <w:noProof/>
          <w:sz w:val="24"/>
        </w:rPr>
        <w:t>keitswende kann sich sehr positiv auf das soziale Wohlergehen auswirken. Sie bietet nicht nur die Grundlage für menschenwürdige Arbeitsplätze, sondern kann auch erhebliche gesundheitliche Vorteile bieten. Es wird weithin anerkannt, dass ein guter Gesundhei</w:t>
      </w:r>
      <w:r>
        <w:rPr>
          <w:rFonts w:ascii="Times New Roman" w:hAnsi="Times New Roman"/>
          <w:noProof/>
          <w:sz w:val="24"/>
        </w:rPr>
        <w:t>tszustand eng mit dem Zustand unserer natürlichen Umwelt zusammenhängt. Die durch Luft- und Wasserverschmutzung verursachten Gesundheitsschäden sind ein herausragendes Beispiel dafür. Nachhaltige Lebensmittelsysteme können alle Bürgerinnen und Bürger mit h</w:t>
      </w:r>
      <w:r>
        <w:rPr>
          <w:rFonts w:ascii="Times New Roman" w:hAnsi="Times New Roman"/>
          <w:noProof/>
          <w:sz w:val="24"/>
        </w:rPr>
        <w:t>ochwertigen, nahrhaften Lebensmitteln versorgen.</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b/>
          <w:noProof/>
          <w:sz w:val="24"/>
        </w:rPr>
        <w:t>Kasten:</w:t>
      </w:r>
      <w:r>
        <w:rPr>
          <w:rFonts w:ascii="Times New Roman" w:hAnsi="Times New Roman"/>
          <w:noProof/>
          <w:sz w:val="24"/>
        </w:rPr>
        <w:t xml:space="preserve"> Die EU-Rechtsvorschriften über Chemikalien haben erheblich dazu beigetragen, ein hohes Gesundheitsschutzniveau sicherzustellen. In den vergangenen 40 Jahren hat sich die Exposition von Mensch und Umwelt gegenüber gefährlichen Stoffen drastisch verringert.</w:t>
      </w:r>
      <w:r>
        <w:rPr>
          <w:rFonts w:ascii="Times New Roman" w:hAnsi="Times New Roman"/>
          <w:noProof/>
          <w:sz w:val="24"/>
        </w:rPr>
        <w:t xml:space="preserve"> Das EU-Recht hat auch dazu beigetragen, die Exposition gegenüber bestimmten Karzinogenen am Arbeitsplatz zu senken, und so in den vergangenen 20 Jahren in der EU schätzungsweise eine Million neuer Krebserkrankungen verhindert.</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Für die Schaffung von Synerg</w:t>
      </w:r>
      <w:r>
        <w:rPr>
          <w:rFonts w:ascii="Times New Roman" w:hAnsi="Times New Roman"/>
          <w:noProof/>
          <w:sz w:val="24"/>
        </w:rPr>
        <w:t>ien und die Modernisierung unserer Wirtschaft sind in manchen Fällen schwierige Kompromisse nötig. Während bei der Nachhaltigkeitswende neue Arbeitsplätze entstehen, können u. a. durch Digitalisierung und Automatisierung traditionelle Arbeitsplätze vernich</w:t>
      </w:r>
      <w:r>
        <w:rPr>
          <w:rFonts w:ascii="Times New Roman" w:hAnsi="Times New Roman"/>
          <w:noProof/>
          <w:sz w:val="24"/>
        </w:rPr>
        <w:t xml:space="preserve">tet oder umgewandelt werden, was zu vorübergehenden Spannungen auf dem Arbeitsmarkt führen dürfte. Derzeit ist beispielsweise noch nicht klar, wie sich künstliche Intelligenz konkret auf den Arbeitsmarkt auswirken wird.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Auch wenn viele Haushalte kaum über</w:t>
      </w:r>
      <w:r>
        <w:rPr>
          <w:rFonts w:ascii="Times New Roman" w:hAnsi="Times New Roman"/>
          <w:noProof/>
          <w:sz w:val="24"/>
        </w:rPr>
        <w:t xml:space="preserve"> die Runden kommen, setzt sich in der Öffentlichkeit zunehmend das Bewusstsein durch, dass wir anders produzieren und konsumieren müssen. Es ist jedoch durchaus möglich, dass die Bevölkerungsschichten mit mittlerem und geringem Einkommen nicht nur im Vergl</w:t>
      </w:r>
      <w:r>
        <w:rPr>
          <w:rFonts w:ascii="Times New Roman" w:hAnsi="Times New Roman"/>
          <w:noProof/>
          <w:sz w:val="24"/>
        </w:rPr>
        <w:t xml:space="preserve">eich härter von diesen Problemen getroffen werden, sondern dass sie darüber hinaus auch größere Schwierigkeiten haben, ihre Wohnungen oder ihre Fahrzeuge zu modernisieren bzw. ihre beruflichen Kenntnisse auf den neuesten Stand zu bringen.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Wende hat Fo</w:t>
      </w:r>
      <w:r>
        <w:rPr>
          <w:rFonts w:ascii="Times New Roman" w:hAnsi="Times New Roman"/>
          <w:noProof/>
          <w:sz w:val="24"/>
        </w:rPr>
        <w:t>lgen für die Beschäftigten der betroffenen Branchen und manchmal für ganze Regionen. Ein Grundprinzip, um die Wende zu ermöglichen, lautet, dass niemand auf der Strecke bleiben darf. Die Nachhaltigkeitswende kann letztlich nicht gelingen, wenn sie auf Kost</w:t>
      </w:r>
      <w:r>
        <w:rPr>
          <w:rFonts w:ascii="Times New Roman" w:hAnsi="Times New Roman"/>
          <w:noProof/>
          <w:sz w:val="24"/>
        </w:rPr>
        <w:t>en von Gruppen von Menschen, Gemeinschaften, Branchen oder Regionen geht. Allen Mitgliedern unserer Gesellschaft müssen gleiche Chancen geboten werden, ihren Beitrag zu einer nachhaltigen Zukunft Europas zu leisten, und sie sollten alle von der Wende profi</w:t>
      </w:r>
      <w:r>
        <w:rPr>
          <w:rFonts w:ascii="Times New Roman" w:hAnsi="Times New Roman"/>
          <w:noProof/>
          <w:sz w:val="24"/>
        </w:rPr>
        <w:t>tieren. Insbesondere müssen wir es Frauen ermöglichen, erwerbstätig zu sein und nach wirtschaftlicher Unabhängigkeit zu streben.</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Damit wir unsere Gesellschaft auf den Weg der Nachhaltigkeit lenken können, müssen wir sicherstellen, dass unsere politischen M</w:t>
      </w:r>
      <w:r>
        <w:rPr>
          <w:rFonts w:ascii="Times New Roman" w:hAnsi="Times New Roman"/>
          <w:noProof/>
          <w:sz w:val="24"/>
        </w:rPr>
        <w:t>aßnahmen allen Menschen in Europa helfen, diesen Wandel zu bewältigen, indem wir ihnen unter anderem die notwendigen Fertigkeiten vermitteln. So leitete die Kommission beispielsweise die Initiative für Kohleregionen im Wandel ein, die dazu beiträgt, Strate</w:t>
      </w:r>
      <w:r>
        <w:rPr>
          <w:rFonts w:ascii="Times New Roman" w:hAnsi="Times New Roman"/>
          <w:noProof/>
          <w:sz w:val="24"/>
        </w:rPr>
        <w:t>gien und Projekte für einen tragfähigen sozialen, wirtschaftlichen und technologischen Wandel in bestimmten EU-Regionen zu entwickeln, und die an die kohlenstoffintensiven Regionen gerichtet ist. Solche frühen Initiativen, die die Herausforderungen der Wen</w:t>
      </w:r>
      <w:r>
        <w:rPr>
          <w:rFonts w:ascii="Times New Roman" w:hAnsi="Times New Roman"/>
          <w:noProof/>
          <w:sz w:val="24"/>
        </w:rPr>
        <w:t xml:space="preserve">de vorwegnehmen, sollten gestärkt und auf andere Sektoren übertragen werden, in denen ein Wandel erforderlich ist. Ein Beispiel wären der Automobilsektor und bestimmte Branchen der Ernährungswirtschaft. </w:t>
      </w:r>
    </w:p>
    <w:p w:rsidR="00152528" w:rsidRDefault="00124136">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4531649" cy="5961888"/>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31772" cy="5962050"/>
                    </a:xfrm>
                    <a:prstGeom prst="rect">
                      <a:avLst/>
                    </a:prstGeom>
                    <a:noFill/>
                    <a:ln>
                      <a:noFill/>
                    </a:ln>
                  </pic:spPr>
                </pic:pic>
              </a:graphicData>
            </a:graphic>
          </wp:inline>
        </w:drawing>
      </w:r>
    </w:p>
    <w:p w:rsidR="00152528" w:rsidRDefault="00152528">
      <w:pPr>
        <w:spacing w:line="240" w:lineRule="auto"/>
        <w:jc w:val="center"/>
        <w:rPr>
          <w:rFonts w:ascii="Times New Roman" w:hAnsi="Times New Roman" w:cs="Times New Roman"/>
          <w:i/>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Gewährleistung eines sozial inklusiven, gerechten und fairen Übergangs ist zudem unverzichtbar, damit die Öffentlichkeit die notwendigen Schritte akzeptiert und die Wende zu einem Erfolg für alle wird. Dies setzt eine stärkere, gerechtere Teilhabe am A</w:t>
      </w:r>
      <w:r>
        <w:rPr>
          <w:rFonts w:ascii="Times New Roman" w:hAnsi="Times New Roman"/>
          <w:noProof/>
          <w:sz w:val="24"/>
        </w:rPr>
        <w:t xml:space="preserve">rbeitsmarkt voraus, wobei besonders auf die Qualität von Arbeitsplätzen und die Arbeitsbedingungen zu achten ist. Es setzt auch voraus, dass die Rechte von Minderheiten geachtet werden.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In diesem Zusammenhang kann eine geordnete, legale und klug gemanagte</w:t>
      </w:r>
      <w:r>
        <w:rPr>
          <w:rFonts w:ascii="Times New Roman" w:hAnsi="Times New Roman"/>
          <w:noProof/>
          <w:sz w:val="24"/>
        </w:rPr>
        <w:t xml:space="preserve"> Migration Chancen für die europäische Wirtschaft schaffen, wenn sie dem demografischen Wandel in den Herkunfts- und in den Zielländern der Migranten gerecht wird. Die Integration und die volle Teilhabe von Migranten, die sich rechtmäßig und legal in der E</w:t>
      </w:r>
      <w:r>
        <w:rPr>
          <w:rFonts w:ascii="Times New Roman" w:hAnsi="Times New Roman"/>
          <w:noProof/>
          <w:sz w:val="24"/>
        </w:rPr>
        <w:t>U aufhalten, an der Gesellschaft – sei es in kultureller, sozialer oder wirtschaftlicher Hinsicht –, ist eine gemeinsame Verantwortung und unverzichtbar für die Sicherung des sozialen Zusammenhalts.</w:t>
      </w:r>
      <w:r>
        <w:rPr>
          <w:rStyle w:val="FootnoteReference"/>
          <w:rFonts w:ascii="Times New Roman" w:hAnsi="Times New Roman"/>
          <w:noProof/>
          <w:sz w:val="24"/>
        </w:rPr>
        <w:footnoteReference w:id="52"/>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Nachhaltigkeitswende setzt darüber hinaus Investiti</w:t>
      </w:r>
      <w:r>
        <w:rPr>
          <w:rFonts w:ascii="Times New Roman" w:hAnsi="Times New Roman"/>
          <w:noProof/>
          <w:sz w:val="24"/>
        </w:rPr>
        <w:t>onen in wirksame, integrierte Sozialschutzsysteme voraus. Dazu gehören Investitionen in hochwertige Dienstleistungen wie allgemeine und berufliche Bildung, lebenslanges Lernen, Kinderbetreuung, außerschulische Betreuung, Gesundheitswesen und Langzeitpflege</w:t>
      </w:r>
      <w:r>
        <w:rPr>
          <w:rFonts w:ascii="Times New Roman" w:hAnsi="Times New Roman"/>
          <w:noProof/>
          <w:sz w:val="24"/>
        </w:rPr>
        <w:t>. Dies ist für die Chancengleichheit aller und die Förderung der wirtschaftlichen und sozialen Konvergenz unverzichtbar. Insbesondere die Gesundheitssysteme müssen sich so weiterentwickeln, dass sie für alle einfach zugänglich und erschwinglich sind, was a</w:t>
      </w:r>
      <w:r>
        <w:rPr>
          <w:rFonts w:ascii="Times New Roman" w:hAnsi="Times New Roman"/>
          <w:noProof/>
          <w:sz w:val="24"/>
        </w:rPr>
        <w:t>uch den besseren Zugang zu Medikamenten umfasst, dass sie stärker patientenbezogen sind und die Gesundheitsförderung und -vorsorge in den Mittelpunkt stellen. Planung und Prognosen in Bezug auf Fachkräfte im Gesundheitswesen sollten verstärkt und verbesser</w:t>
      </w:r>
      <w:r>
        <w:rPr>
          <w:rFonts w:ascii="Times New Roman" w:hAnsi="Times New Roman"/>
          <w:noProof/>
          <w:sz w:val="24"/>
        </w:rPr>
        <w:t>t werden, und es sollten vermehrt kostenwirksame digitale Technologien zum Einsatz kommen.</w:t>
      </w:r>
      <w:r>
        <w:rPr>
          <w:rStyle w:val="FootnoteReference"/>
          <w:rFonts w:ascii="Times New Roman" w:hAnsi="Times New Roman"/>
          <w:noProof/>
          <w:sz w:val="24"/>
        </w:rPr>
        <w:footnoteReference w:id="53"/>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Soziale Investitionen müssen somit eine der Topprioritäten der EU und ihrer Mitgliedstaaten bleiben. Das Reflexionspapier zur sozialen Dimension Europas</w:t>
      </w:r>
      <w:r>
        <w:rPr>
          <w:rStyle w:val="FootnoteReference"/>
          <w:rFonts w:ascii="Times New Roman" w:hAnsi="Times New Roman"/>
          <w:noProof/>
          <w:sz w:val="24"/>
        </w:rPr>
        <w:footnoteReference w:id="54"/>
      </w:r>
      <w:r>
        <w:rPr>
          <w:rFonts w:ascii="Times New Roman" w:hAnsi="Times New Roman"/>
          <w:noProof/>
          <w:sz w:val="24"/>
        </w:rPr>
        <w:t xml:space="preserve"> ist eine </w:t>
      </w:r>
      <w:r>
        <w:rPr>
          <w:rFonts w:ascii="Times New Roman" w:hAnsi="Times New Roman"/>
          <w:noProof/>
          <w:sz w:val="24"/>
        </w:rPr>
        <w:t>wichtige Referenz, in der ausführlich die Optionen für die Anpassung unserer Sozialmodelle an die anstehenden Herausforderungen untersucht werden. Die von den EU-Organen im November 2017 verkündete Europäische Säule sozialer Rechte ist für die EU der wicht</w:t>
      </w:r>
      <w:r>
        <w:rPr>
          <w:rFonts w:ascii="Times New Roman" w:hAnsi="Times New Roman"/>
          <w:noProof/>
          <w:sz w:val="24"/>
        </w:rPr>
        <w:t xml:space="preserve">igste Rahmen für die nächsten Schritte. Zweck der Säule ist es, Orientierungshilfen für einen erneuerten Prozess zur Verbesserung der Arbeits- und Lebensbedingungen zu geben. Sie enthält wesentliche Grundsätze und Rechte in den Bereichen Beschäftigung und </w:t>
      </w:r>
      <w:r>
        <w:rPr>
          <w:rFonts w:ascii="Times New Roman" w:hAnsi="Times New Roman"/>
          <w:noProof/>
          <w:sz w:val="24"/>
        </w:rPr>
        <w:t>Soziales. Unsere Hauptaufgabe ist nun, die Säule zu konkretisieren. Bei den weiteren Schritten müssen wir dafür sorgen, dass die Umsetzung der Säule dazu beiträgt, dass Menschen die geeigneten Qualifikationen für die passenden Arbeitsplätze erhalten, die a</w:t>
      </w:r>
      <w:r>
        <w:rPr>
          <w:rFonts w:ascii="Times New Roman" w:hAnsi="Times New Roman"/>
          <w:noProof/>
          <w:sz w:val="24"/>
        </w:rPr>
        <w:t xml:space="preserve">uf den Übergang zu einer umweltgerechten Wirtschaft ausgerichtet sind.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Nachhaltigkeitswende muss außerdem auch künftig dazu beitragen, dass die Mitgliedstaaten und die Regionen vertikal wachsen und sich einander annähern; gleichzeitig müssen breitere </w:t>
      </w:r>
      <w:r>
        <w:rPr>
          <w:rFonts w:ascii="Times New Roman" w:hAnsi="Times New Roman"/>
          <w:noProof/>
          <w:sz w:val="24"/>
        </w:rPr>
        <w:t xml:space="preserve">regionale Ungerechtigkeiten und Ungleichheiten in und zwischen städtischen und ländlichen Gebieten in der EU vermieden werden. </w:t>
      </w:r>
    </w:p>
    <w:p w:rsidR="00152528" w:rsidRDefault="00124136">
      <w:pPr>
        <w:spacing w:line="240" w:lineRule="auto"/>
        <w:jc w:val="both"/>
        <w:rPr>
          <w:rFonts w:ascii="Times New Roman" w:hAnsi="Times New Roman" w:cs="Times New Roman"/>
          <w:b/>
          <w:i/>
          <w:noProof/>
          <w:sz w:val="24"/>
          <w:szCs w:val="24"/>
          <w:u w:val="single"/>
        </w:rPr>
      </w:pPr>
      <w:r>
        <w:rPr>
          <w:rFonts w:ascii="Times New Roman" w:hAnsi="Times New Roman"/>
          <w:noProof/>
          <w:color w:val="000000"/>
          <w:sz w:val="24"/>
        </w:rPr>
        <w:t>Zwar handelt es sich bei 75 % des EU-Territoriums um ländlichen Raum, doch leben mehr als zwei Drittel der EU-Bevölkerung in Stä</w:t>
      </w:r>
      <w:r>
        <w:rPr>
          <w:rFonts w:ascii="Times New Roman" w:hAnsi="Times New Roman"/>
          <w:noProof/>
          <w:color w:val="000000"/>
          <w:sz w:val="24"/>
        </w:rPr>
        <w:t>dten.</w:t>
      </w:r>
      <w:r>
        <w:rPr>
          <w:rFonts w:ascii="Times New Roman" w:hAnsi="Times New Roman"/>
          <w:noProof/>
          <w:sz w:val="24"/>
        </w:rPr>
        <w:t xml:space="preserve"> Dort werden bis zu 85 % des BIP der EU erwirtschaftet und rund 60-80 % der Energie verbraucht. Städte werden allgemein mit Problemen wie Verkehrsüberlastung, Mangel an angemessenem Wohnraum, Luftverschmutzung und alternder Infrastruktur konfrontiert.</w:t>
      </w:r>
      <w:r>
        <w:rPr>
          <w:rStyle w:val="FootnoteReference"/>
          <w:rFonts w:ascii="Times New Roman" w:hAnsi="Times New Roman"/>
          <w:noProof/>
          <w:sz w:val="24"/>
        </w:rPr>
        <w:footnoteReference w:id="55"/>
      </w:r>
      <w:r>
        <w:rPr>
          <w:rFonts w:ascii="Times New Roman" w:hAnsi="Times New Roman"/>
          <w:noProof/>
          <w:sz w:val="24"/>
        </w:rPr>
        <w:t xml:space="preserve"> Die Umsetzung und Entwicklung der Städteagenda für die EU sollte auch künftig Priorität haben, und es sollten zunehmend Synergien mit verschiedenen Nachhaltigkeitsstrategien und anderen Instrumenten geschaffen werden.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Außerdem ist der ländliche Raum der</w:t>
      </w:r>
      <w:r>
        <w:rPr>
          <w:rFonts w:ascii="Times New Roman" w:hAnsi="Times New Roman"/>
          <w:noProof/>
          <w:sz w:val="24"/>
        </w:rPr>
        <w:t xml:space="preserve"> wichtigste Lieferant der Lebensmittel, Energie und Werkstoffe, die wir verbrauchen, und hat deswegen für die Nachhaltigkeitswende zentrale Bedeutung. Die Bioökonomie ist ein Beispiel dafür, an welcher Stelle es möglich ist, einen wichtigen Beitrag zur Dek</w:t>
      </w:r>
      <w:r>
        <w:rPr>
          <w:rFonts w:ascii="Times New Roman" w:hAnsi="Times New Roman"/>
          <w:noProof/>
          <w:sz w:val="24"/>
        </w:rPr>
        <w:t>arbonisierung unserer Wirtschaft zu leisten und gleichzeitig Arbeitsplätze im ländlichen Raum zu schaffen. Nachhaltiger Tourismus und nachhaltige Lebensmittelsysteme sind ebenfalls gute Beispiele für wirtschaftliche Chancen im ländlichen Raum, die den Schu</w:t>
      </w:r>
      <w:r>
        <w:rPr>
          <w:rFonts w:ascii="Times New Roman" w:hAnsi="Times New Roman"/>
          <w:noProof/>
          <w:sz w:val="24"/>
        </w:rPr>
        <w:t xml:space="preserve">tz und die Verbesserung des kulturellen und natürlichen Erbes umfassen. </w:t>
      </w:r>
    </w:p>
    <w:p w:rsidR="00152528" w:rsidRDefault="00124136">
      <w:pPr>
        <w:pStyle w:val="CommentText"/>
        <w:jc w:val="both"/>
        <w:rPr>
          <w:rFonts w:ascii="Times New Roman" w:hAnsi="Times New Roman" w:cs="Times New Roman"/>
          <w:noProof/>
          <w:sz w:val="24"/>
          <w:szCs w:val="24"/>
        </w:rPr>
      </w:pPr>
      <w:r>
        <w:rPr>
          <w:rFonts w:ascii="Times New Roman" w:hAnsi="Times New Roman"/>
          <w:noProof/>
          <w:sz w:val="24"/>
        </w:rPr>
        <w:t>EU-Maßnahmen wie die Kohäsionspolitik und die Politik zur Entwicklung des ländlichen Raums (u. a. EU-Maßnahmen für intelligente Dörfer) allein reichen aber nicht aus, und alle Akteure</w:t>
      </w:r>
      <w:r>
        <w:rPr>
          <w:rFonts w:ascii="Times New Roman" w:hAnsi="Times New Roman"/>
          <w:noProof/>
          <w:sz w:val="24"/>
        </w:rPr>
        <w:t>, auch auf nationaler und regionaler Ebene, müssen ihren Beitrag dazu leisten, die Nachhaltigkeitswende zu beschleunigen, und die Regulierungs- und anderen Konzepte anwenden, die den ländlichen Raums stärken und gleichwertige Lebensbedingungen gewährleiste</w:t>
      </w:r>
      <w:r>
        <w:rPr>
          <w:rFonts w:ascii="Times New Roman" w:hAnsi="Times New Roman"/>
          <w:noProof/>
          <w:sz w:val="24"/>
        </w:rPr>
        <w:t xml:space="preserve">n. </w:t>
      </w:r>
    </w:p>
    <w:p w:rsidR="00152528" w:rsidRDefault="00124136">
      <w:pPr>
        <w:pStyle w:val="Heading2"/>
        <w:rPr>
          <w:noProof/>
        </w:rPr>
      </w:pPr>
      <w:bookmarkStart w:id="25" w:name="_Toc532469546"/>
      <w:bookmarkStart w:id="26" w:name="_Toc532469547"/>
      <w:bookmarkStart w:id="27" w:name="_Toc536442045"/>
      <w:bookmarkStart w:id="28" w:name="_Toc536555114"/>
      <w:bookmarkEnd w:id="25"/>
      <w:bookmarkEnd w:id="26"/>
      <w:r>
        <w:rPr>
          <w:noProof/>
        </w:rPr>
        <w:t>Horizontale Faktoren der Nachhaltigkeitswende</w:t>
      </w:r>
      <w:bookmarkEnd w:id="27"/>
      <w:bookmarkEnd w:id="28"/>
    </w:p>
    <w:p w:rsidR="00152528" w:rsidRDefault="00124136">
      <w:pPr>
        <w:pStyle w:val="Heading3"/>
        <w:rPr>
          <w:noProof/>
        </w:rPr>
      </w:pPr>
      <w:bookmarkStart w:id="29" w:name="_Toc536442046"/>
      <w:bookmarkStart w:id="30" w:name="_Toc536555115"/>
      <w:r>
        <w:rPr>
          <w:noProof/>
        </w:rPr>
        <w:t>Bildung, Wissenschaft, Technologie, Forschung, Innovation und Digitalisierung</w:t>
      </w:r>
      <w:bookmarkEnd w:id="29"/>
      <w:bookmarkEnd w:id="30"/>
      <w:r>
        <w:rPr>
          <w:noProof/>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Bildung, Wissenschaft, Technologie, Forschung und Innovation sind die Voraussetzungen dafür, dass durch die Verwirklichung der </w:t>
      </w:r>
      <w:r>
        <w:rPr>
          <w:rFonts w:ascii="Times New Roman" w:hAnsi="Times New Roman"/>
          <w:noProof/>
          <w:sz w:val="24"/>
        </w:rPr>
        <w:t>SDGs eine nachhaltige EU-Wirtschaft erreicht wird.</w:t>
      </w:r>
      <w:r>
        <w:rPr>
          <w:rStyle w:val="FootnoteReference"/>
          <w:rFonts w:ascii="Times New Roman" w:hAnsi="Times New Roman"/>
          <w:noProof/>
          <w:sz w:val="24"/>
        </w:rPr>
        <w:footnoteReference w:id="56"/>
      </w:r>
      <w:r>
        <w:rPr>
          <w:rFonts w:ascii="Times New Roman" w:hAnsi="Times New Roman"/>
          <w:noProof/>
          <w:sz w:val="24"/>
        </w:rPr>
        <w:t xml:space="preserve"> Wir sollten auch künftig Sensibilisierungsmaßnahmen treffen, unsere Wissensbasis verbreitern und unsere Qualifikationen perfektionieren. Wir sollten mehr in diese Bereiche investieren und sie auf die SDGs</w:t>
      </w:r>
      <w:r>
        <w:rPr>
          <w:rFonts w:ascii="Times New Roman" w:hAnsi="Times New Roman"/>
          <w:noProof/>
          <w:sz w:val="24"/>
        </w:rPr>
        <w:t xml:space="preserve"> ausrichten.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Allgemeine und berufliche Bildung sowie lebenslanges Lernen sind unverzichtbar, damit sich eine Nachhaltigkeitskultur herausbilden kann. Die Staats- und Regierungschefs der EU haben vereinbart, auf die Schaffung eines Europäischen Bildungsrau</w:t>
      </w:r>
      <w:r>
        <w:rPr>
          <w:rFonts w:ascii="Times New Roman" w:hAnsi="Times New Roman"/>
          <w:noProof/>
          <w:sz w:val="24"/>
        </w:rPr>
        <w:t>ms bis 2025 hinzuarbeiten, um das volle Potenzial von allgemeiner und beruflicher Bildung sowie Kultur als Triebkräfte für Beschäftigung, Wirtschaftswachstum und soziale Gerechtigkeit zu nutzen. Allgemeinbildung ist sowohl ein Grundwert an sich als auch ei</w:t>
      </w:r>
      <w:r>
        <w:rPr>
          <w:rFonts w:ascii="Times New Roman" w:hAnsi="Times New Roman"/>
          <w:noProof/>
          <w:sz w:val="24"/>
        </w:rPr>
        <w:t>n wertvolles Mittel, um nachhaltige Entwicklung zu erzielen. Die Verbesserung eines gleichberechtigten Zugangs zu inklusiver, hochwertiger allgemeiner und beruflicher Bildung in allen Lebensabschnitten von der frühen Kindheit bis zur Hochschul- und Erwachs</w:t>
      </w:r>
      <w:r>
        <w:rPr>
          <w:rFonts w:ascii="Times New Roman" w:hAnsi="Times New Roman"/>
          <w:noProof/>
          <w:sz w:val="24"/>
        </w:rPr>
        <w:t>enenbildung muss daher im Mittelpunkt stehen. Bildungseinrichtungen aller Ebenen sollten dazu angehalten werden, ihre Tätigkeiten an den SDGs zu orientieren. Sie müssen Unterstützung erhalten, damit sie sich zu Orten entwickeln, an denen die für Nachhaltig</w:t>
      </w:r>
      <w:r>
        <w:rPr>
          <w:rFonts w:ascii="Times New Roman" w:hAnsi="Times New Roman"/>
          <w:noProof/>
          <w:sz w:val="24"/>
        </w:rPr>
        <w:t xml:space="preserve">keit erforderlichen Fertigkeiten nicht nur gelehrt, sondern auch aktiv gelebt werden. Die Reform und Modernisierung von Bildungssystemen sollte vom Bau umweltgerechter Schulen und Campusse bis zur Entwicklung neuer Fertigkeiten für die digitale Wirtschaft </w:t>
      </w:r>
      <w:r>
        <w:rPr>
          <w:rFonts w:ascii="Times New Roman" w:hAnsi="Times New Roman"/>
          <w:noProof/>
          <w:sz w:val="24"/>
        </w:rPr>
        <w:t xml:space="preserve">reichen.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Verbesserung von IKT-Kenntnissen und digitalen Kernkompetenzen im Einklang mit dem EU-Aktionsplan für digitale Bildung</w:t>
      </w:r>
      <w:r>
        <w:rPr>
          <w:rStyle w:val="FootnoteReference"/>
          <w:rFonts w:ascii="Times New Roman" w:hAnsi="Times New Roman"/>
          <w:noProof/>
          <w:sz w:val="24"/>
        </w:rPr>
        <w:footnoteReference w:id="57"/>
      </w:r>
      <w:r>
        <w:rPr>
          <w:rFonts w:ascii="Times New Roman" w:hAnsi="Times New Roman"/>
          <w:noProof/>
          <w:sz w:val="24"/>
        </w:rPr>
        <w:t xml:space="preserve"> und die Fokussierung auf künstliche Intelligenz</w:t>
      </w:r>
      <w:r>
        <w:rPr>
          <w:rStyle w:val="FootnoteReference"/>
          <w:rFonts w:ascii="Times New Roman" w:hAnsi="Times New Roman"/>
          <w:noProof/>
          <w:sz w:val="24"/>
        </w:rPr>
        <w:footnoteReference w:id="58"/>
      </w:r>
      <w:r>
        <w:rPr>
          <w:rFonts w:ascii="Times New Roman" w:hAnsi="Times New Roman"/>
          <w:noProof/>
          <w:sz w:val="24"/>
        </w:rPr>
        <w:t xml:space="preserve"> sollten bei den künftigen Schritten Priorität erhalten. Die Vorteile des </w:t>
      </w:r>
      <w:r>
        <w:rPr>
          <w:rFonts w:ascii="Times New Roman" w:hAnsi="Times New Roman"/>
          <w:noProof/>
          <w:sz w:val="24"/>
        </w:rPr>
        <w:t>digitalen Wandels für die Verwirklichung der SDGs zu nutzen, hat eindeutig Priorität. Die EU hat sich uneingeschränkt dazu verpflichtet, in zentralen digitalen Technologiebereichen wie Vernetzung, Internet der Dinge, Cybersicherheit, Blockchain oder Hochle</w:t>
      </w:r>
      <w:r>
        <w:rPr>
          <w:rFonts w:ascii="Times New Roman" w:hAnsi="Times New Roman"/>
          <w:noProof/>
          <w:sz w:val="24"/>
        </w:rPr>
        <w:t xml:space="preserve">istungsrechnen Kapazitäten und Fachwissen zu entwickeln, behält jedoch gleichzeitig die potenziell negativen externen Effekte von digitaler Infrastruktur im Blick.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Künstliche Intelligenz ist ein Bereich, indem die EU China und den Vereinigten Staaten hint</w:t>
      </w:r>
      <w:r>
        <w:rPr>
          <w:rFonts w:ascii="Times New Roman" w:hAnsi="Times New Roman"/>
          <w:noProof/>
          <w:sz w:val="24"/>
        </w:rPr>
        <w:t>erherhinkt.</w:t>
      </w:r>
      <w:r>
        <w:rPr>
          <w:rStyle w:val="FootnoteReference"/>
          <w:rFonts w:ascii="Times New Roman" w:hAnsi="Times New Roman"/>
          <w:noProof/>
          <w:sz w:val="24"/>
        </w:rPr>
        <w:footnoteReference w:id="59"/>
      </w:r>
      <w:r>
        <w:rPr>
          <w:rFonts w:ascii="Times New Roman" w:hAnsi="Times New Roman"/>
          <w:noProof/>
          <w:sz w:val="24"/>
        </w:rPr>
        <w:t xml:space="preserve"> Die EU muss rasch aufholen, um die wirtschaftlichen Vorteile zu nutzen. Gleichzeitig muss sie weltweit die Führungsrolle bei der Formulierung der neuen ethischen Grundsätze übernehmen, die mit dieser neuen Technologie einhergehen sollten. So k</w:t>
      </w:r>
      <w:r>
        <w:rPr>
          <w:rFonts w:ascii="Times New Roman" w:hAnsi="Times New Roman"/>
          <w:noProof/>
          <w:sz w:val="24"/>
        </w:rPr>
        <w:t>ann die EU gewährleisten, dass künstliche Intelligenz Nettovorteile für Leben und Arbeit der Menschen liefert. Durch künstliche Intelligenz können große Datenmengen unverzüglich verarbeitet werden; dies bietet das Potenzial, die Produktivität in vielen Ber</w:t>
      </w:r>
      <w:r>
        <w:rPr>
          <w:rFonts w:ascii="Times New Roman" w:hAnsi="Times New Roman"/>
          <w:noProof/>
          <w:sz w:val="24"/>
        </w:rPr>
        <w:t>eichen wie Gesundheitswesen, Energie, Landwirtschaft, Bildung und Umweltschutz erheblich zu steigern. Im Agrarsektor beispielsweise nutzen Forscher zurzeit künstliche Intelligenz und Massendaten, um mehrere Monate vor der Ernte die Ernteerträge vorherzusag</w:t>
      </w:r>
      <w:r>
        <w:rPr>
          <w:rFonts w:ascii="Times New Roman" w:hAnsi="Times New Roman"/>
          <w:noProof/>
          <w:sz w:val="24"/>
        </w:rPr>
        <w:t>en und damit den Landwirten potenziell zu helfen, ihre Produktivität zu steigern, indem diese aufgrund dieser Erkenntnisse entscheiden, welche Kulturen sie anbauen. Letztendlich stärkt dies die Sicherheit der Nahrungsmittelversorgung.</w:t>
      </w:r>
      <w:r>
        <w:rPr>
          <w:rStyle w:val="FootnoteReference"/>
          <w:rFonts w:ascii="Times New Roman" w:hAnsi="Times New Roman"/>
          <w:noProof/>
          <w:sz w:val="24"/>
        </w:rPr>
        <w:footnoteReference w:id="60"/>
      </w:r>
    </w:p>
    <w:p w:rsidR="00152528" w:rsidRDefault="00124136">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Forschung und Innovation kommt eine wichtige Rolle als Katalysator des Wandels zu. Sie sind ein Instrument für die Analyse der Auswirkungen des Wandels und ein Mittel, um sicherzustellen, dass jede Wende zu einer Steigerung unseres Wohlergehens führt. Darü</w:t>
      </w:r>
      <w:r>
        <w:rPr>
          <w:rFonts w:ascii="Times New Roman" w:hAnsi="Times New Roman"/>
          <w:noProof/>
          <w:color w:val="000000"/>
          <w:sz w:val="24"/>
          <w:u w:color="000000"/>
          <w:bdr w:val="nil"/>
        </w:rPr>
        <w:t xml:space="preserve">ber hinaus helfen sie uns, Geld zu sparen. </w:t>
      </w:r>
      <w:r>
        <w:rPr>
          <w:rFonts w:ascii="Times New Roman" w:hAnsi="Times New Roman"/>
          <w:noProof/>
          <w:sz w:val="24"/>
        </w:rPr>
        <w:t>Je mehr wir heute in Innovation und technologische Entwicklung investieren, desto weniger wird es auf lange Sicht kosten, unsere langfristigen politischen Zielsetzungen, z. b. im Zusammenhang mit den Klima- und Um</w:t>
      </w:r>
      <w:r>
        <w:rPr>
          <w:rFonts w:ascii="Times New Roman" w:hAnsi="Times New Roman"/>
          <w:noProof/>
          <w:sz w:val="24"/>
        </w:rPr>
        <w:t xml:space="preserve">weltzielen, zu erreichen. </w:t>
      </w:r>
      <w:r>
        <w:rPr>
          <w:rFonts w:ascii="Times New Roman" w:hAnsi="Times New Roman"/>
          <w:noProof/>
          <w:color w:val="000000"/>
          <w:sz w:val="24"/>
          <w:u w:color="000000"/>
          <w:bdr w:val="nil"/>
        </w:rPr>
        <w:t>Europa verfügt über Intelligenz, Fertigkeiten und eine Tradition der Kreativität. Die EU kann auf die Stärken ihrer umfangreichen Forschungs- und Erfindergemeinschaft aufbauen und ist daher gut aufgestellt, um die Vorreiterrolle z</w:t>
      </w:r>
      <w:r>
        <w:rPr>
          <w:rFonts w:ascii="Times New Roman" w:hAnsi="Times New Roman"/>
          <w:noProof/>
          <w:color w:val="000000"/>
          <w:sz w:val="24"/>
          <w:u w:color="000000"/>
          <w:bdr w:val="nil"/>
        </w:rPr>
        <w:t xml:space="preserve">u übernehmen, wenn es darum geht, bahnbrechende Lösungen für grünes, inklusives Wachstum, die in der EU und weltweit anwendbar sind, zu entwickeln und einzusetzen. </w:t>
      </w:r>
    </w:p>
    <w:p w:rsidR="00152528" w:rsidRDefault="00124136">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Um dieses Potenzial vollständig ausschöpfen zu können, müssen die Mitgliedstaaten allerding</w:t>
      </w:r>
      <w:r>
        <w:rPr>
          <w:rFonts w:ascii="Times New Roman" w:hAnsi="Times New Roman"/>
          <w:noProof/>
          <w:color w:val="000000"/>
          <w:sz w:val="24"/>
          <w:u w:color="000000"/>
          <w:bdr w:val="nil"/>
        </w:rPr>
        <w:t>s mehr Mittel für Forschung bereitstellen. Die EU hat vereinbart, dass die EU-Mitgliedstaaten bis 2020 3 % ihres BIP in Forschung, Entwicklung und Innovation investieren sollen – von diesem Ziel sind sie jedoch weit entfernt.</w:t>
      </w:r>
    </w:p>
    <w:p w:rsidR="00152528" w:rsidRDefault="00124136">
      <w:pPr>
        <w:spacing w:line="240" w:lineRule="auto"/>
        <w:jc w:val="center"/>
        <w:rPr>
          <w:rFonts w:ascii="Times New Roman" w:eastAsia="Helvetica" w:hAnsi="Times New Roman" w:cs="Times New Roman"/>
          <w:noProof/>
          <w:color w:val="000000"/>
          <w:sz w:val="24"/>
          <w:szCs w:val="24"/>
          <w:u w:color="000000"/>
          <w:bdr w:val="nil"/>
        </w:rPr>
      </w:pPr>
      <w:r>
        <w:rPr>
          <w:noProof/>
          <w:lang w:val="en-GB" w:eastAsia="en-GB" w:bidi="ar-SA"/>
        </w:rPr>
        <w:drawing>
          <wp:inline distT="0" distB="0" distL="0" distR="0">
            <wp:extent cx="3841845" cy="376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5817" cy="3769643"/>
                    </a:xfrm>
                    <a:prstGeom prst="rect">
                      <a:avLst/>
                    </a:prstGeom>
                    <a:noFill/>
                    <a:ln>
                      <a:noFill/>
                    </a:ln>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color w:val="000000"/>
          <w:sz w:val="24"/>
          <w:u w:color="000000"/>
          <w:bdr w:val="nil"/>
        </w:rPr>
        <w:t>Auf EU-Ebene wirkt das Rahme</w:t>
      </w:r>
      <w:r>
        <w:rPr>
          <w:rFonts w:ascii="Times New Roman" w:hAnsi="Times New Roman"/>
          <w:noProof/>
          <w:color w:val="000000"/>
          <w:sz w:val="24"/>
          <w:u w:color="000000"/>
          <w:bdr w:val="nil"/>
        </w:rPr>
        <w:t>nprogramm für Forschung und Innovation als Katalysator für nachhaltige Wettbewerbsfähigkeit, nachhaltiges Wachstum und nachhaltige Investitionen. Um die Nachhaltigkeitswende voranzutreiben, müssen die Mittel für Forschung und Innovation durch ein strategis</w:t>
      </w:r>
      <w:r>
        <w:rPr>
          <w:rFonts w:ascii="Times New Roman" w:hAnsi="Times New Roman"/>
          <w:noProof/>
          <w:color w:val="000000"/>
          <w:sz w:val="24"/>
          <w:u w:color="000000"/>
          <w:bdr w:val="nil"/>
        </w:rPr>
        <w:t>ches Investitionskonzept ergänzt werden, damit innovative Lösungen auf den Markt gelangen können, für die oft kapitalintensive, risikoreiche Investitionen erforderlich sind.</w:t>
      </w:r>
      <w:r>
        <w:rPr>
          <w:rFonts w:ascii="Times New Roman" w:hAnsi="Times New Roman"/>
          <w:noProof/>
          <w:sz w:val="24"/>
        </w:rPr>
        <w:t xml:space="preserve"> Instrumente wie der Europäische Fonds für strategische Investitionen wurden einger</w:t>
      </w:r>
      <w:r>
        <w:rPr>
          <w:rFonts w:ascii="Times New Roman" w:hAnsi="Times New Roman"/>
          <w:noProof/>
          <w:sz w:val="24"/>
        </w:rPr>
        <w:t>ichtet, um die Risiken solcher Investitionen zu mindern und sie somit für private Akteure interessanter zu machen. Der vor Kurzem vorgeschlagene Europäische Innovationsrat kann hier ebenfalls Hilfestellung geben, indem er erstklassige Innovatoren, Start-up</w:t>
      </w:r>
      <w:r>
        <w:rPr>
          <w:rFonts w:ascii="Times New Roman" w:hAnsi="Times New Roman"/>
          <w:noProof/>
          <w:sz w:val="24"/>
        </w:rPr>
        <w:t>- und kleine Unternehmen sowie Forscher/innen dabei unterstützt, risikoreiche innovative Projekte erfolgreich abzuschließen, international zu expandieren und von einem bereichernden Ideenaustausch zu profitieren.</w:t>
      </w:r>
      <w:r>
        <w:rPr>
          <w:rFonts w:ascii="Times New Roman" w:hAnsi="Times New Roman"/>
          <w:noProof/>
          <w:color w:val="000000"/>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EU und ihre Mitgliedstaaten könnten si</w:t>
      </w:r>
      <w:r>
        <w:rPr>
          <w:rFonts w:ascii="Times New Roman" w:hAnsi="Times New Roman"/>
          <w:noProof/>
          <w:sz w:val="24"/>
        </w:rPr>
        <w:t>ch darauf konzentrieren, zum einen bahnbrechende, disruptive Technologien und innovative Unternehmen mit dem Potenzial, im Zuge der Nachhaltigkeitswende Markführer in der EU und am Weltmarkt zu werden, zu finanzieren und zum anderen für die wirksame, frühz</w:t>
      </w:r>
      <w:r>
        <w:rPr>
          <w:rFonts w:ascii="Times New Roman" w:hAnsi="Times New Roman"/>
          <w:noProof/>
          <w:sz w:val="24"/>
        </w:rPr>
        <w:t>eitige Verbreitung dieser Innovationen zu sorgen. Besondere Aufmerksamkeit sollte auf nachhaltige, innovative Landwirtschaft und Lebensmittelsysteme, saubere Technologie, die Gesundheit von Mensch und Tier, Ökosystemlösungen und ressourceneffiziente Produk</w:t>
      </w:r>
      <w:r>
        <w:rPr>
          <w:rFonts w:ascii="Times New Roman" w:hAnsi="Times New Roman"/>
          <w:noProof/>
          <w:sz w:val="24"/>
        </w:rPr>
        <w:t>te und Produktionsmethoden gerichtet werden. Darüber hinaus ist ein unterstützender Rechtsrahmen erforderlich, der die tatsächliche Verbreitung von Innovation für nachhaltige Entwicklung stimuliert.</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Außerdem müssten die EU und ihre Mitgliedstaaten engere V</w:t>
      </w:r>
      <w:r>
        <w:rPr>
          <w:rFonts w:ascii="Times New Roman" w:hAnsi="Times New Roman"/>
          <w:noProof/>
          <w:sz w:val="24"/>
        </w:rPr>
        <w:t>erbindungen zwischen Forschung und Wirtschaft fördern. Nachhaltige EU-Drehscheiben und -Gründerzentren für Forschung, Entwicklung und Innovation sind für die Unterstützung einer nachhaltigen Entwicklung wichtig, damit Forscher/innen und Unternehmer/innen z</w:t>
      </w:r>
      <w:r>
        <w:rPr>
          <w:rFonts w:ascii="Times New Roman" w:hAnsi="Times New Roman"/>
          <w:noProof/>
          <w:sz w:val="24"/>
        </w:rPr>
        <w:t xml:space="preserve">usammenkommen, bewährte Verfahren austauschen und Impulse für Innovation geben können. Während größere Unternehmen über die Mittel verfügen, um ihre Forschungstätigkeiten unternehmensintern zu entwickeln, ist dies bei kleinen und mittleren Unternehmen oft </w:t>
      </w:r>
      <w:r>
        <w:rPr>
          <w:rFonts w:ascii="Times New Roman" w:hAnsi="Times New Roman"/>
          <w:noProof/>
          <w:sz w:val="24"/>
        </w:rPr>
        <w:t>nicht der Fall. Stärkere und engere Verbindungen zur Forschungsgemeinschaft könnten diese Kluft überbrücken.</w:t>
      </w:r>
    </w:p>
    <w:p w:rsidR="00152528" w:rsidRDefault="00124136">
      <w:pPr>
        <w:pStyle w:val="CommentText"/>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noProof/>
          <w:sz w:val="24"/>
        </w:rPr>
        <w:t>Kasten: Das Europäische Innovations- und Technologieinstitut (EIT) mit 40 Innovationszentren in ganz Europa vereinigt die drei Seiten des Wissensdr</w:t>
      </w:r>
      <w:r>
        <w:rPr>
          <w:rFonts w:ascii="Times New Roman" w:hAnsi="Times New Roman"/>
          <w:noProof/>
          <w:sz w:val="24"/>
        </w:rPr>
        <w:t xml:space="preserve">eiecks (Bildung, Forschung und Unternehmen). Mehrere </w:t>
      </w:r>
      <w:r>
        <w:rPr>
          <w:rFonts w:ascii="Times New Roman" w:hAnsi="Times New Roman"/>
          <w:b/>
          <w:noProof/>
          <w:sz w:val="24"/>
        </w:rPr>
        <w:t>Wissens- und Innovationsgemeinschaften</w:t>
      </w:r>
      <w:r>
        <w:rPr>
          <w:rFonts w:ascii="Times New Roman" w:hAnsi="Times New Roman"/>
          <w:noProof/>
          <w:sz w:val="24"/>
        </w:rPr>
        <w:t xml:space="preserve"> (KIC) wurden gebildet und weitere sind geplant. Diese Gemeinschaften </w:t>
      </w:r>
      <w:r>
        <w:rPr>
          <w:rFonts w:ascii="Times New Roman" w:hAnsi="Times New Roman"/>
          <w:b/>
          <w:noProof/>
          <w:sz w:val="24"/>
        </w:rPr>
        <w:t>befassen sich mit wichtigen gesellschaftlichen Herausforderungen im Zusammenhang mit den SDGs i</w:t>
      </w:r>
      <w:r>
        <w:rPr>
          <w:rFonts w:ascii="Times New Roman" w:hAnsi="Times New Roman"/>
          <w:b/>
          <w:noProof/>
          <w:sz w:val="24"/>
        </w:rPr>
        <w:t>n der EU</w:t>
      </w:r>
      <w:r>
        <w:rPr>
          <w:rFonts w:ascii="Times New Roman" w:hAnsi="Times New Roman"/>
          <w:noProof/>
          <w:sz w:val="24"/>
        </w:rPr>
        <w:t xml:space="preserve"> wie Klima, Energie, Lebensmittel, Gesundheit, Rohstoffe, Digitalisierung, städtische Mobilität und moderne Fertigung. Dabei arbeiten mehr als 1200 Partner aus Wirtschaft, Forschung und Bildung zusammen daran, diese Herausforderungen zu bewältigen.</w:t>
      </w:r>
      <w:r>
        <w:rPr>
          <w:rFonts w:ascii="Times New Roman" w:hAnsi="Times New Roman"/>
          <w:noProof/>
          <w:sz w:val="24"/>
        </w:rPr>
        <w:t xml:space="preserve"> </w:t>
      </w:r>
    </w:p>
    <w:p w:rsidR="00152528" w:rsidRDefault="00124136">
      <w:pPr>
        <w:pStyle w:val="Heading3"/>
        <w:rPr>
          <w:noProof/>
        </w:rPr>
      </w:pPr>
      <w:bookmarkStart w:id="31" w:name="_Toc535923848"/>
      <w:bookmarkStart w:id="32" w:name="_Toc536555116"/>
      <w:r>
        <w:rPr>
          <w:noProof/>
        </w:rPr>
        <w:t>Finanzen, Preisgestaltung, Steuern und Wettbewerb</w:t>
      </w:r>
      <w:bookmarkEnd w:id="31"/>
      <w:bookmarkEnd w:id="32"/>
    </w:p>
    <w:p w:rsidR="00152528" w:rsidRDefault="00152528">
      <w:pPr>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Mittel- bis langfristig wird uns Untätigkeit teuer zu stehen kommen, während die  Nachhaltigkeitswende kurzfristig umfangreiche Investitionen und eine tiefgreifende Umgestaltung des Finanzsystems erforde</w:t>
      </w:r>
      <w:r>
        <w:rPr>
          <w:rFonts w:ascii="Times New Roman" w:hAnsi="Times New Roman"/>
          <w:noProof/>
          <w:sz w:val="24"/>
        </w:rPr>
        <w:t>rt. Die Verwirklichung der SDGs dürfte weltweit insgesamt mit etwa 4,5 bis 6 Billionen EUR zu Buche schlagen</w:t>
      </w:r>
      <w:r>
        <w:rPr>
          <w:rStyle w:val="FootnoteReference"/>
          <w:rFonts w:ascii="Times New Roman" w:hAnsi="Times New Roman"/>
          <w:noProof/>
          <w:sz w:val="24"/>
        </w:rPr>
        <w:footnoteReference w:id="61"/>
      </w:r>
      <w:r>
        <w:rPr>
          <w:rFonts w:ascii="Times New Roman" w:hAnsi="Times New Roman"/>
          <w:noProof/>
          <w:sz w:val="24"/>
        </w:rPr>
        <w:t>. Damit die von der EU in Paris vereinbarten Klimaziele, wie die 40 %ige Senkung der Treibhausgasemissionen bis 2030, erreicht werden können, müsse</w:t>
      </w:r>
      <w:r>
        <w:rPr>
          <w:rFonts w:ascii="Times New Roman" w:hAnsi="Times New Roman"/>
          <w:noProof/>
          <w:sz w:val="24"/>
        </w:rPr>
        <w:t>n zusätzliche Investitionen in Höhe von etwa 180 Mrd. EUR aufgebracht werden. Auch wenn die öffentlichen Mittel effizienter und intelligenter auf die Verwirklichung der SDGs ausgerichtet werden, kann dieser Finanzbedarf nicht ohne eine stärkere Unterstützu</w:t>
      </w:r>
      <w:r>
        <w:rPr>
          <w:rFonts w:ascii="Times New Roman" w:hAnsi="Times New Roman"/>
          <w:noProof/>
          <w:sz w:val="24"/>
        </w:rPr>
        <w:t xml:space="preserve">ng des privaten Sektors gedeckt werden. Diese Mobilisierung von Finanzmitteln für die Wende muss jedoch mit dem Auslaufen der Finanzierung von Projekten einhergehen, die dem Ziel eines grünen und inklusiven Wirtschaftswachstums abträglich sind.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Invest</w:t>
      </w:r>
      <w:r>
        <w:rPr>
          <w:rFonts w:ascii="Times New Roman" w:hAnsi="Times New Roman"/>
          <w:noProof/>
          <w:sz w:val="24"/>
        </w:rPr>
        <w:t>itionsoffensive für Europa zielt darauf ab, privates Kapital für die Bereitstellung öffentlicher Güter zu mobilisieren. Der 2015 als Finanzierungsinstrument der Offensive eingerichtete Europäische Fonds für nachhaltige Entwicklung konnte bislang Investitio</w:t>
      </w:r>
      <w:r>
        <w:rPr>
          <w:rFonts w:ascii="Times New Roman" w:hAnsi="Times New Roman"/>
          <w:noProof/>
          <w:sz w:val="24"/>
        </w:rPr>
        <w:t xml:space="preserve">nen von insgesamt 370 Mrd. EUR in den für die Modernisierung der europäischen Wirtschaft maßgeblichen Bereichen anstoßen. Dazu gehören erneuerbare Energien, Energieeffizienz, Forschung, Entwicklung und Innovation sowie soziale Infrastrukturen wie sozialer </w:t>
      </w:r>
      <w:r>
        <w:rPr>
          <w:rFonts w:ascii="Times New Roman" w:hAnsi="Times New Roman"/>
          <w:noProof/>
          <w:sz w:val="24"/>
        </w:rPr>
        <w:t>oder bezahlbarer Wohnraum. Die Kommission hat vorgeschlagen, im nächsten Haushaltsrahmen von 2021 bis 2027 die Haushaltsmittel für den sozialen Sektor, einschließlich des sozialen Unternehmertums, zu verdoppeln und nur nachhaltige Infrastrukturen zu finanz</w:t>
      </w:r>
      <w:r>
        <w:rPr>
          <w:rFonts w:ascii="Times New Roman" w:hAnsi="Times New Roman"/>
          <w:noProof/>
          <w:sz w:val="24"/>
        </w:rPr>
        <w:t>ieren. Die Europäische Investitionsbank-Gruppe ist bereits heute der weltweit größte multilaterale Geber für den Klimaschutz und hat zugesagt, mindestens 25 % seiner Investitionen für die Eindämmung des Klimawandels und die Anpassung an den Klimawandel ber</w:t>
      </w:r>
      <w:r>
        <w:rPr>
          <w:rFonts w:ascii="Times New Roman" w:hAnsi="Times New Roman"/>
          <w:noProof/>
          <w:sz w:val="24"/>
        </w:rPr>
        <w:t xml:space="preserve">eitzustellen.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Kommission hat außerdem einen Fahrplan vorgelegt, der sich auf die Empfehlungen einer hochrangigen Expertengruppe stützt und </w:t>
      </w:r>
      <w:r>
        <w:rPr>
          <w:rFonts w:ascii="Times New Roman" w:hAnsi="Times New Roman" w:cs="Times New Roman"/>
          <w:noProof/>
          <w:sz w:val="24"/>
          <w:szCs w:val="24"/>
        </w:rPr>
        <w:t>mit dem die Rolle des Finanzsektors bei der Verwirklichung einer gut funktionierenden Wirtschaft, in der auch um</w:t>
      </w:r>
      <w:r>
        <w:rPr>
          <w:rFonts w:ascii="Times New Roman" w:hAnsi="Times New Roman" w:cs="Times New Roman"/>
          <w:noProof/>
          <w:sz w:val="24"/>
          <w:szCs w:val="24"/>
        </w:rPr>
        <w:t>welt- und sozialpolitische Ziele vorangebracht werden, gestärkt werden soll.</w:t>
      </w:r>
      <w:r>
        <w:rPr>
          <w:rFonts w:ascii="Times New Roman" w:hAnsi="Times New Roman"/>
          <w:noProof/>
          <w:sz w:val="24"/>
        </w:rPr>
        <w:t xml:space="preserve"> Der Aktionsplan für ein nachhaltiges Finanzwesen</w:t>
      </w:r>
      <w:r>
        <w:rPr>
          <w:rStyle w:val="FootnoteReference"/>
          <w:rFonts w:ascii="Times New Roman" w:hAnsi="Times New Roman"/>
          <w:noProof/>
          <w:sz w:val="24"/>
        </w:rPr>
        <w:footnoteReference w:id="62"/>
      </w:r>
      <w:r>
        <w:rPr>
          <w:rFonts w:ascii="Times New Roman" w:hAnsi="Times New Roman"/>
          <w:noProof/>
          <w:sz w:val="24"/>
        </w:rPr>
        <w:t xml:space="preserve"> und die darauf folgenden Legislativvorschläge werden Investoren dabei helfen, fundierte Anlageentscheidungen auf der Grundlage kl</w:t>
      </w:r>
      <w:r>
        <w:rPr>
          <w:rFonts w:ascii="Times New Roman" w:hAnsi="Times New Roman"/>
          <w:noProof/>
          <w:sz w:val="24"/>
        </w:rPr>
        <w:t>arer Kriterien für nachhaltige Investitionen zu treffen. Dies dürfte dazu beitragen, rascher und in größerem Umfang Investitionen in nachhaltige Projekte sowohl in der EU als auch weltweit auf den Weg zu bringen und Investoren von nicht nachhaltigen Invest</w:t>
      </w:r>
      <w:r>
        <w:rPr>
          <w:rFonts w:ascii="Times New Roman" w:hAnsi="Times New Roman"/>
          <w:noProof/>
          <w:sz w:val="24"/>
        </w:rPr>
        <w:t xml:space="preserve">itionen abzuhalten. </w:t>
      </w:r>
    </w:p>
    <w:p w:rsidR="00152528" w:rsidRDefault="00152528">
      <w:pPr>
        <w:autoSpaceDE w:val="0"/>
        <w:autoSpaceDN w:val="0"/>
        <w:adjustRightInd w:val="0"/>
        <w:spacing w:after="0" w:line="240" w:lineRule="auto"/>
        <w:jc w:val="both"/>
        <w:rPr>
          <w:rFonts w:ascii="Times New Roman" w:hAnsi="Times New Roman" w:cs="Times New Roman"/>
          <w:i/>
          <w:noProof/>
          <w:color w:val="000000"/>
          <w:sz w:val="24"/>
          <w:szCs w:val="24"/>
        </w:rPr>
      </w:pPr>
    </w:p>
    <w:p w:rsidR="00152528" w:rsidRDefault="00124136">
      <w:pPr>
        <w:autoSpaceDE w:val="0"/>
        <w:autoSpaceDN w:val="0"/>
        <w:adjustRightInd w:val="0"/>
        <w:spacing w:after="0" w:line="240" w:lineRule="auto"/>
        <w:jc w:val="center"/>
        <w:rPr>
          <w:rFonts w:ascii="Times New Roman" w:hAnsi="Times New Roman" w:cs="Times New Roman"/>
          <w:i/>
          <w:noProof/>
          <w:color w:val="000000"/>
          <w:sz w:val="24"/>
          <w:szCs w:val="24"/>
        </w:rPr>
      </w:pPr>
      <w:r>
        <w:rPr>
          <w:noProof/>
          <w:lang w:val="en-GB" w:eastAsia="en-GB" w:bidi="ar-SA"/>
        </w:rPr>
        <w:drawing>
          <wp:inline distT="0" distB="0" distL="0" distR="0">
            <wp:extent cx="3412067" cy="28994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13107" cy="2900286"/>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i/>
          <w:noProof/>
          <w:color w:val="000000"/>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Ein weiterer Schwerpunkt sollte darauf gelegt werden, das nachhaltige Finanzwesen mit der Realwirtschaft zu verknüpfen, damit der zunehmenden Nachfrage nach nachhaltigen Produkten und Dienstleistungen  seitens der Investoren ein </w:t>
      </w:r>
      <w:r>
        <w:rPr>
          <w:rFonts w:ascii="Times New Roman" w:hAnsi="Times New Roman"/>
          <w:noProof/>
          <w:sz w:val="24"/>
        </w:rPr>
        <w:t>breiteres Angebot gegenüber steht. Dabei ist eine angemessene Einpreisung externer Effekte von entscheidender Bedeutung. Zusätzliche Anstrengungen sollten unternommen werden, um die europäischen Bürgerinnen und Bürger über das Finanzwesen zu informieren un</w:t>
      </w:r>
      <w:r>
        <w:rPr>
          <w:rFonts w:ascii="Times New Roman" w:hAnsi="Times New Roman"/>
          <w:noProof/>
          <w:sz w:val="24"/>
        </w:rPr>
        <w:t>d sie über die von ihnen finanzierte Unternehmenstätigkeit aufzuklären, aber auch darüber, wie sie die Fondsverwalter zur Rechenschaft ziehen können, wenn ihr Geld nicht nachhaltig verwaltet wird.</w:t>
      </w:r>
    </w:p>
    <w:p w:rsidR="00152528" w:rsidRDefault="0012413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 xml:space="preserve">Die EU leitet einen umfassenden Wandel des Finanzsystems </w:t>
      </w:r>
      <w:r>
        <w:rPr>
          <w:rFonts w:ascii="Times New Roman" w:hAnsi="Times New Roman"/>
          <w:b/>
          <w:noProof/>
          <w:sz w:val="24"/>
        </w:rPr>
        <w:t>hin zu mehr Nachhaltigkeit ein durch:</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die Entwicklung einer „gemeinsamen Sprache“</w:t>
      </w:r>
      <w:r>
        <w:rPr>
          <w:noProof/>
        </w:rPr>
        <w:t>:</w:t>
      </w:r>
      <w:r>
        <w:rPr>
          <w:rFonts w:ascii="Times New Roman" w:hAnsi="Times New Roman"/>
          <w:noProof/>
          <w:sz w:val="24"/>
        </w:rPr>
        <w:t xml:space="preserve"> Ein einheitliches EU-Klassifikationssystems („Taxonomie“) soll für Klarheit darüber sorgen, welche Wirtschaftstätigkeiten nachhaltig sind und in welchen Bereichen nachhaltig</w:t>
      </w:r>
      <w:r>
        <w:rPr>
          <w:rFonts w:ascii="Times New Roman" w:hAnsi="Times New Roman"/>
          <w:noProof/>
          <w:sz w:val="24"/>
        </w:rPr>
        <w:t xml:space="preserve">e Investitionen größtmögliche Wirkung entfalten können; </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die Verringerung des Risikos der „Grünfärberei“</w:t>
      </w:r>
      <w:r>
        <w:rPr>
          <w:rFonts w:ascii="Times New Roman" w:hAnsi="Times New Roman"/>
          <w:noProof/>
          <w:sz w:val="24"/>
        </w:rPr>
        <w:t xml:space="preserve">: Durch die Einführung von </w:t>
      </w:r>
      <w:r>
        <w:rPr>
          <w:rStyle w:val="Strong"/>
          <w:rFonts w:ascii="Times New Roman" w:hAnsi="Times New Roman"/>
          <w:b w:val="0"/>
          <w:noProof/>
          <w:sz w:val="24"/>
        </w:rPr>
        <w:t>EU-Standards und -Kennzeichnungen</w:t>
      </w:r>
      <w:r>
        <w:rPr>
          <w:rFonts w:ascii="Times New Roman" w:hAnsi="Times New Roman"/>
          <w:noProof/>
          <w:sz w:val="24"/>
        </w:rPr>
        <w:t xml:space="preserve"> für grüne Finanzprodukte können Investoren leicht feststellen, welche Investitionen den Kri</w:t>
      </w:r>
      <w:r>
        <w:rPr>
          <w:rFonts w:ascii="Times New Roman" w:hAnsi="Times New Roman"/>
          <w:noProof/>
          <w:sz w:val="24"/>
        </w:rPr>
        <w:t xml:space="preserve">terien der Umweltfreundlichkeit oder Emissionsarmut genügen; </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die Einbeziehung der Nachhaltigkeit in die Anlageberatung</w:t>
      </w:r>
      <w:r>
        <w:rPr>
          <w:b/>
          <w:noProof/>
        </w:rPr>
        <w:t>:</w:t>
      </w:r>
      <w:r>
        <w:rPr>
          <w:rFonts w:ascii="Times New Roman" w:hAnsi="Times New Roman"/>
          <w:noProof/>
          <w:sz w:val="24"/>
        </w:rPr>
        <w:t xml:space="preserve"> Versicherungsunternehmen und Wertpapierfirmen werden verpflichtet, Kunden entsprechend ihren Nachhaltigkeitspräferenzen zu beraten;</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die</w:t>
      </w:r>
      <w:r>
        <w:rPr>
          <w:rFonts w:ascii="Times New Roman" w:hAnsi="Times New Roman"/>
          <w:b/>
          <w:noProof/>
          <w:sz w:val="24"/>
        </w:rPr>
        <w:t xml:space="preserve"> Erarbeitung von Nachhaltigkeitsbenchmarks und die Stärkung ihrer Transparenz;</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die Klarstellung der Pflichten von institutionellen Anlegern und Vermögensverwaltern:</w:t>
      </w:r>
      <w:r>
        <w:rPr>
          <w:rFonts w:ascii="Times New Roman" w:hAnsi="Times New Roman"/>
          <w:noProof/>
          <w:sz w:val="24"/>
        </w:rPr>
        <w:t xml:space="preserve"> Die Berücksichtigung des Kriteriums der Nachhaltigkeit bei den Investitionsentscheidungen m</w:t>
      </w:r>
      <w:r>
        <w:rPr>
          <w:rFonts w:ascii="Times New Roman" w:hAnsi="Times New Roman"/>
          <w:noProof/>
          <w:sz w:val="24"/>
        </w:rPr>
        <w:t>uss gewährleistet und mehr Nachdruck auf ihre Offenlegungspflichten gelegt werden;</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die Stärkung der Transparenz der Berichterstattung von </w:t>
      </w:r>
      <w:r>
        <w:rPr>
          <w:rStyle w:val="Strong"/>
          <w:rFonts w:ascii="Times New Roman" w:hAnsi="Times New Roman" w:cs="Times New Roman"/>
          <w:noProof/>
          <w:sz w:val="24"/>
          <w:szCs w:val="24"/>
        </w:rPr>
        <w:t>Unternehmen</w:t>
      </w:r>
      <w:r>
        <w:rPr>
          <w:b/>
          <w:noProof/>
        </w:rPr>
        <w:t>:</w:t>
      </w:r>
      <w:r>
        <w:rPr>
          <w:rFonts w:ascii="Times New Roman" w:hAnsi="Times New Roman"/>
          <w:noProof/>
          <w:sz w:val="24"/>
        </w:rPr>
        <w:t xml:space="preserve"> Aktualisierung der Leitlinien für die Offenlegung nichtfinanzieller Informationen. </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noProof/>
          <w:sz w:val="24"/>
          <w:szCs w:val="24"/>
        </w:rPr>
      </w:pPr>
      <w:r>
        <w:rPr>
          <w:rFonts w:ascii="Times New Roman" w:hAnsi="Times New Roman"/>
          <w:b/>
          <w:noProof/>
          <w:sz w:val="24"/>
        </w:rPr>
        <w:t xml:space="preserve">die Einbindung der </w:t>
      </w:r>
      <w:r>
        <w:rPr>
          <w:rFonts w:ascii="Times New Roman" w:hAnsi="Times New Roman"/>
          <w:b/>
          <w:noProof/>
          <w:sz w:val="24"/>
        </w:rPr>
        <w:t>Nachhaltigkeit in die Aufsichtsvorschriften:</w:t>
      </w:r>
      <w:r>
        <w:rPr>
          <w:rFonts w:ascii="Times New Roman" w:hAnsi="Times New Roman"/>
          <w:noProof/>
          <w:sz w:val="24"/>
        </w:rPr>
        <w:t xml:space="preserve"> Einbeziehung des sogenannten „green supporting factor“, sofern dies aus der Risikoperspektive gerechtfertigt ist, um die Finanzstabilität zu gewährleisten.</w:t>
      </w:r>
    </w:p>
    <w:p w:rsidR="00152528" w:rsidRDefault="00152528">
      <w:pPr>
        <w:spacing w:line="240" w:lineRule="auto"/>
        <w:jc w:val="both"/>
        <w:rPr>
          <w:rFonts w:ascii="Times New Roman" w:hAnsi="Times New Roman" w:cs="Times New Roman"/>
          <w:noProof/>
          <w:sz w:val="24"/>
          <w:szCs w:val="24"/>
        </w:rPr>
      </w:pPr>
    </w:p>
    <w:p w:rsidR="00152528" w:rsidRDefault="00124136">
      <w:pPr>
        <w:spacing w:after="0" w:line="240" w:lineRule="auto"/>
        <w:jc w:val="both"/>
        <w:rPr>
          <w:rFonts w:ascii="Times New Roman" w:hAnsi="Times New Roman" w:cs="Times New Roman"/>
          <w:noProof/>
          <w:sz w:val="24"/>
          <w:szCs w:val="24"/>
        </w:rPr>
      </w:pPr>
      <w:r>
        <w:rPr>
          <w:rFonts w:ascii="Times New Roman" w:hAnsi="Times New Roman"/>
          <w:noProof/>
          <w:sz w:val="24"/>
        </w:rPr>
        <w:t>Um die finanzielle Grundlage von Investitionen der öff</w:t>
      </w:r>
      <w:r>
        <w:rPr>
          <w:rFonts w:ascii="Times New Roman" w:hAnsi="Times New Roman"/>
          <w:noProof/>
          <w:sz w:val="24"/>
        </w:rPr>
        <w:t>entlichen Hand in die Nachhaltigkeitswende zu erhalten, sind auf allen Ebenen nachhaltige Fiskalreformen erforderlich. Wir sollten außerdem die Steuervermeidung durch Unternehmen und das Steuerdumping entschiedener bekämpfen. Hier ist eine transnationale Z</w:t>
      </w:r>
      <w:r>
        <w:rPr>
          <w:rFonts w:ascii="Times New Roman" w:hAnsi="Times New Roman"/>
          <w:noProof/>
          <w:sz w:val="24"/>
        </w:rPr>
        <w:t xml:space="preserve">usammenarbeit erforderlich, um gegen Steueroasen vorzugehen, die die Steuerbemessungsgrundlage sowohl in der EU als auch in den Entwicklungsländern aushöhlen. </w:t>
      </w:r>
    </w:p>
    <w:p w:rsidR="00152528" w:rsidRDefault="00152528">
      <w:pPr>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Grundsätzlich sollten die Steuersysteme in der EU und die Preisgestaltung so konzipiert sein, d</w:t>
      </w:r>
      <w:r>
        <w:rPr>
          <w:rFonts w:ascii="Times New Roman" w:hAnsi="Times New Roman"/>
          <w:noProof/>
          <w:sz w:val="24"/>
        </w:rPr>
        <w:t>ass sie die tatsächlichen Kosten widerspiegeln, unsere wichtigsten sozialen und ökologischen Probleme angehen und Verhaltensänderungen in der gesamten Wirtschaft nach sich ziehen. Voraussetzung für einen nachhaltigen Wettbewerb sind Preise, die - durch die</w:t>
      </w:r>
      <w:r>
        <w:rPr>
          <w:rFonts w:ascii="Times New Roman" w:hAnsi="Times New Roman"/>
          <w:noProof/>
          <w:sz w:val="24"/>
        </w:rPr>
        <w:t xml:space="preserve"> Internalisierung externer Effekte - die tatsächlichen Produktions- und Nutzungskosten widerspiegeln</w:t>
      </w:r>
      <w:r>
        <w:rPr>
          <w:rStyle w:val="FootnoteReference"/>
          <w:rFonts w:ascii="Times New Roman" w:hAnsi="Times New Roman"/>
          <w:noProof/>
          <w:sz w:val="24"/>
        </w:rPr>
        <w:footnoteReference w:id="63"/>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Regulierungsbehörden, Führungskräfte aus der Wirtschaft und die Zivilgesellschaft müssen zusammenarbeiten, um im Einklang mit den SDGs gleiche Wettbewer</w:t>
      </w:r>
      <w:r>
        <w:rPr>
          <w:rFonts w:ascii="Times New Roman" w:hAnsi="Times New Roman"/>
          <w:noProof/>
          <w:sz w:val="24"/>
        </w:rPr>
        <w:t xml:space="preserve">bsbedingungen zu schaffen und eine Entwicklung anzukurbeln, durch die nachhaltige Produkte und Dienstleistungen am erschwinglichsten werden.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Dies sollte mit entsprechenden Änderungen der Steuersysteme in den Mitgliedstaaten einhergehen, die eine steuerlic</w:t>
      </w:r>
      <w:r>
        <w:rPr>
          <w:rFonts w:ascii="Times New Roman" w:hAnsi="Times New Roman"/>
          <w:noProof/>
          <w:sz w:val="24"/>
        </w:rPr>
        <w:t>he Entlastung der Arbeit und einer Erhöhung der Steuern auf Kapital, Umweltverschmutzung, unterpreisigen Ressourcen und andere ökologische externe Effekte vorsehen</w:t>
      </w:r>
      <w:r>
        <w:rPr>
          <w:rStyle w:val="FootnoteReference"/>
          <w:rFonts w:ascii="Times New Roman" w:hAnsi="Times New Roman"/>
          <w:noProof/>
          <w:sz w:val="24"/>
        </w:rPr>
        <w:footnoteReference w:id="64"/>
      </w:r>
      <w:r>
        <w:rPr>
          <w:rFonts w:ascii="Times New Roman" w:hAnsi="Times New Roman"/>
          <w:noProof/>
          <w:sz w:val="24"/>
        </w:rPr>
        <w:t xml:space="preserve">. Dabei müssen das Nutzer- und das Verursacherprinzip Anwendung finden, um Umweltzerstörung </w:t>
      </w:r>
      <w:r>
        <w:rPr>
          <w:rFonts w:ascii="Times New Roman" w:hAnsi="Times New Roman"/>
          <w:noProof/>
          <w:sz w:val="24"/>
        </w:rPr>
        <w:t xml:space="preserve">zu verhindern oder rückgängig zu machen und zu vermeiden, dass dafür der Steuerzahler aufkommen soll. Derzeit sind in der EU die Einnahmen aus Steuern auf Arbeit weiterhin achtmal höher als die Einnahmen aus Umweltsteuern, und im Laufe der Jahre haben nur </w:t>
      </w:r>
      <w:r>
        <w:rPr>
          <w:rFonts w:ascii="Times New Roman" w:hAnsi="Times New Roman"/>
          <w:noProof/>
          <w:sz w:val="24"/>
        </w:rPr>
        <w:t xml:space="preserve">wenige EU-Mitgliedstaaten den Anteil ihrer Steuern auf Arbeit gesenkt, wohingegen der Anteil ihrer Umweltsteuern erhöht wurde.  </w:t>
      </w:r>
    </w:p>
    <w:p w:rsidR="00152528" w:rsidRDefault="00152528">
      <w:pPr>
        <w:spacing w:line="240" w:lineRule="auto"/>
        <w:jc w:val="both"/>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2591025" cy="121168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91025" cy="1211685"/>
                    </a:xfrm>
                    <a:prstGeom prst="rect">
                      <a:avLst/>
                    </a:prstGeom>
                  </pic:spPr>
                </pic:pic>
              </a:graphicData>
            </a:graphic>
          </wp:inline>
        </w:drawing>
      </w:r>
    </w:p>
    <w:p w:rsidR="00152528" w:rsidRDefault="0012413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noProof/>
          <w:sz w:val="24"/>
          <w:szCs w:val="24"/>
        </w:rPr>
      </w:pPr>
      <w:r>
        <w:rPr>
          <w:rFonts w:ascii="Times New Roman" w:hAnsi="Times New Roman"/>
          <w:b/>
          <w:noProof/>
          <w:color w:val="000000"/>
          <w:sz w:val="24"/>
        </w:rPr>
        <w:t>Die externen Kosten des Verkehrs in der EU sind  hoch.</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 xml:space="preserve">Die Europäische Kommission hat eine Studie über die Internalisierung </w:t>
      </w:r>
      <w:r>
        <w:rPr>
          <w:rFonts w:ascii="Times New Roman" w:hAnsi="Times New Roman"/>
          <w:noProof/>
          <w:sz w:val="24"/>
        </w:rPr>
        <w:t>externer Kosten in Bezug auf alle Verkehrsträger in Auftrag gegeben, bei der auch Verkehrsüberlastung, Unfälle, CO</w:t>
      </w:r>
      <w:r>
        <w:rPr>
          <w:rFonts w:ascii="Times New Roman" w:hAnsi="Times New Roman"/>
          <w:noProof/>
          <w:sz w:val="24"/>
          <w:vertAlign w:val="superscript"/>
        </w:rPr>
        <w:t>2</w:t>
      </w:r>
      <w:r>
        <w:rPr>
          <w:rFonts w:ascii="Times New Roman" w:hAnsi="Times New Roman"/>
          <w:noProof/>
          <w:sz w:val="24"/>
        </w:rPr>
        <w:t>-Emissionen, Lärm, Luftverschmutzung und Schädigung von Lebensräumen berücksichtigt und diese Kosten den von den Nutzern getragenen Kosten ge</w:t>
      </w:r>
      <w:r>
        <w:rPr>
          <w:rFonts w:ascii="Times New Roman" w:hAnsi="Times New Roman"/>
          <w:noProof/>
          <w:sz w:val="24"/>
        </w:rPr>
        <w:t>genübergestellt werden. Sie soll zeigen, inwieweit das Nutzer- und das Verursacherprinzip in der EU umgesetzt werden, und Optionen für eine weitere Internalisierung der negativen externen Effekte aufzeigen. Vorläufigen Ergebnissen zufolge wird das Gesamtvo</w:t>
      </w:r>
      <w:r>
        <w:rPr>
          <w:rFonts w:ascii="Times New Roman" w:hAnsi="Times New Roman"/>
          <w:noProof/>
          <w:sz w:val="24"/>
        </w:rPr>
        <w:t>lumen der externen Kosten des Verkehrs in den EU-Mitgliedstaaten auf rund 1 000 Mrd. EUR pro Jahr geschätzt, was fast 7 % des BIP entspricht. Die Ergebnisse dieser Studie, die bis Mitte 2019 abgeschlossen sein soll, werden einen wichtigen Beitrag zu den an</w:t>
      </w:r>
      <w:r>
        <w:rPr>
          <w:rFonts w:ascii="Times New Roman" w:hAnsi="Times New Roman"/>
          <w:noProof/>
          <w:sz w:val="24"/>
        </w:rPr>
        <w:t xml:space="preserve">stehenden Debatten über die Zukunft der EU-Verkehrspolitik leisten.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Ferner müssen wir eine sozial gerechte Nachhaltigkeitswende sicherstellen, deren Kosten gleichermaßen auf die Steuerzahler verteilt werden und bei der jeder einen angemessenen Anteil zahl</w:t>
      </w:r>
      <w:r>
        <w:rPr>
          <w:rFonts w:ascii="Times New Roman" w:hAnsi="Times New Roman"/>
          <w:noProof/>
          <w:sz w:val="24"/>
        </w:rPr>
        <w:t>t. Die erforderliche schrittweise Verlagerung der Steuern und die Beseitigung kontraproduktiver finanzieller Anreize wie Subventionen für fossile Brennstoffe könnten regressive Auswirkungen haben und vor allem die ärmere Bevölkerung treffen. Die politische</w:t>
      </w:r>
      <w:r>
        <w:rPr>
          <w:rFonts w:ascii="Times New Roman" w:hAnsi="Times New Roman"/>
          <w:noProof/>
          <w:sz w:val="24"/>
        </w:rPr>
        <w:t>n Entscheidungsträger müssen daher alle maßgeblichen Hebel einsetzen und neben aktiven Arbeitsmarktmaßnahmen und Angeboten für allgemeine und berufliche Bildung sicherstellen, dass der Wandel mit Maßnahmen einhergeht, die die Steuersysteme und den Steuermi</w:t>
      </w:r>
      <w:r>
        <w:rPr>
          <w:rFonts w:ascii="Times New Roman" w:hAnsi="Times New Roman"/>
          <w:noProof/>
          <w:sz w:val="24"/>
        </w:rPr>
        <w:t>x progressiver gestalten und den am stärksten benachteiligten Bevölkerungsgruppen Rechnung tragen</w:t>
      </w:r>
      <w:r>
        <w:rPr>
          <w:rStyle w:val="FootnoteReference"/>
          <w:rFonts w:ascii="Times New Roman" w:hAnsi="Times New Roman"/>
          <w:noProof/>
          <w:sz w:val="24"/>
        </w:rPr>
        <w:footnoteReference w:id="65"/>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Eine harmonisierte Besteuerung negativer sozialer und ökologischer externer Effekte im EU-Binnenmarkt wird auch wichtig sein, um die EU in die Lage zu ver</w:t>
      </w:r>
      <w:r>
        <w:rPr>
          <w:rFonts w:ascii="Times New Roman" w:hAnsi="Times New Roman"/>
          <w:noProof/>
          <w:sz w:val="24"/>
        </w:rPr>
        <w:t>setzen, zu einer effizienteren und nachhaltigeren Wirtschaft überzugehen und gleiche Wettbewerbsbedingungen für Unternehmen zu schaffen</w:t>
      </w:r>
      <w:r>
        <w:rPr>
          <w:rStyle w:val="FootnoteReference"/>
          <w:rFonts w:ascii="Times New Roman" w:hAnsi="Times New Roman"/>
          <w:noProof/>
          <w:sz w:val="24"/>
        </w:rPr>
        <w:footnoteReference w:id="66"/>
      </w:r>
      <w:r>
        <w:rPr>
          <w:rFonts w:ascii="Times New Roman" w:hAnsi="Times New Roman"/>
          <w:noProof/>
          <w:sz w:val="24"/>
        </w:rPr>
        <w:t>. So steht z. B. der Rechtsrahmen der EU für die Energiebesteuerung derzeit noch im Widerspruch zu den Umwelt- und Klima</w:t>
      </w:r>
      <w:r>
        <w:rPr>
          <w:rFonts w:ascii="Times New Roman" w:hAnsi="Times New Roman"/>
          <w:noProof/>
          <w:sz w:val="24"/>
        </w:rPr>
        <w:t>schutzzielen der EU</w:t>
      </w:r>
      <w:r>
        <w:rPr>
          <w:rStyle w:val="FootnoteReference"/>
          <w:rFonts w:ascii="Times New Roman" w:hAnsi="Times New Roman"/>
          <w:noProof/>
          <w:sz w:val="24"/>
        </w:rPr>
        <w:footnoteReference w:id="67"/>
      </w:r>
      <w:r>
        <w:rPr>
          <w:rFonts w:ascii="Times New Roman" w:hAnsi="Times New Roman"/>
          <w:noProof/>
          <w:sz w:val="24"/>
        </w:rPr>
        <w:t xml:space="preserve">, was sich nachteilig auf die vereinbarten politischen Ziele auswirkt. Die Abkehr vom Einstimmigkeitsprinzip im Rat im Einklang mit der Mitteilung der Kommission „Auf dem Weg zu einer effizienteren und demokratischeren Beschlussfassung </w:t>
      </w:r>
      <w:r>
        <w:rPr>
          <w:rFonts w:ascii="Times New Roman" w:hAnsi="Times New Roman"/>
          <w:noProof/>
          <w:sz w:val="24"/>
        </w:rPr>
        <w:t>in der EU-Steuerpolitik“</w:t>
      </w:r>
      <w:r>
        <w:rPr>
          <w:rStyle w:val="FootnoteReference"/>
          <w:rFonts w:ascii="Times New Roman" w:hAnsi="Times New Roman"/>
          <w:noProof/>
          <w:sz w:val="24"/>
        </w:rPr>
        <w:footnoteReference w:id="68"/>
      </w:r>
      <w:r>
        <w:rPr>
          <w:rFonts w:ascii="Times New Roman" w:hAnsi="Times New Roman"/>
          <w:noProof/>
          <w:sz w:val="24"/>
        </w:rPr>
        <w:t xml:space="preserve"> wird eine unverzichtbare Voraussetzung für den Wandel sein.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color w:val="000000"/>
          <w:sz w:val="24"/>
        </w:rPr>
        <w:t xml:space="preserve">Zudem ist der Wettbewerb ein wichtiger Bestandteil des Policy-Mix insgesamt und der Nachhaltigkeitswende. Die Wettbewerbspolitik fördert die „Wirtschaftsdemokratie“ und </w:t>
      </w:r>
      <w:r>
        <w:rPr>
          <w:rFonts w:ascii="Times New Roman" w:hAnsi="Times New Roman"/>
          <w:noProof/>
          <w:color w:val="000000"/>
          <w:sz w:val="24"/>
        </w:rPr>
        <w:t>Gleichbehandlung. Sie schafft die Voraussetzungen für erschwingliche Preise, Qualität und Auswahl und reduziert verfestigte wirtschaftliche Machtstrukturen, die neuen Maßstäben nicht mehr entsprechen. Nachweislich werden durch die Wettbewerbspolitik die är</w:t>
      </w:r>
      <w:r>
        <w:rPr>
          <w:rFonts w:ascii="Times New Roman" w:hAnsi="Times New Roman"/>
          <w:noProof/>
          <w:color w:val="000000"/>
          <w:sz w:val="24"/>
        </w:rPr>
        <w:t>meren Haushalte gegenüber den wohlhabenderen</w:t>
      </w:r>
      <w:r>
        <w:rPr>
          <w:rStyle w:val="FootnoteReference"/>
          <w:rFonts w:ascii="Times New Roman" w:hAnsi="Times New Roman"/>
          <w:noProof/>
          <w:color w:val="000000"/>
          <w:sz w:val="24"/>
        </w:rPr>
        <w:footnoteReference w:id="69"/>
      </w:r>
      <w:r>
        <w:rPr>
          <w:rFonts w:ascii="Times New Roman" w:hAnsi="Times New Roman"/>
          <w:noProof/>
          <w:color w:val="000000"/>
          <w:sz w:val="24"/>
        </w:rPr>
        <w:t xml:space="preserve"> begünstigt  und eine effizientere Ressourcenzuteilung unterstützt und Innovationen, insbesondere technologische Spitzenleistungen, vorangetrieben. </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b/>
          <w:noProof/>
          <w:color w:val="000000"/>
          <w:sz w:val="24"/>
        </w:rPr>
        <w:t>Kasten:</w:t>
      </w:r>
      <w:r>
        <w:rPr>
          <w:rFonts w:ascii="Times New Roman" w:hAnsi="Times New Roman"/>
          <w:noProof/>
          <w:color w:val="000000"/>
          <w:sz w:val="24"/>
        </w:rPr>
        <w:t xml:space="preserve"> Die EU-Beihilfepolitik wurde – insbesondere durch ihre Modernisierung in den letzten Jahren – verstärkt auf Nachhaltigkeit ausgerichtet. 94 % aller staatlichen Beihilfen in der EU werden für horizontale Ziele von gemeinsamem Interesse gewährt, wie z. B. U</w:t>
      </w:r>
      <w:r>
        <w:rPr>
          <w:rFonts w:ascii="Times New Roman" w:hAnsi="Times New Roman"/>
          <w:noProof/>
          <w:color w:val="000000"/>
          <w:sz w:val="24"/>
        </w:rPr>
        <w:t>mweltschutz, Forschung, Entwicklung, Innovation und regionale Entwicklung. 54 % der Gesamtausgaben flossen in die Förderung von Umwelt- und Energieeinsparungen</w:t>
      </w:r>
      <w:r>
        <w:rPr>
          <w:rStyle w:val="FootnoteReference"/>
          <w:rFonts w:ascii="Times New Roman" w:hAnsi="Times New Roman"/>
          <w:noProof/>
          <w:color w:val="000000"/>
          <w:sz w:val="24"/>
        </w:rPr>
        <w:footnoteReference w:id="70"/>
      </w:r>
      <w:r>
        <w:rPr>
          <w:rFonts w:ascii="Times New Roman" w:hAnsi="Times New Roman"/>
          <w:noProof/>
          <w:color w:val="000000"/>
          <w:sz w:val="24"/>
        </w:rPr>
        <w:t>.</w:t>
      </w:r>
    </w:p>
    <w:p w:rsidR="00152528" w:rsidRDefault="00152528">
      <w:pPr>
        <w:pStyle w:val="Heading3"/>
        <w:numPr>
          <w:ilvl w:val="0"/>
          <w:numId w:val="0"/>
        </w:numPr>
        <w:spacing w:line="240" w:lineRule="auto"/>
        <w:ind w:left="720" w:hanging="720"/>
        <w:rPr>
          <w:rStyle w:val="SubtleEmphasis"/>
          <w:rFonts w:ascii="Times New Roman" w:hAnsi="Times New Roman" w:cs="Times New Roman"/>
          <w:i w:val="0"/>
          <w:iCs w:val="0"/>
          <w:noProof/>
          <w:color w:val="4F81BD" w:themeColor="accent1"/>
          <w:sz w:val="24"/>
          <w:szCs w:val="24"/>
        </w:rPr>
      </w:pPr>
      <w:bookmarkStart w:id="33" w:name="_Toc532469551"/>
      <w:bookmarkEnd w:id="33"/>
    </w:p>
    <w:p w:rsidR="00152528" w:rsidRDefault="00124136">
      <w:pPr>
        <w:pStyle w:val="Heading3"/>
        <w:rPr>
          <w:noProof/>
        </w:rPr>
      </w:pPr>
      <w:bookmarkStart w:id="34" w:name="_Toc535923849"/>
      <w:bookmarkStart w:id="35" w:name="_Toc536555117"/>
      <w:r>
        <w:rPr>
          <w:noProof/>
        </w:rPr>
        <w:t>Verantwortungsvolles unternehmerisches Handeln, soziale Verantwortung der Unternehmen und neu</w:t>
      </w:r>
      <w:r>
        <w:rPr>
          <w:noProof/>
        </w:rPr>
        <w:t>e Geschäftsmodelle</w:t>
      </w:r>
      <w:bookmarkEnd w:id="34"/>
      <w:bookmarkEnd w:id="35"/>
      <w:r>
        <w:rPr>
          <w:noProof/>
        </w:rPr>
        <w:t xml:space="preserve">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Den Unternehmen kommt bei der Nachhaltigkeitswende eine entscheidende Rolle zu. In den letzten Jahrzehnten hat die Zahl jener Unternehmen immer weiter zugenommen, die sowohl auf freiwilliger Basis als auch auf Betreiben der öffentliche</w:t>
      </w:r>
      <w:r>
        <w:rPr>
          <w:rFonts w:ascii="Times New Roman" w:hAnsi="Times New Roman"/>
          <w:noProof/>
          <w:sz w:val="24"/>
        </w:rPr>
        <w:t>n Hand ökologische und soziale Verantwortung zu einem zentralen Anliegen ihres unternehmerischen Auftrags gemacht haben. Eine steigende Zahl von Unternehmen betrachten somit die SDGs als integralen Bestandteil ihrer Strategie für Wettbewerbsfähigkeit und W</w:t>
      </w:r>
      <w:r>
        <w:rPr>
          <w:rFonts w:ascii="Times New Roman" w:hAnsi="Times New Roman"/>
          <w:noProof/>
          <w:sz w:val="24"/>
        </w:rPr>
        <w:t xml:space="preserve">achstum. Sie haben verstanden, dass verantwortungsvolles unternehmerisches Handeln zu nachhaltigeren Gewinnen und mehr Wachstum, neuen Marktchancen und langfristiger Wertschöpfung für die Aktionäre führen kann.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2476715" cy="1265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76715" cy="1265030"/>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Angesichts der zunehmenden Komplexität und Globalisierung von Lieferketten ist es wichtig, auch in Drittländern die Einhaltung hoher Nachhaltigkeitsstandards zu fördern. Geschäftspraktiken, Konsum- und Produktionsmuster der Unternehmen und Verbraucher in d</w:t>
      </w:r>
      <w:r>
        <w:rPr>
          <w:rFonts w:ascii="Times New Roman" w:hAnsi="Times New Roman"/>
          <w:noProof/>
          <w:sz w:val="24"/>
        </w:rPr>
        <w:t xml:space="preserve">er EU sollten nicht indirekt zu Menschenrechtsverletzungen oder Umweltschäden in anderen Teilen der Welt beitragen.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after="240" w:line="240" w:lineRule="auto"/>
        <w:jc w:val="both"/>
        <w:rPr>
          <w:rFonts w:ascii="Times New Roman" w:hAnsi="Times New Roman" w:cs="Times New Roman"/>
          <w:noProof/>
          <w:sz w:val="24"/>
          <w:szCs w:val="24"/>
        </w:rPr>
      </w:pPr>
      <w:r>
        <w:rPr>
          <w:rFonts w:ascii="Times New Roman" w:hAnsi="Times New Roman"/>
          <w:noProof/>
          <w:sz w:val="24"/>
        </w:rPr>
        <w:t>In den letzten beiden Jahren hat die EU die Rechte von Aktionären</w:t>
      </w:r>
      <w:r>
        <w:rPr>
          <w:rFonts w:ascii="Times New Roman" w:hAnsi="Times New Roman"/>
          <w:noProof/>
          <w:sz w:val="24"/>
          <w:vertAlign w:val="superscript"/>
        </w:rPr>
        <w:footnoteReference w:id="71"/>
      </w:r>
      <w:r>
        <w:rPr>
          <w:rFonts w:ascii="Times New Roman" w:hAnsi="Times New Roman"/>
          <w:noProof/>
          <w:sz w:val="24"/>
        </w:rPr>
        <w:t xml:space="preserve"> und Anlegern</w:t>
      </w:r>
      <w:r>
        <w:rPr>
          <w:rStyle w:val="FootnoteReference"/>
          <w:rFonts w:ascii="Times New Roman" w:hAnsi="Times New Roman"/>
          <w:noProof/>
          <w:sz w:val="24"/>
        </w:rPr>
        <w:footnoteReference w:id="72"/>
      </w:r>
      <w:r>
        <w:rPr>
          <w:rFonts w:ascii="Times New Roman" w:hAnsi="Times New Roman"/>
          <w:noProof/>
          <w:sz w:val="24"/>
        </w:rPr>
        <w:t xml:space="preserve"> gestärkt und ihnen die Bedeutung der finanziellen und nic</w:t>
      </w:r>
      <w:r>
        <w:rPr>
          <w:rFonts w:ascii="Times New Roman" w:hAnsi="Times New Roman"/>
          <w:noProof/>
          <w:sz w:val="24"/>
        </w:rPr>
        <w:t>htfinanziellen Aspekte der Unternehmensleistung dargelegt, damit sie in der Lage sind, Unternehmen besser zur Verantwortung zu ziehen. Die EU hat auch neue ökologische und soziale Kriterien in ihre Rechtsvorschriften für das öffentliche Beschaffungswesen a</w:t>
      </w:r>
      <w:r>
        <w:rPr>
          <w:rFonts w:ascii="Times New Roman" w:hAnsi="Times New Roman"/>
          <w:noProof/>
          <w:sz w:val="24"/>
        </w:rPr>
        <w:t>ufgenommen, um Unternehmen zu ermutigen, sozial verantwortliche Produkte und Dienstleistungen zu entwickeln. Die EU hat die Verordnung über Mineralien aus Konfliktgebieten</w:t>
      </w:r>
      <w:r>
        <w:rPr>
          <w:rFonts w:ascii="Times New Roman" w:hAnsi="Times New Roman"/>
          <w:noProof/>
          <w:sz w:val="24"/>
          <w:vertAlign w:val="superscript"/>
        </w:rPr>
        <w:footnoteReference w:id="73"/>
      </w:r>
      <w:r>
        <w:rPr>
          <w:rFonts w:ascii="Times New Roman" w:hAnsi="Times New Roman"/>
          <w:noProof/>
          <w:sz w:val="24"/>
        </w:rPr>
        <w:t xml:space="preserve"> angenommen, um sicherzustellen, dass EU-Unternehmen bestimmte Mineralien und Metall</w:t>
      </w:r>
      <w:r>
        <w:rPr>
          <w:rFonts w:ascii="Times New Roman" w:hAnsi="Times New Roman"/>
          <w:noProof/>
          <w:sz w:val="24"/>
        </w:rPr>
        <w:t>e nur aus verantwortungsvollen Quellen einführen, die keine Gewinne zur Finanzierung bewaffneter Konflikte verwenden. In diesem Zusammenhang ist auch der vor kurzem angenommene Aktionsplan für ein nachhaltiges Finanzwesen von Bedeutung, da er das Finanzsys</w:t>
      </w:r>
      <w:r>
        <w:rPr>
          <w:rFonts w:ascii="Times New Roman" w:hAnsi="Times New Roman"/>
          <w:noProof/>
          <w:sz w:val="24"/>
        </w:rPr>
        <w:t>tem mit nachhaltigeren Projekten verknüpft</w:t>
      </w:r>
      <w:r>
        <w:rPr>
          <w:rStyle w:val="FootnoteReference"/>
          <w:rFonts w:ascii="Times New Roman" w:hAnsi="Times New Roman"/>
          <w:noProof/>
          <w:sz w:val="24"/>
        </w:rPr>
        <w:footnoteReference w:id="74"/>
      </w:r>
      <w:r>
        <w:rPr>
          <w:rFonts w:ascii="Times New Roman" w:hAnsi="Times New Roman"/>
          <w:noProof/>
          <w:sz w:val="24"/>
        </w:rPr>
        <w:t>.</w:t>
      </w:r>
    </w:p>
    <w:p w:rsidR="00152528" w:rsidRDefault="00124136">
      <w:pPr>
        <w:spacing w:after="240" w:line="240" w:lineRule="auto"/>
        <w:jc w:val="both"/>
        <w:rPr>
          <w:rFonts w:ascii="Times New Roman" w:hAnsi="Times New Roman" w:cs="Times New Roman"/>
          <w:noProof/>
          <w:sz w:val="24"/>
          <w:szCs w:val="24"/>
        </w:rPr>
      </w:pPr>
      <w:r>
        <w:rPr>
          <w:rFonts w:ascii="Times New Roman" w:hAnsi="Times New Roman"/>
          <w:noProof/>
          <w:sz w:val="24"/>
        </w:rPr>
        <w:t>Allerdings besteht auf allen Ebenen noch eindeutig Handlungsbedarf. Auf EU-Ebene können durch die Ermittlung geeigneter Maßnahmen und konkreter Wege, um nachhaltigeres unternehmerisches Handeln zu fördern, weite</w:t>
      </w:r>
      <w:r>
        <w:rPr>
          <w:rFonts w:ascii="Times New Roman" w:hAnsi="Times New Roman"/>
          <w:noProof/>
          <w:sz w:val="24"/>
        </w:rPr>
        <w:t>re Ergebnisse erzielt und der Wettbewerbsvorsprung der EU-Unternehmen in diesem Bereich ausgebaut werden. Wir müssen dabei verschiedene Formen zusätzlicher Anreize in Betracht ziehen, die Unternehmen dazu veranlassen können, Nachhaltigkeitsziele in ihre Ge</w:t>
      </w:r>
      <w:r>
        <w:rPr>
          <w:rFonts w:ascii="Times New Roman" w:hAnsi="Times New Roman"/>
          <w:noProof/>
          <w:sz w:val="24"/>
        </w:rPr>
        <w:t>schäftstätigkeit einzubeziehen, einschließlich der Erschließung des Potenzials neuer Technologien und der Kreislaufwirtschaft. Die EU wird sich sowohl im Rahmen ihres internen und wie auch ihres auswärtigen Handelns weiterhin für die Umsetzung internationa</w:t>
      </w:r>
      <w:r>
        <w:rPr>
          <w:rFonts w:ascii="Times New Roman" w:hAnsi="Times New Roman"/>
          <w:noProof/>
          <w:sz w:val="24"/>
        </w:rPr>
        <w:t>l vereinbarter Leitlinien und Grundsätze für verantwortungsvolles unternehmerisches Handeln wie die VN-Leitprinzipien für Wirtschaft und Menschenrechte einsetzen müssen. Dies ist auch wichtig, um gleiche Rahmenbedingungen auf internationaler Ebene zu gewäh</w:t>
      </w:r>
      <w:r>
        <w:rPr>
          <w:rFonts w:ascii="Times New Roman" w:hAnsi="Times New Roman"/>
          <w:noProof/>
          <w:sz w:val="24"/>
        </w:rPr>
        <w:t>rleisten.</w:t>
      </w:r>
    </w:p>
    <w:p w:rsidR="00152528" w:rsidRDefault="00124136">
      <w:pPr>
        <w:spacing w:after="240" w:line="240" w:lineRule="auto"/>
        <w:jc w:val="both"/>
        <w:rPr>
          <w:rFonts w:ascii="Times New Roman" w:hAnsi="Times New Roman" w:cs="Times New Roman"/>
          <w:noProof/>
          <w:sz w:val="24"/>
          <w:szCs w:val="24"/>
        </w:rPr>
      </w:pPr>
      <w:r>
        <w:rPr>
          <w:rFonts w:ascii="Times New Roman" w:hAnsi="Times New Roman"/>
          <w:noProof/>
          <w:sz w:val="24"/>
        </w:rPr>
        <w:t>Mit Blick auf die Zukunft kann die kollaborative Wirtschaft, die direkte Geschäftsbeziehungen der Verbraucher untereinander vorsieht, einen wichtigen Beitrag zu nachhaltigem Wachstum und zum Entstehen nachhaltigerer Geschäftsmodelle leisten, wenn</w:t>
      </w:r>
      <w:r>
        <w:rPr>
          <w:rFonts w:ascii="Times New Roman" w:hAnsi="Times New Roman"/>
          <w:noProof/>
          <w:sz w:val="24"/>
        </w:rPr>
        <w:t xml:space="preserve"> sie auf verantwortungsvolle Weise gefördert und weiterentwickelt wird. Derzeit schafft der Flickenteppich unterschiedlicher regulatorischer Maßnahmen in der EU jedoch Unsicherheit für herkömmliche Unternehmen, neue Dienstleistungsanbieter und Verbraucher </w:t>
      </w:r>
      <w:r>
        <w:rPr>
          <w:rFonts w:ascii="Times New Roman" w:hAnsi="Times New Roman"/>
          <w:noProof/>
          <w:sz w:val="24"/>
        </w:rPr>
        <w:t xml:space="preserve">gleichermaßen und behindert das Wachstum der kollaborativen Wirtschaft in der EU und entsprechender neuer und innovativer Dienstleistungen. </w:t>
      </w:r>
    </w:p>
    <w:p w:rsidR="00152528" w:rsidRDefault="00124136">
      <w:pPr>
        <w:spacing w:after="240" w:line="240" w:lineRule="auto"/>
        <w:jc w:val="both"/>
        <w:rPr>
          <w:rFonts w:ascii="Times New Roman" w:hAnsi="Times New Roman" w:cs="Times New Roman"/>
          <w:noProof/>
          <w:sz w:val="24"/>
          <w:szCs w:val="24"/>
        </w:rPr>
      </w:pPr>
      <w:r>
        <w:rPr>
          <w:rFonts w:ascii="Times New Roman" w:hAnsi="Times New Roman"/>
          <w:noProof/>
          <w:sz w:val="24"/>
        </w:rPr>
        <w:t>Soziales Unternehmertum, das auf die Lösung von Problemen der Gemeinschaft abzielt, kann eine wichtige Rolle spielen, wenn es darum geht, Herausforderungen im Zusammenhang mit der Nachhaltigkeit anzugehen und gleichzeitig inklusives Wachstum und die Schaff</w:t>
      </w:r>
      <w:r>
        <w:rPr>
          <w:rFonts w:ascii="Times New Roman" w:hAnsi="Times New Roman"/>
          <w:noProof/>
          <w:sz w:val="24"/>
        </w:rPr>
        <w:t xml:space="preserve">ung von Arbeitsplätzen auf lokaler Ebene, gemeinsamen Wohlstand und soziale Inklusion zu fördern. Derzeit konzentrieren sich Sozialunternehmen in der Regel eher auf spezifische Nischen, insbesondere im lokalen Bereich, und haben Schwierigkeiten, in der EU </w:t>
      </w:r>
      <w:r>
        <w:rPr>
          <w:rFonts w:ascii="Times New Roman" w:hAnsi="Times New Roman"/>
          <w:noProof/>
          <w:sz w:val="24"/>
        </w:rPr>
        <w:t>zu expandieren. Auch ihre Finanzierung ist nach wie vor ein erhebliches Problem, das die EU veranlasst hat, mehr Mittel für Sozialunternehmen zur Verfügung zu stellen. Wie bei der kollaborativen Wirtschaft können auch hier zu komplexe oder fehlende rechtli</w:t>
      </w:r>
      <w:r>
        <w:rPr>
          <w:rFonts w:ascii="Times New Roman" w:hAnsi="Times New Roman"/>
          <w:noProof/>
          <w:sz w:val="24"/>
        </w:rPr>
        <w:t xml:space="preserve">che Rahmenbedingungen und Beschränkungen auf lokaler Ebene ein Hindernis darstellen. In Frankreich wurde daher 2014 ein spezifischer Rechtsrahmen festgelegt, der den Besonderheiten des Sektors Rechnung trägt und diesen Unternehmen neue Impulse gibt. </w:t>
      </w:r>
    </w:p>
    <w:p w:rsidR="00152528" w:rsidRDefault="00124136">
      <w:pPr>
        <w:pStyle w:val="Heading3"/>
        <w:rPr>
          <w:noProof/>
        </w:rPr>
      </w:pPr>
      <w:bookmarkStart w:id="36" w:name="_Toc535923850"/>
      <w:bookmarkStart w:id="37" w:name="_Toc536555118"/>
      <w:r>
        <w:rPr>
          <w:noProof/>
        </w:rPr>
        <w:t>Offen</w:t>
      </w:r>
      <w:r>
        <w:rPr>
          <w:noProof/>
        </w:rPr>
        <w:t>er und regelbasierter Handel</w:t>
      </w:r>
      <w:bookmarkEnd w:id="36"/>
      <w:bookmarkEnd w:id="37"/>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Ein offener und auf Regeln basierender Handel ist eines der wirksamsten Instrumente, um unseren Wohlstand und den unserer Partner zu steigern, unseren Lebensstandard und die Nachhaltigkeit unseres Planeten und unserer Demokrati</w:t>
      </w:r>
      <w:r>
        <w:rPr>
          <w:rFonts w:ascii="Times New Roman" w:hAnsi="Times New Roman"/>
          <w:noProof/>
          <w:sz w:val="24"/>
        </w:rPr>
        <w:t xml:space="preserve">en zu verbessern. Ein nachhaltiges Europa in einer nachhaltigen Welt können wir nur erreichen, wenn wir unsere multilateralen Institutionen und bilateralen und multilateralen Handelsabkommen nutzen, um globale Standards festzulegen.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Protektionistische Ten</w:t>
      </w:r>
      <w:r>
        <w:rPr>
          <w:rFonts w:ascii="Times New Roman" w:hAnsi="Times New Roman"/>
          <w:noProof/>
          <w:sz w:val="24"/>
        </w:rPr>
        <w:t>denzen und der Ansatz „mein Land zuerst“ führen dagegen zu Konflikten. Sie behindern zudem massiv den Aufbau eines nachhaltigen Planeten – ein Ziel, das eben gerade eine Zusammenarbeit auf internationaler Ebene erfordert. Die EU hat also aus vielen Gründen</w:t>
      </w:r>
      <w:r>
        <w:rPr>
          <w:rFonts w:ascii="Times New Roman" w:hAnsi="Times New Roman"/>
          <w:noProof/>
          <w:sz w:val="24"/>
        </w:rPr>
        <w:t xml:space="preserve"> ein vitales Interesse, das multilaterale System mit Nachdruck zu unterstützen und zu stärken.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Im Rahmen der Nachhaltigkeitswende müssen wir noch aktiver mit gleichgesinnten Partnern zusammenarbeiten, um schrittweise neue Vorschriften auszuhandeln, die de</w:t>
      </w:r>
      <w:r>
        <w:rPr>
          <w:rFonts w:ascii="Times New Roman" w:hAnsi="Times New Roman"/>
          <w:noProof/>
          <w:sz w:val="24"/>
        </w:rPr>
        <w:t>r Agenda 2030 der Vereinten Nationen Rechnung tragen. In der Agenda wird betont, dass das regelbasierte multilaterale Handelssystem, dessen zentrales Element die Welthandelsorganisation (WTO) bildet, einen maßgeblichen Beitrag zu den SDGs leistet. Die derz</w:t>
      </w:r>
      <w:r>
        <w:rPr>
          <w:rFonts w:ascii="Times New Roman" w:hAnsi="Times New Roman"/>
          <w:noProof/>
          <w:sz w:val="24"/>
        </w:rPr>
        <w:t xml:space="preserve">eitigen konstruktiven Anstrengungen der EU im Hinblick auf eine Modernisierung der WTO sind daher von wesentlicher Bedeutung.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Wenn die derzeitigen Weltmächte internationale Handelsabkommen aufkündigen, bieten sich der EU neue Chancen. Diese Europäische Un</w:t>
      </w:r>
      <w:r>
        <w:rPr>
          <w:rFonts w:ascii="Times New Roman" w:hAnsi="Times New Roman"/>
          <w:noProof/>
          <w:sz w:val="24"/>
        </w:rPr>
        <w:t>ion, die über den am weitesten entwickelten Binnenmarkt der Welt mit fast einer halben Milliarde Verbraucherinnen und Verbrauchern verfügt, kann den Platz derer einnehmen, die sich zurückziehen, und hat dies bereits getan. Darüber hinaus stellt sie den Han</w:t>
      </w:r>
      <w:r>
        <w:rPr>
          <w:rFonts w:ascii="Times New Roman" w:hAnsi="Times New Roman"/>
          <w:noProof/>
          <w:sz w:val="24"/>
        </w:rPr>
        <w:t>del auf eine neue und nachhaltigere Grundlage. Alle neuen Handels- und Investitionsabkommen der EU enthalten nun ein Kapitel über nachhaltige Entwicklung, mit dem die Sozial- und Umweltstandards aufrechterhalten und gefördert werden. Das im Juli 2018 unter</w:t>
      </w:r>
      <w:r>
        <w:rPr>
          <w:rFonts w:ascii="Times New Roman" w:hAnsi="Times New Roman"/>
          <w:noProof/>
          <w:sz w:val="24"/>
        </w:rPr>
        <w:t xml:space="preserve">zeichnete Wirtschaftspartnerschaftsabkommen mit Japan ist das erste, das unter Zugrundelegung der im Rahmen des Pariser Klimaschutzübereinkommens eingegangenen Verpflichtungen ausgearbeitet wurde. Im September 2018 vereinbarten die EU und Kanada im Rahmen </w:t>
      </w:r>
      <w:r>
        <w:rPr>
          <w:rFonts w:ascii="Times New Roman" w:hAnsi="Times New Roman"/>
          <w:noProof/>
          <w:sz w:val="24"/>
        </w:rPr>
        <w:t>des umfassenden Wirtschafts- und Handelsabkommens (CETA), sich für den Handel und die Bekämpfung des Klimawandels einzusetzen. Die EU verhandelt derzeit im Rahmen der Modernisierung unseres Assoziierungsabkommens mit Chile über genderspezifische Bestimmung</w:t>
      </w:r>
      <w:r>
        <w:rPr>
          <w:rFonts w:ascii="Times New Roman" w:hAnsi="Times New Roman"/>
          <w:noProof/>
          <w:sz w:val="24"/>
        </w:rPr>
        <w:t>en.</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Kasten: Die Juncker-Kommission hat acht Handelsabkommen mit 15 Ländern angenommen oder mit deren Umsetzung begonnen, darunter Kanada, die Ukraine, Singapur, Vietnam, Japan und mehrere Staaten in Afrika und im Pazifischen Ozean</w:t>
      </w:r>
      <w:r>
        <w:rPr>
          <w:rStyle w:val="FootnoteReference"/>
          <w:rFonts w:ascii="Times New Roman" w:hAnsi="Times New Roman"/>
          <w:noProof/>
          <w:sz w:val="24"/>
        </w:rPr>
        <w:footnoteReference w:id="75"/>
      </w:r>
      <w:r>
        <w:rPr>
          <w:rFonts w:ascii="Times New Roman" w:hAnsi="Times New Roman"/>
          <w:noProof/>
          <w:sz w:val="24"/>
        </w:rPr>
        <w:t>. Damit hat die EU nun üb</w:t>
      </w:r>
      <w:r>
        <w:rPr>
          <w:rFonts w:ascii="Times New Roman" w:hAnsi="Times New Roman"/>
          <w:noProof/>
          <w:sz w:val="24"/>
        </w:rPr>
        <w:t>er 39 Handelsabkommen mit 70 Ländern weltweit geschlossen. Seit 2010 sind Bestimmungen über Handel und nachhaltige Entwicklung ein zentraler Bestandteil der Freihandelsabkommen der EU.</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Kommission schlug 15 Punkte vor, um die Umsetzung und Durchsetzung </w:t>
      </w:r>
      <w:r>
        <w:rPr>
          <w:rFonts w:ascii="Times New Roman" w:hAnsi="Times New Roman"/>
          <w:noProof/>
          <w:sz w:val="24"/>
        </w:rPr>
        <w:t>der Kapitel über Handel und nachhaltige Entwicklung in EU-Handelsabkommen zu verbessern</w:t>
      </w:r>
      <w:r>
        <w:rPr>
          <w:rStyle w:val="FootnoteReference"/>
          <w:rFonts w:ascii="Times New Roman" w:hAnsi="Times New Roman"/>
          <w:noProof/>
          <w:sz w:val="24"/>
        </w:rPr>
        <w:footnoteReference w:id="76"/>
      </w:r>
      <w:r>
        <w:rPr>
          <w:rFonts w:ascii="Times New Roman" w:hAnsi="Times New Roman"/>
          <w:noProof/>
          <w:sz w:val="24"/>
        </w:rPr>
        <w:t>. Der Schwerpunkt liegt dabei auf einer stärkeren Zusammenarbeit mit verschiedenen Akteuren, einer wirksameren Durchsetzung, einschließlich einer konsequenteren Berufun</w:t>
      </w:r>
      <w:r>
        <w:rPr>
          <w:rFonts w:ascii="Times New Roman" w:hAnsi="Times New Roman"/>
          <w:noProof/>
          <w:sz w:val="24"/>
        </w:rPr>
        <w:t xml:space="preserve">g auf Nachhaltigkeitskapitel im bestehenden Streitbeilegungsmechanismus und einer verbesserten Kommunikation und Transparenz.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Im Rahmen ihrer Unterstützung für Entwicklungsländer gewährt ihnen die EU durch das  Allgemeine Präferenzsystem einseitige Handel</w:t>
      </w:r>
      <w:r>
        <w:rPr>
          <w:rFonts w:ascii="Times New Roman" w:hAnsi="Times New Roman"/>
          <w:noProof/>
          <w:sz w:val="24"/>
        </w:rPr>
        <w:t>spräferenzen. Diese Präferenzen sind an die Bedingung geknüpft, dass die begünstigten Länder die wichtigsten internationalen Übereinkommen und Abkommen in den Bereichen Menschen- und Arbeitnehmerrechte, Umweltschutz und verantwortungsvolle Staatsführung ei</w:t>
      </w:r>
      <w:r>
        <w:rPr>
          <w:rFonts w:ascii="Times New Roman" w:hAnsi="Times New Roman"/>
          <w:noProof/>
          <w:sz w:val="24"/>
        </w:rPr>
        <w:t xml:space="preserve">nhalten. Somit wird den Entwicklungsländern ein Anreiz geboten, ihr Wirtschaftswachstum auf eine nachhaltige Grundlage zu stellen. Bei schwerwiegenden und systematischen Verstößen gegen die Grundsätze dieser Übereinkommen kann die Kommission die Gewährung </w:t>
      </w:r>
      <w:r>
        <w:rPr>
          <w:rFonts w:ascii="Times New Roman" w:hAnsi="Times New Roman"/>
          <w:noProof/>
          <w:sz w:val="24"/>
        </w:rPr>
        <w:t>von Präferenzen vorübergehend zurücknehmen.</w:t>
      </w:r>
    </w:p>
    <w:p w:rsidR="00152528" w:rsidRDefault="00124136">
      <w:pPr>
        <w:pStyle w:val="Heading3"/>
        <w:rPr>
          <w:noProof/>
        </w:rPr>
      </w:pPr>
      <w:bookmarkStart w:id="38" w:name="_Toc535923851"/>
      <w:bookmarkStart w:id="39" w:name="_Toc536555119"/>
      <w:r>
        <w:rPr>
          <w:noProof/>
        </w:rPr>
        <w:t>Governance und Gewährleistung der Politikkohärenz auf allen Ebenen</w:t>
      </w:r>
      <w:bookmarkEnd w:id="38"/>
      <w:bookmarkEnd w:id="39"/>
      <w:r>
        <w:rPr>
          <w:noProof/>
        </w:rPr>
        <w:t xml:space="preserve"> </w:t>
      </w:r>
    </w:p>
    <w:p w:rsidR="00152528" w:rsidRDefault="00152528">
      <w:pPr>
        <w:spacing w:after="0" w:line="240" w:lineRule="auto"/>
        <w:jc w:val="both"/>
        <w:rPr>
          <w:rFonts w:ascii="Times New Roman" w:hAnsi="Times New Roman" w:cs="Times New Roman"/>
          <w:noProof/>
          <w:sz w:val="24"/>
          <w:szCs w:val="24"/>
        </w:rPr>
      </w:pPr>
    </w:p>
    <w:p w:rsidR="00152528" w:rsidRDefault="00124136">
      <w:pPr>
        <w:spacing w:after="0" w:line="240" w:lineRule="auto"/>
        <w:jc w:val="both"/>
        <w:rPr>
          <w:rFonts w:ascii="Times New Roman" w:hAnsi="Times New Roman" w:cs="Times New Roman"/>
          <w:noProof/>
          <w:sz w:val="24"/>
          <w:szCs w:val="24"/>
        </w:rPr>
      </w:pPr>
      <w:r>
        <w:rPr>
          <w:rFonts w:ascii="Times New Roman" w:hAnsi="Times New Roman"/>
          <w:noProof/>
          <w:sz w:val="24"/>
        </w:rPr>
        <w:t>Eine echte Nachhaltigkeitswende zum Nutzen aller Europäer durch die Verwirklichung der Nachhaltigkeitsziele erfordert einen umfassenden Ansatz.</w:t>
      </w:r>
      <w:r>
        <w:rPr>
          <w:rFonts w:ascii="Times New Roman" w:hAnsi="Times New Roman"/>
          <w:noProof/>
          <w:sz w:val="24"/>
        </w:rPr>
        <w:t xml:space="preserve"> Die EU, ihre Mitgliedstaaten und ihre Partner müssen den Verknüpfungen zwischen den verschiedenen Herausforderungen und Chancen im Bereich der Nachhaltigkeit Rechnung tragen und die Kohärenz zwischen den verschiedenen Politikbereichen, Sektoren und Entsch</w:t>
      </w:r>
      <w:r>
        <w:rPr>
          <w:rFonts w:ascii="Times New Roman" w:hAnsi="Times New Roman"/>
          <w:noProof/>
          <w:sz w:val="24"/>
        </w:rPr>
        <w:t xml:space="preserve">eidungsebenen stärken. </w:t>
      </w:r>
    </w:p>
    <w:p w:rsidR="00152528" w:rsidRDefault="00152528">
      <w:pPr>
        <w:spacing w:after="0" w:line="240" w:lineRule="auto"/>
        <w:jc w:val="both"/>
        <w:rPr>
          <w:rFonts w:ascii="Times New Roman" w:hAnsi="Times New Roman" w:cs="Times New Roman"/>
          <w:i/>
          <w:noProof/>
          <w:sz w:val="24"/>
          <w:szCs w:val="24"/>
        </w:rPr>
      </w:pPr>
    </w:p>
    <w:p w:rsidR="00152528" w:rsidRDefault="00124136">
      <w:pPr>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971800" cy="22190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72058" cy="2219212"/>
                    </a:xfrm>
                    <a:prstGeom prst="rect">
                      <a:avLst/>
                    </a:prstGeom>
                  </pic:spPr>
                </pic:pic>
              </a:graphicData>
            </a:graphic>
          </wp:inline>
        </w:drawing>
      </w:r>
    </w:p>
    <w:p w:rsidR="00152528" w:rsidRDefault="00152528">
      <w:pPr>
        <w:spacing w:after="0" w:line="240" w:lineRule="auto"/>
        <w:jc w:val="center"/>
        <w:rPr>
          <w:rFonts w:ascii="Times New Roman" w:hAnsi="Times New Roman" w:cs="Times New Roman"/>
          <w:i/>
          <w:noProof/>
          <w:sz w:val="24"/>
          <w:szCs w:val="24"/>
        </w:rPr>
      </w:pPr>
    </w:p>
    <w:p w:rsidR="00152528" w:rsidRDefault="00124136">
      <w:pPr>
        <w:spacing w:after="0" w:line="240" w:lineRule="auto"/>
        <w:jc w:val="both"/>
        <w:rPr>
          <w:rFonts w:ascii="Times New Roman" w:hAnsi="Times New Roman" w:cs="Times New Roman"/>
          <w:noProof/>
          <w:sz w:val="24"/>
          <w:szCs w:val="24"/>
        </w:rPr>
      </w:pPr>
      <w:r>
        <w:rPr>
          <w:rFonts w:ascii="Times New Roman" w:hAnsi="Times New Roman"/>
          <w:noProof/>
          <w:sz w:val="24"/>
        </w:rPr>
        <w:t>Die Achtung der Rechtsstaatlichkeit, der Demokratie und der Grundrechte definiert „wer wir sind“. Diese nicht verhandelbaren Grundsätze und Werte sind in den EU-Verträgen festgelegt und bilden die Grundlage, auf der wir aufbauen. Sie sind auch integraler B</w:t>
      </w:r>
      <w:r>
        <w:rPr>
          <w:rFonts w:ascii="Times New Roman" w:hAnsi="Times New Roman"/>
          <w:noProof/>
          <w:sz w:val="24"/>
        </w:rPr>
        <w:t>estandteil der Agenda 2030 der Vereinten Nationen und der SDGs. Das Gleiche gilt für die Grundsätze des Friedens, der Justiz und robuster Institutionen, die die EU stets mit Nachdruck vertreten hat. Diese Grundsätze und gemeinsamen Werte gelten nicht autom</w:t>
      </w:r>
      <w:r>
        <w:rPr>
          <w:rFonts w:ascii="Times New Roman" w:hAnsi="Times New Roman"/>
          <w:noProof/>
          <w:sz w:val="24"/>
        </w:rPr>
        <w:t>atisch und die EU, ihre Mitgliedstaaten und alle Europäer müssen sich für sie einsetzen, sie bewahren und stärken. Unsere Sozialpartner können einen maßgeblichen Beitrag leisten. Diese Partnerschaft muss aufrechterhalten und gestärkt werden, damit sowohl e</w:t>
      </w:r>
      <w:r>
        <w:rPr>
          <w:rFonts w:ascii="Times New Roman" w:hAnsi="Times New Roman"/>
          <w:noProof/>
          <w:sz w:val="24"/>
        </w:rPr>
        <w:t xml:space="preserve">ine wirksame Governance als auch eine angemessene Politikkohärenz gewährleistet ist.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Auch über diese Grundsätze hinaus ist die politische Kohärenz in allen Bereichen von grundlegender Bedeutung, und beruht auf Planung, faktengestützter Politik, Inklusivi</w:t>
      </w:r>
      <w:r>
        <w:rPr>
          <w:rFonts w:ascii="Times New Roman" w:hAnsi="Times New Roman"/>
          <w:noProof/>
          <w:sz w:val="24"/>
        </w:rPr>
        <w:t>tät, Effizienz, Einhaltung der Grundsätze der Subsidiarität und der Verhältnismäßigkeit sowie auf der Messung und Überwachung der Auswirkungen. Eine bessere Rechtsetzung und eine verantwortungsvollere Governance auf allen Ebenen sind in dieser Hinsicht ebe</w:t>
      </w:r>
      <w:r>
        <w:rPr>
          <w:rFonts w:ascii="Times New Roman" w:hAnsi="Times New Roman"/>
          <w:noProof/>
          <w:sz w:val="24"/>
        </w:rPr>
        <w:t>nfalls wesentlich. Für alle politischen Optionen müssen sorgfältige Folgenabschätzungen durchgeführt und Kompromisse zwischen wirtschaftlichen, sozialen und umweltpolitischen Zielen möglichst minimiert und abgeschwächt werden. In diesem Zusammenhang müssen</w:t>
      </w:r>
      <w:r>
        <w:rPr>
          <w:rFonts w:ascii="Times New Roman" w:hAnsi="Times New Roman"/>
          <w:noProof/>
          <w:sz w:val="24"/>
        </w:rPr>
        <w:t xml:space="preserve"> Umsetzungslücken, die eine nachhaltige politische Kohärenz gefährden, durch wirksame und strukturelle Maßnahmen behoben werden. </w:t>
      </w:r>
    </w:p>
    <w:p w:rsidR="00152528" w:rsidRDefault="00152528">
      <w:pPr>
        <w:autoSpaceDE w:val="0"/>
        <w:autoSpaceDN w:val="0"/>
        <w:adjustRightInd w:val="0"/>
        <w:spacing w:after="0" w:line="240" w:lineRule="auto"/>
        <w:jc w:val="both"/>
        <w:rPr>
          <w:rFonts w:ascii="Times New Roman" w:hAnsi="Times New Roman"/>
          <w:noProof/>
          <w:sz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SDGs sind von ihrer Konzeption her unteilbar und erstrecken sich meist auf mehrere Politikbereiche. Daher muss eine stärk</w:t>
      </w:r>
      <w:r>
        <w:rPr>
          <w:rFonts w:ascii="Times New Roman" w:hAnsi="Times New Roman"/>
          <w:noProof/>
          <w:sz w:val="24"/>
        </w:rPr>
        <w:t>ere Zusammenarbeit zwischen den Regierungs- und Verwaltungsebenen mit einer größeren Kohärenz zwischen den verschiedenen Politikbereichen einhergehen. Die Bereiche Nahrungsmittel, Energiemanagement und Bewirtschaftung von Wasserressourcen sind eng miteinan</w:t>
      </w:r>
      <w:r>
        <w:rPr>
          <w:rFonts w:ascii="Times New Roman" w:hAnsi="Times New Roman"/>
          <w:noProof/>
          <w:sz w:val="24"/>
        </w:rPr>
        <w:t>der verknüpft. Gleiches gilt z. B. für Verkehr, Luftqualität und Gesundheit. Ein solcher sogenannter „Nexus-Ansatz“ erfordert sektorenübergreifende Projekte auf allen Ebenen, die den Verflechtungen zwischen den SDGs Rechnung tragen. Die Europäische Kommiss</w:t>
      </w:r>
      <w:r>
        <w:rPr>
          <w:rFonts w:ascii="Times New Roman" w:hAnsi="Times New Roman"/>
          <w:noProof/>
          <w:sz w:val="24"/>
        </w:rPr>
        <w:t xml:space="preserve">ion verfolgt diesen Ansatz mit der Annahme interner Arbeitsmethoden, die Schubladendenken bei den Mitgliedern und dem Personal der Kommission durchbrechen.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Politikkohärenz muss nicht nur auf EU-interner Ebene, sondern auch bei den Auswirkungen der Innenp</w:t>
      </w:r>
      <w:r>
        <w:rPr>
          <w:rFonts w:ascii="Times New Roman" w:hAnsi="Times New Roman"/>
          <w:noProof/>
          <w:sz w:val="24"/>
        </w:rPr>
        <w:t>olitik auf die externe Dimension und umgekehrt gewährleistet werden. Wir müssen sicherstellen, dass die EU die negativen Auswirkungen ihres ökologischen Fußabdrucks nicht in andere Länder exportiert oder dadurch in anderen Teilen der Welt Armut, Ungleichhe</w:t>
      </w:r>
      <w:r>
        <w:rPr>
          <w:rFonts w:ascii="Times New Roman" w:hAnsi="Times New Roman"/>
          <w:noProof/>
          <w:sz w:val="24"/>
        </w:rPr>
        <w:t>it und Instabilität schafft. Als Europäer muss uns bewusst sein, dass negative Auswirkungen in anderen Teilen der Welt einen Bumerang-Effekt auf unsere eigene Wirtschaft und Gesellschaft haben werden, z. B. durch die Verschärfung der Ursachen von Migration</w:t>
      </w:r>
      <w:r>
        <w:rPr>
          <w:rFonts w:ascii="Times New Roman" w:hAnsi="Times New Roman"/>
          <w:noProof/>
          <w:sz w:val="24"/>
        </w:rPr>
        <w:t>. Die EU setzt sich für Politikkohärenz im Interesse der Entwicklung ein, um dadurch sicherzustellen, dass die Auswirkungen der internen Politik der EU auf Entwicklungsländer systematisch berücksichtigt werden. Ein entsprechendes Monitoring wurde in die al</w:t>
      </w:r>
      <w:r>
        <w:rPr>
          <w:rFonts w:ascii="Times New Roman" w:hAnsi="Times New Roman"/>
          <w:noProof/>
          <w:sz w:val="24"/>
        </w:rPr>
        <w:t>lgemeinen Folgemaßnahmen der Kommission zur Agenda 2030 der Vereinten Nationen einbezogen</w:t>
      </w:r>
      <w:r>
        <w:rPr>
          <w:rStyle w:val="FootnoteReference"/>
          <w:rFonts w:ascii="Times New Roman" w:hAnsi="Times New Roman"/>
          <w:noProof/>
          <w:sz w:val="24"/>
        </w:rPr>
        <w:footnoteReference w:id="77"/>
      </w:r>
      <w:r>
        <w:rPr>
          <w:rFonts w:ascii="Times New Roman" w:hAnsi="Times New Roman"/>
          <w:noProof/>
          <w:sz w:val="24"/>
        </w:rPr>
        <w:t xml:space="preserve">.  </w:t>
      </w:r>
    </w:p>
    <w:p w:rsidR="00152528" w:rsidRDefault="00152528">
      <w:pPr>
        <w:spacing w:after="0" w:line="240" w:lineRule="auto"/>
        <w:jc w:val="both"/>
        <w:rPr>
          <w:rFonts w:ascii="Times New Roman" w:hAnsi="Times New Roman" w:cs="Times New Roman"/>
          <w:i/>
          <w:noProof/>
          <w:sz w:val="24"/>
          <w:szCs w:val="24"/>
        </w:r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rPr>
        <w:t>Erfolgreiche Maßnahmen setzen die Festlegung klarer und messbarer Ziele voraus, damit Fortschritte verfolgt und Ergebnisse öffentlich zugänglich gemacht werden k</w:t>
      </w:r>
      <w:r>
        <w:rPr>
          <w:rFonts w:ascii="Times New Roman" w:hAnsi="Times New Roman"/>
          <w:noProof/>
          <w:sz w:val="24"/>
        </w:rPr>
        <w:t xml:space="preserve">önnen. Als nächster Schritt könnte daher auf EU-Ebene eine Vereinbarung über solche Ziele und ein Monitoringsystem beschlossen werden. Der Europäische Rat begrüßte die Absicht der Kommission, 2019 dieses Reflexionspapier zu veröffentlichen, um den Weg für </w:t>
      </w:r>
      <w:r>
        <w:rPr>
          <w:rFonts w:ascii="Times New Roman" w:hAnsi="Times New Roman"/>
          <w:noProof/>
          <w:sz w:val="24"/>
        </w:rPr>
        <w:t>eine umfassende Strategie zur Umsetzung der Agenda 2030 der Vereinten Nationen zu bereiten, in der auch ein solcher Schritt verankert werden könnte.</w:t>
      </w:r>
    </w:p>
    <w:p w:rsidR="00152528" w:rsidRDefault="00124136">
      <w:pPr>
        <w:widowControl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Die Umsetzung der SDGs erfordert eine wirksame Zusammenarbeit auf verschiedenen Ebenen der Governance: der </w:t>
      </w:r>
      <w:r>
        <w:rPr>
          <w:rFonts w:ascii="Times New Roman" w:hAnsi="Times New Roman"/>
          <w:noProof/>
          <w:sz w:val="24"/>
        </w:rPr>
        <w:t>EU-Ebene sowie der nationalen, regionalen und lokalen Ebene. Die Empfehlungen in der Mitteilung der Kommission „Die Grundsätze der Subsidiarität und der Verhältnismäßigkeit: Die Stärkung ihrer Rolle in der Politikgestaltung der EU“, die im Anschluss an die</w:t>
      </w:r>
      <w:r>
        <w:rPr>
          <w:rFonts w:ascii="Times New Roman" w:hAnsi="Times New Roman"/>
          <w:noProof/>
          <w:sz w:val="24"/>
        </w:rPr>
        <w:t xml:space="preserve"> Einsetzung der „Task Force für Subsidiarität, Verhältnismäßigkeit und Weniger, aber effizienteres Handeln“ veröffentlicht wurde, geben diesbezüglich einen entsprechenden Fahrplan vor</w:t>
      </w:r>
      <w:r>
        <w:rPr>
          <w:rStyle w:val="FootnoteReference"/>
          <w:rFonts w:ascii="Times New Roman" w:hAnsi="Times New Roman"/>
          <w:noProof/>
          <w:sz w:val="24"/>
        </w:rPr>
        <w:footnoteReference w:id="78"/>
      </w:r>
      <w:r>
        <w:rPr>
          <w:rFonts w:ascii="Times New Roman" w:hAnsi="Times New Roman"/>
          <w:noProof/>
          <w:sz w:val="24"/>
        </w:rPr>
        <w:t>. Die Kommission und andere EU-Einrichtungen könnten insbesondere den Au</w:t>
      </w:r>
      <w:r>
        <w:rPr>
          <w:rFonts w:ascii="Times New Roman" w:hAnsi="Times New Roman"/>
          <w:noProof/>
          <w:sz w:val="24"/>
        </w:rPr>
        <w:t xml:space="preserve">stausch bewährter Verfahren zwischen Städten und Regionen erleichtern und die Parameter für einen grenzübergreifenden territorialen Ansatz für die Umsetzung der Nachhaltigkeitsziele festlegen. </w:t>
      </w:r>
    </w:p>
    <w:p w:rsidR="00152528" w:rsidRDefault="00152528">
      <w:pPr>
        <w:widowControl w:val="0"/>
        <w:spacing w:after="0" w:line="240" w:lineRule="auto"/>
        <w:jc w:val="both"/>
        <w:rPr>
          <w:rFonts w:ascii="Times New Roman" w:hAnsi="Times New Roman" w:cs="Times New Roman"/>
          <w:noProof/>
          <w:sz w:val="24"/>
          <w:szCs w:val="24"/>
        </w:rPr>
      </w:pPr>
    </w:p>
    <w:p w:rsidR="00152528" w:rsidRDefault="00124136">
      <w:pPr>
        <w:widowControl w:val="0"/>
        <w:spacing w:after="0" w:line="240" w:lineRule="auto"/>
        <w:jc w:val="both"/>
        <w:rPr>
          <w:rFonts w:ascii="Times New Roman" w:hAnsi="Times New Roman" w:cs="Times New Roman"/>
          <w:noProof/>
          <w:sz w:val="24"/>
          <w:szCs w:val="24"/>
        </w:rPr>
      </w:pPr>
      <w:r>
        <w:rPr>
          <w:rFonts w:ascii="Times New Roman" w:hAnsi="Times New Roman"/>
          <w:noProof/>
          <w:sz w:val="24"/>
        </w:rPr>
        <w:t>Natürlich müssen Zivilgesellschaft, Privatwirtschaft und Wiss</w:t>
      </w:r>
      <w:r>
        <w:rPr>
          <w:rFonts w:ascii="Times New Roman" w:hAnsi="Times New Roman"/>
          <w:noProof/>
          <w:sz w:val="24"/>
        </w:rPr>
        <w:t>enschaft auch an den Beratungen und Umsetzungsmaßnahmen beteiligt sein. Die hochrangige Multi-Stakeholder-Plattform zur Umsetzung der SDGs, die 2017 von der Europäischen Kommission eingerichtet wurde</w:t>
      </w:r>
      <w:r>
        <w:rPr>
          <w:rStyle w:val="FootnoteReference"/>
          <w:rFonts w:ascii="Times New Roman" w:hAnsi="Times New Roman"/>
          <w:noProof/>
          <w:sz w:val="24"/>
        </w:rPr>
        <w:footnoteReference w:id="79"/>
      </w:r>
      <w:r>
        <w:rPr>
          <w:rFonts w:ascii="Times New Roman" w:hAnsi="Times New Roman"/>
          <w:noProof/>
          <w:sz w:val="24"/>
        </w:rPr>
        <w:t xml:space="preserve">, hat sich als positive Initiative zur Zusammenführung </w:t>
      </w:r>
      <w:r>
        <w:rPr>
          <w:rFonts w:ascii="Times New Roman" w:hAnsi="Times New Roman"/>
          <w:noProof/>
          <w:sz w:val="24"/>
        </w:rPr>
        <w:t>bereichsübergreifender Ideen bewährt. Ihre Ergebnisse mit denen sie die Arbeit der Kommission maßgeblich unterstützt hat, sind diesem Reflexionspapier als Anhang beigefügt. Die hochrangige Expertengruppe für ein nachhaltiges Finanzwesen ist ein weiteres po</w:t>
      </w:r>
      <w:r>
        <w:rPr>
          <w:rFonts w:ascii="Times New Roman" w:hAnsi="Times New Roman"/>
          <w:noProof/>
          <w:sz w:val="24"/>
        </w:rPr>
        <w:t>sitives Beispiel für sektorübergreifende Zusammenarbeit, die maßgeblich zur Ausarbeitung des Aktionsplans der Kommission für ein nachhaltiges Finanzwesen beigetragen hat.</w:t>
      </w:r>
    </w:p>
    <w:p w:rsidR="00152528" w:rsidRDefault="00152528">
      <w:pPr>
        <w:widowControl w:val="0"/>
        <w:spacing w:after="0" w:line="240" w:lineRule="auto"/>
        <w:jc w:val="both"/>
        <w:rPr>
          <w:rFonts w:ascii="Times New Roman" w:hAnsi="Times New Roman" w:cs="Times New Roman"/>
          <w:noProof/>
          <w:sz w:val="24"/>
          <w:szCs w:val="24"/>
        </w:rPr>
      </w:pPr>
    </w:p>
    <w:p w:rsidR="00152528" w:rsidRDefault="00124136">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Um komplexe Herausforderungen mit einem breiten Spektrum konkurrierender Interessen </w:t>
      </w:r>
      <w:r>
        <w:rPr>
          <w:rFonts w:ascii="Times New Roman" w:hAnsi="Times New Roman"/>
          <w:noProof/>
          <w:sz w:val="24"/>
        </w:rPr>
        <w:t xml:space="preserve">zu bewältigen, könnten Multi-Stakeholder-Partnerschaften gefördert werden, die der Verflechtung der verschiedenen SDGs Rechnung tragen. </w:t>
      </w:r>
    </w:p>
    <w:p w:rsidR="00152528" w:rsidRDefault="00152528">
      <w:pPr>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Allerdings muss bei einem Mehr-Ebenen-Ansatz klar definiert werden, welche Anstrengungen die EU auf der Ebene der glob</w:t>
      </w:r>
      <w:r>
        <w:rPr>
          <w:rFonts w:ascii="Times New Roman" w:hAnsi="Times New Roman"/>
          <w:noProof/>
          <w:sz w:val="24"/>
        </w:rPr>
        <w:t xml:space="preserve">alen Governance unternimmt. Bei der Umsetzung der Nachhaltigkeitsziele stehen wir vielen Herausforderungen gegenüber, die nicht an Grenzen haltmachen. Dafür ist eine stärker „nach außen gerichtete Orientierung“ in enger Zusammenarbeit mit den Partnern der </w:t>
      </w:r>
      <w:r>
        <w:rPr>
          <w:rFonts w:ascii="Times New Roman" w:hAnsi="Times New Roman"/>
          <w:noProof/>
          <w:sz w:val="24"/>
        </w:rPr>
        <w:t>EU aus aller Welt und auf allen Ebenen erforderlich. Eine Schlüsselrolle kommt dem hochrangigen politischen Forum bei den Vereinten Nationen zu, das die Fortschritte bei der Umsetzung verfolgt. Die EU kann als starker Fürsprecher des Multilateralismus eine</w:t>
      </w:r>
      <w:r>
        <w:rPr>
          <w:rFonts w:ascii="Times New Roman" w:hAnsi="Times New Roman"/>
          <w:noProof/>
          <w:sz w:val="24"/>
        </w:rPr>
        <w:t xml:space="preserve"> Führungsrolle bei der Gewährleistung einer ordnungsgemäßen Berichterstattung über die Fortschritte bei der Verwirklichung der Nachhaltigkeitsziele und einer konsequenten Umsetzung und Überwachung durch alle Partner einnehmen.</w:t>
      </w:r>
    </w:p>
    <w:p w:rsidR="00152528" w:rsidRDefault="00124136">
      <w:pPr>
        <w:pStyle w:val="Heading1"/>
        <w:rPr>
          <w:rFonts w:eastAsia="Times New Roman"/>
          <w:noProof/>
        </w:rPr>
      </w:pPr>
      <w:bookmarkStart w:id="40" w:name="_Toc536442051"/>
      <w:bookmarkStart w:id="41" w:name="_Toc536555120"/>
      <w:r>
        <w:rPr>
          <w:noProof/>
        </w:rPr>
        <w:t>Die EU als globaler Wegbereit</w:t>
      </w:r>
      <w:r>
        <w:rPr>
          <w:noProof/>
        </w:rPr>
        <w:t>er einer nachhaltigen Entwicklung</w:t>
      </w:r>
      <w:bookmarkEnd w:id="40"/>
      <w:bookmarkEnd w:id="41"/>
    </w:p>
    <w:p w:rsidR="00152528" w:rsidRDefault="00152528">
      <w:pPr>
        <w:rPr>
          <w:noProof/>
          <w:sz w:val="4"/>
          <w:szCs w:val="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EU und die Vereinten Nationen sind natürliche Partner, wenn es darum geht, eine sicherere und bessere Welt für alle zu schaffen. Wir brauchen nicht mehr Mauern, sondern globale Regeln, die von allen eingehalten werden</w:t>
      </w:r>
      <w:r>
        <w:rPr>
          <w:rFonts w:ascii="Times New Roman" w:hAnsi="Times New Roman"/>
          <w:noProof/>
          <w:sz w:val="24"/>
        </w:rPr>
        <w:t>. Ein auf Regeln basierendes System ist der beste Garant für die Nachhaltigkeit unserer Wirtschaft und Gesellschaft. Nur multilaterale Diplomatie kann zu Lösungen für internationale Herausforderungen führen. In der Globalen Strategie der EU für ihre Außen-</w:t>
      </w:r>
      <w:r>
        <w:rPr>
          <w:rFonts w:ascii="Times New Roman" w:hAnsi="Times New Roman"/>
          <w:noProof/>
          <w:sz w:val="24"/>
        </w:rPr>
        <w:t xml:space="preserve"> und Sicherheitspolitik wird die Bedeutung der SDGs als übergreifende Priorität anerkannt, für deren Umsetzung die EU und ihre Mitgliedstaaten gemeinsam mit ihren internationalen Partnern konzertierte Anstrengungen unternehmen müssen.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Das Wiederaufflammen gewaltsamer Konflikte in der ganzen Welt, insbesondere in den letzten fünf Jahren, erinnert uns erneut daran, dass Frieden und Sicherheit in der EU auch davon abhängig sind, ob die EU in der Lage ist, zum Aufbau und Erhalt des Friedens</w:t>
      </w:r>
      <w:r>
        <w:rPr>
          <w:rFonts w:ascii="Times New Roman" w:hAnsi="Times New Roman"/>
          <w:noProof/>
          <w:sz w:val="24"/>
        </w:rPr>
        <w:t xml:space="preserve"> in anderen Teilen der Welt beizutragen. Durch ihre Erfahrungen bei der Sicherung von Frieden in Europa verfügt die EU als globaler Akteur für dauerhaften Frieden und Wohlstand über „sanfte Macht“ und Glaubwürdigkeit.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EU muss nachhaltige Lösungen für</w:t>
      </w:r>
      <w:r>
        <w:rPr>
          <w:rFonts w:ascii="Times New Roman" w:hAnsi="Times New Roman"/>
          <w:noProof/>
          <w:sz w:val="24"/>
        </w:rPr>
        <w:t xml:space="preserve"> globale Probleme auch weiterhin in den Partnerländern fördern, da unsere politischen Maßnahmen nur begrenzte Auswirkungen auf den Planeten haben werden, wenn andere Länder gegensätzliche politische Maßnahmen verfolgen. Indem sie anderen Ländern hilft und </w:t>
      </w:r>
      <w:r>
        <w:rPr>
          <w:rFonts w:ascii="Times New Roman" w:hAnsi="Times New Roman"/>
          <w:noProof/>
          <w:sz w:val="24"/>
        </w:rPr>
        <w:t xml:space="preserve">diese ermutigt, ihren Maßnahmen zu folgen, kann die EU für gleiche Rahmenbedingungen sorgen, so dass für alle Länder die gleichen Voraussetzungen gelten. Darüber hinaus führt die Nutzung von EU-Lösungen in Drittländern zur Schaffung von Arbeitsplätzen und </w:t>
      </w:r>
      <w:r>
        <w:rPr>
          <w:rFonts w:ascii="Times New Roman" w:hAnsi="Times New Roman"/>
          <w:noProof/>
          <w:sz w:val="24"/>
        </w:rPr>
        <w:t>mehr nachhaltigem Wachstum nicht nur in den Partnerländern, sondern auch in der EU selbst.</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Um den grünen und inklusiven wirtschaftlichen Wandel erfolgreich zu vollziehen, müssen wir letztlich auch unsere internationalen Partner an Bord holen und deutlich </w:t>
      </w:r>
      <w:r>
        <w:rPr>
          <w:rFonts w:ascii="Times New Roman" w:hAnsi="Times New Roman"/>
          <w:noProof/>
          <w:sz w:val="24"/>
        </w:rPr>
        <w:t>machen, dass ein globales Modell für nachhaltige Entwicklung auf der Grundlage unserer zentralen Werte und Grundsätze der beste Weg ist, gemeinsamen Wohlstand und eine nachhaltige Welt zu erreichen. Die internen Bemühungen der EU zur Verwirklichung der SDG</w:t>
      </w:r>
      <w:r>
        <w:rPr>
          <w:rFonts w:ascii="Times New Roman" w:hAnsi="Times New Roman"/>
          <w:noProof/>
          <w:sz w:val="24"/>
        </w:rPr>
        <w:t xml:space="preserve">s und ihre Projektion nach außen sind daher zwei Seiten derselben Medaille. Es liegt im Interesse der EU, im Rahmen ihres auswärtigen Handelns auch weltweit eine führende Rolle bei der Umsetzung der Agenda 2030 der Vereinten Nationen zu übernehmen.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pStyle w:val="PlainText"/>
        <w:jc w:val="both"/>
        <w:rPr>
          <w:rFonts w:ascii="Times New Roman" w:hAnsi="Times New Roman" w:cs="Times New Roman"/>
          <w:noProof/>
          <w:sz w:val="24"/>
          <w:szCs w:val="24"/>
        </w:rPr>
      </w:pPr>
      <w:r>
        <w:rPr>
          <w:rFonts w:ascii="Times New Roman" w:hAnsi="Times New Roman"/>
          <w:noProof/>
          <w:sz w:val="24"/>
        </w:rPr>
        <w:t>Die E</w:t>
      </w:r>
      <w:r>
        <w:rPr>
          <w:rFonts w:ascii="Times New Roman" w:hAnsi="Times New Roman"/>
          <w:noProof/>
          <w:sz w:val="24"/>
        </w:rPr>
        <w:t>U und ihre Mitgliedstaaten sind weltweit der größte Geber von Entwicklungshilfe und humanitärer Hilfe. Die EU setzt sich geschlossen dafür ein, ihren Beitrag zur öffentlichen Entwicklungshilfe auf mindestens 0,7 % ihres Bruttonationaleinkommens pro Jahr zu</w:t>
      </w:r>
      <w:r>
        <w:rPr>
          <w:rFonts w:ascii="Times New Roman" w:hAnsi="Times New Roman"/>
          <w:noProof/>
          <w:sz w:val="24"/>
        </w:rPr>
        <w:t xml:space="preserve"> erhöhen. Durch die weltweite Kooperation mit 150 Partnerländern kann die EU im Rahmen ihrer Entwicklungszusammenarbeit sowohl Menschen aus der Armut befreien und ihnen ein Leben in Würde und Gleichheit ermöglichen als auch friedliche, gerechte und inklusi</w:t>
      </w:r>
      <w:r>
        <w:rPr>
          <w:rFonts w:ascii="Times New Roman" w:hAnsi="Times New Roman"/>
          <w:noProof/>
          <w:sz w:val="24"/>
        </w:rPr>
        <w:t>ve Gesellschaften aufbauen. Vor dem Hintergrund anhaltender Krisen muss die EU ihre konzertierten Anstrengungen fortsetzen, um den humanitären Bedarf zu decken und gleichzeitig die Ursachen von Armut, Vertreibung, Fragilität und Instabilität zu bekämpfen.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Beim neuen Europäischen Konsens über die Entwicklungspolitik sind die Maßnahmen der EU ausdrücklich auf die Umsetzung der Agenda 2030 der Vereinten Nationen ausgerichtet, mit dem Hauptziel, die Armut zu beseitigen. Eine der größten Stärken des Konsenses l</w:t>
      </w:r>
      <w:r>
        <w:rPr>
          <w:rFonts w:ascii="Times New Roman" w:hAnsi="Times New Roman"/>
          <w:noProof/>
          <w:sz w:val="24"/>
        </w:rPr>
        <w:t>iegt darin, dass sich die EU gemeinsam mit den Mitgliedstaaten für eine bessere Zusammenarbeit einsetzt, unter anderem durch eine bessere gemeinsame Programmierung und eine wirksamere Koordinierung vor Ort. Dies dürfte sich mit dem künftigen Außenfinanzier</w:t>
      </w:r>
      <w:r>
        <w:rPr>
          <w:rFonts w:ascii="Times New Roman" w:hAnsi="Times New Roman"/>
          <w:noProof/>
          <w:sz w:val="24"/>
        </w:rPr>
        <w:t xml:space="preserve">ungsinstrument der EU, das ausdrücklich dazu dient, die Umsetzung der SDGs zu unterstützen, noch weiter verbessern.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Wir werden unsere aktive Zusammenarbeit mit den Partnerländern fortsetzen – durch den politischen Dialog auf der Grundlage der SDGs sowie </w:t>
      </w:r>
      <w:r>
        <w:rPr>
          <w:rFonts w:ascii="Times New Roman" w:hAnsi="Times New Roman"/>
          <w:noProof/>
          <w:sz w:val="24"/>
        </w:rPr>
        <w:t>durch finanzielle Unterstützung und Entwicklungszusammenarbeit. Die neue Partnerschaft der EU mit den Ländern in Afrika, im karibischen Raum und im Pazifischen Ozean, die das derzeitige Abkommen von Cotonou ablösen wird, dürfte durch die Verwirklichung der</w:t>
      </w:r>
      <w:r>
        <w:rPr>
          <w:rFonts w:ascii="Times New Roman" w:hAnsi="Times New Roman"/>
          <w:noProof/>
          <w:sz w:val="24"/>
        </w:rPr>
        <w:t xml:space="preserve"> SDGs zu wachsendem Wohlstand beitragen. Die EU und ihre Mitgliedstaaten sollten dem Aufbau einer starken Partnerschaft und einer gleichberechtigten Zusammenarbeit mit Afrika in Zukunft eine besondere Bedeutung beimessen. Die EU hat ein starkes Interesse a</w:t>
      </w:r>
      <w:r>
        <w:rPr>
          <w:rFonts w:ascii="Times New Roman" w:hAnsi="Times New Roman"/>
          <w:noProof/>
          <w:sz w:val="24"/>
        </w:rPr>
        <w:t>n einem afrikanischen Kontinent, der wirtschaftlich und politisch gedeiht und bessere Möglichkeiten für Wachstum, lokale Beschäftigung, neue Geschäftsmodelle und für beide Seiten nutzbringende Handelsbeziehungen mit Europa bietet. Gleichzeitig kann die Zus</w:t>
      </w:r>
      <w:r>
        <w:rPr>
          <w:rFonts w:ascii="Times New Roman" w:hAnsi="Times New Roman"/>
          <w:noProof/>
          <w:sz w:val="24"/>
        </w:rPr>
        <w:t>ammenarbeit der EU mit weiter fortgeschrittenen Entwicklungsländern in einem breiten Spektrum von Sektoren die nachhaltige Entwicklung weltweit bedeutend voranbringen.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umfassende Einbindung des Privatsektors und die Förderung nachhaltiger Investitione</w:t>
      </w:r>
      <w:r>
        <w:rPr>
          <w:rFonts w:ascii="Times New Roman" w:hAnsi="Times New Roman"/>
          <w:noProof/>
          <w:sz w:val="24"/>
        </w:rPr>
        <w:t>n über die EU-Grenzen hinaus bleibt eine Priorität. Mit der Europäischen Investitionsoffensive für Drittländer wurde ein neuer Standard für die Nutzung öffentlicher Mittel geschaffen, um private Investitionen für die nachhaltige Entwicklung in Partnerlände</w:t>
      </w:r>
      <w:r>
        <w:rPr>
          <w:rFonts w:ascii="Times New Roman" w:hAnsi="Times New Roman"/>
          <w:noProof/>
          <w:sz w:val="24"/>
        </w:rPr>
        <w:t>rn zu mobilisieren – angefangen bei Afrika und der EU-Nachbarschaft</w:t>
      </w:r>
      <w:r>
        <w:rPr>
          <w:rStyle w:val="FootnoteReference"/>
          <w:rFonts w:ascii="Times New Roman" w:hAnsi="Times New Roman"/>
          <w:noProof/>
          <w:sz w:val="24"/>
        </w:rPr>
        <w:footnoteReference w:id="80"/>
      </w:r>
      <w:r>
        <w:rPr>
          <w:rFonts w:ascii="Times New Roman" w:hAnsi="Times New Roman"/>
          <w:noProof/>
          <w:sz w:val="24"/>
        </w:rPr>
        <w:t>. Die neue Allianz Afrika-Europa für nachhaltige Investitionen und Arbeitsplätze, die im September 2018 ins Leben gerufen wurde, bietet ein großes Potenzial für die Erschließung nachhaltig</w:t>
      </w:r>
      <w:r>
        <w:rPr>
          <w:rFonts w:ascii="Times New Roman" w:hAnsi="Times New Roman"/>
          <w:noProof/>
          <w:sz w:val="24"/>
        </w:rPr>
        <w:t xml:space="preserve">er Investitionen und trägt dazu bei, dass allein in den nächsten fünf Jahren bis zu zehn Millionen Arbeitsplätze in Afrika geschaffen werden können.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Da besonders Entwicklungsländer Schwierigkeiten haben, Zugang zu ausreichender Finanzierung für ihren Be</w:t>
      </w:r>
      <w:r>
        <w:rPr>
          <w:rFonts w:ascii="Times New Roman" w:hAnsi="Times New Roman"/>
          <w:noProof/>
          <w:sz w:val="24"/>
        </w:rPr>
        <w:t xml:space="preserve">darf an nachhaltiger Infrastruktur und Energieeffizienz zu erhalten, könnte der globale Charakter der Finanzmärkte ein großes Potenzial bieten, alle Länder im Übergangsprozess zu unterstützen, indem lokaler Bedarf aus globalen Finanzierungsquellen gedeckt </w:t>
      </w:r>
      <w:r>
        <w:rPr>
          <w:rFonts w:ascii="Times New Roman" w:hAnsi="Times New Roman"/>
          <w:noProof/>
          <w:sz w:val="24"/>
        </w:rPr>
        <w:t>wird. Durch die länderübergreifende Abstimmung von nachhaltigen Finanzinitiativen und -instrumenten würden kompatible Märkte für nachhaltige finanzielle Vermögenswerte über die Grenzen hinweg sichergestellt, Größenvorteile erzielt und eine Fragmentierung v</w:t>
      </w:r>
      <w:r>
        <w:rPr>
          <w:rFonts w:ascii="Times New Roman" w:hAnsi="Times New Roman"/>
          <w:noProof/>
          <w:sz w:val="24"/>
        </w:rPr>
        <w:t xml:space="preserve">ermieden. Dies würde den Unternehmen und dem Finanzsektor weltweit bedeutende neue Investitionsmöglichkeiten eröffnen.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Die EU hat sich zum Ziel gesetzt, bei der Koordinierung der internationalen Bemühungen um den Aufbau eines Finanzsystems, das weltweit </w:t>
      </w:r>
      <w:r>
        <w:rPr>
          <w:rFonts w:ascii="Times New Roman" w:hAnsi="Times New Roman"/>
          <w:noProof/>
          <w:sz w:val="24"/>
        </w:rPr>
        <w:t>nachhaltiges Wachstum fördert, eine führende Rolle zu übernehmen. Um die Zusammenarbeit zu verstärken und Synergien zu nutzen, wäre es zweckmäßig, ein internationales Netz von Verwaltungsstellen sowohl aus Industrie- wie auch aus Entwicklungsländern aufzub</w:t>
      </w:r>
      <w:r>
        <w:rPr>
          <w:rFonts w:ascii="Times New Roman" w:hAnsi="Times New Roman"/>
          <w:noProof/>
          <w:sz w:val="24"/>
        </w:rPr>
        <w:t>auen, die sich für die Förderung eines nachhaltigen Finanzwesens einsetzen. Eine kohärente internationale Strategie und Architektur, mit der Institutionen wie die Weltbankgruppe, die Organisation für wirtschaftliche Zusammenarbeit und Entwicklung, die Euro</w:t>
      </w:r>
      <w:r>
        <w:rPr>
          <w:rFonts w:ascii="Times New Roman" w:hAnsi="Times New Roman"/>
          <w:noProof/>
          <w:sz w:val="24"/>
        </w:rPr>
        <w:t>päische Investitionsbank und die Europäische Bank für Wiederaufbau und Entwicklung mobilisiert werden, würde dazu beitragen, nachhaltige Finanzierungen zu unterstützen und internationale Investoren für nachhaltige Investitionen in der ganzen Welt zu gewinn</w:t>
      </w:r>
      <w:r>
        <w:rPr>
          <w:rFonts w:ascii="Times New Roman" w:hAnsi="Times New Roman"/>
          <w:noProof/>
          <w:sz w:val="24"/>
        </w:rPr>
        <w:t>en. Neue Finanztechnologien und innovative Finanzierungslösungen bieten zusätzliche großartige Möglichkeiten, um globale Investoren mit nachhaltigen Projekten in Verbindung zu bringen.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Klimawandel und Umweltzerstörung stellen zunehmend eine der größten Be</w:t>
      </w:r>
      <w:r>
        <w:rPr>
          <w:rFonts w:ascii="Times New Roman" w:hAnsi="Times New Roman"/>
          <w:noProof/>
          <w:sz w:val="24"/>
        </w:rPr>
        <w:t>drohungen für Frieden und Sicherheit in der Welt dar, und ohne entschlossenes Handeln wird diese Bedrohung für unseren Planeten, einschließlich Vertreibung und Migration, noch verstärkt. Die EU muss hier eine Vorreiterrolle übernehmen, unter anderem bei de</w:t>
      </w:r>
      <w:r>
        <w:rPr>
          <w:rFonts w:ascii="Times New Roman" w:hAnsi="Times New Roman"/>
          <w:noProof/>
          <w:sz w:val="24"/>
        </w:rPr>
        <w:t xml:space="preserve">r rigorosen Umsetzung des Pariser Klimaschutzübereinkommens und bei den internationalen Bemühungen um die Dekarbonisierung des Verkehrssektors. Die EU könnte zudem verbindliche globale Vereinbarungen in den Bereichen Kreislaufwirtschaft, Ressourcennutzung </w:t>
      </w:r>
      <w:r>
        <w:rPr>
          <w:rFonts w:ascii="Times New Roman" w:hAnsi="Times New Roman"/>
          <w:noProof/>
          <w:sz w:val="24"/>
        </w:rPr>
        <w:t xml:space="preserve">und biologische Vielfalt initiieren.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Als Wegbereiter eines grünen und inklusiven wirtschaftlichen Wandels, unter nachdrücklicher Förderung internationaler Regeln, können wir weltweit geltende Standards festlegen und uns einen starken Wettbewerbsvorteil a</w:t>
      </w:r>
      <w:r>
        <w:rPr>
          <w:rFonts w:ascii="Times New Roman" w:hAnsi="Times New Roman"/>
          <w:noProof/>
          <w:sz w:val="24"/>
        </w:rPr>
        <w:t xml:space="preserve">uf dem globalen Markt verschaffen. </w:t>
      </w:r>
    </w:p>
    <w:p w:rsidR="00152528" w:rsidRDefault="00124136">
      <w:pPr>
        <w:pStyle w:val="Heading1"/>
        <w:rPr>
          <w:rFonts w:eastAsia="Times New Roman"/>
          <w:noProof/>
        </w:rPr>
      </w:pPr>
      <w:bookmarkStart w:id="42" w:name="_Toc536442052"/>
      <w:bookmarkStart w:id="43" w:name="_Toc536555121"/>
      <w:r>
        <w:rPr>
          <w:noProof/>
        </w:rPr>
        <w:t>Zukunftsszenarien</w:t>
      </w:r>
      <w:bookmarkEnd w:id="42"/>
      <w:bookmarkEnd w:id="43"/>
    </w:p>
    <w:p w:rsidR="00152528" w:rsidRDefault="00124136">
      <w:pPr>
        <w:rPr>
          <w:noProof/>
          <w:sz w:val="4"/>
          <w:szCs w:val="4"/>
        </w:rPr>
      </w:pPr>
      <w:r>
        <w:rPr>
          <w:noProof/>
        </w:rPr>
        <w:t xml:space="preserve">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Die EU hat sich uneingeschränkt zur Umsetzung der Agenda 2030 der Vereinten Nationen verpflichtet. Angesichts des neuen fünfjährigen Politikzyklus, der uns erwartet, ist es an der Zeit zu vereinbaren,</w:t>
      </w:r>
      <w:r>
        <w:rPr>
          <w:rFonts w:ascii="Times New Roman" w:hAnsi="Times New Roman"/>
          <w:noProof/>
          <w:sz w:val="24"/>
          <w:u w:color="000000"/>
        </w:rPr>
        <w:t xml:space="preserve"> wie wir unserer gemeinsamen Verpflichtung gerecht werden. Die EU-Institutionen müssen über die Strukturen, Instrumente und Strategien entscheiden, die für die Umsetzung und Verwirklichung der SDGs sowie zur Unterstützung und Orientierung unserer Partner e</w:t>
      </w:r>
      <w:r>
        <w:rPr>
          <w:rFonts w:ascii="Times New Roman" w:hAnsi="Times New Roman"/>
          <w:noProof/>
          <w:sz w:val="24"/>
          <w:u w:color="000000"/>
        </w:rPr>
        <w:t>ingesetzt werden sollen. Hierzu gibt es verschiedene Ideen, und jede Institution – das Parlament, der Rat und die Kommission – hat gemäß den Verträgen und unseren internationalen Verpflichtungen ihre eigenen Befugnisse.</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Im Oktober 2018 begrüßte der Europäi</w:t>
      </w:r>
      <w:r>
        <w:rPr>
          <w:rFonts w:ascii="Times New Roman" w:hAnsi="Times New Roman"/>
          <w:noProof/>
          <w:sz w:val="24"/>
          <w:u w:color="000000"/>
        </w:rPr>
        <w:t>sche Rat die Absicht der Kommission, ein Reflexionspapier zu veröffentlichen, um den Weg für eine übergreifende Umsetzungsstrategie für 2019 zu ebnen.</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In diesem Reflexionspapier werden im Anschluss an die Leitlinien des Europäischen Rates drei verschiedene</w:t>
      </w:r>
      <w:r>
        <w:rPr>
          <w:rFonts w:ascii="Times New Roman" w:hAnsi="Times New Roman"/>
          <w:noProof/>
          <w:sz w:val="24"/>
          <w:u w:color="000000"/>
        </w:rPr>
        <w:t xml:space="preserve"> Szenarien vorgeschlagen, um zu beraten, wie die Umsetzung der SDGs am besten erreicht werden könnte und was die effektivste Rollenverteilung wäre. Diese Überlegungen sollen eine Debatte zwischen Bürgern, Interessenträgern, Regierungen und Institutionen in</w:t>
      </w:r>
      <w:r>
        <w:rPr>
          <w:rFonts w:ascii="Times New Roman" w:hAnsi="Times New Roman"/>
          <w:noProof/>
          <w:sz w:val="24"/>
          <w:u w:color="000000"/>
        </w:rPr>
        <w:t xml:space="preserve"> den kommenden Monaten anstoßen, deren Ergebnisse in die Ausarbeitung der Strategischen Agenda der EU für den Zeitraum 2019-2024 und in die Prioritätensetzung des nächsten Präsidenten der Europäischen Kommission einfließen sollen.</w:t>
      </w:r>
    </w:p>
    <w:p w:rsidR="00152528" w:rsidRDefault="00124136">
      <w:pPr>
        <w:spacing w:line="240" w:lineRule="auto"/>
        <w:jc w:val="both"/>
        <w:rPr>
          <w:rFonts w:ascii="Times New Roman" w:hAnsi="Times New Roman" w:cs="Times New Roman"/>
          <w:noProof/>
          <w:sz w:val="24"/>
          <w:szCs w:val="24"/>
          <w:u w:color="000000"/>
        </w:rPr>
      </w:pPr>
      <w:bookmarkStart w:id="44" w:name="_Toc519260826"/>
      <w:bookmarkEnd w:id="44"/>
      <w:r>
        <w:rPr>
          <w:rFonts w:ascii="Times New Roman" w:hAnsi="Times New Roman"/>
          <w:noProof/>
          <w:sz w:val="24"/>
          <w:u w:color="000000"/>
        </w:rPr>
        <w:t>Alle drei Szenarien beruhen auf einer gemeinsamen Prämisse, nämlich dass die Mitgliedstaaten, die Unternehmen und die Zivilgesellschaft anerkennen müssen, dass ein verstärktes Engagement erforderlich ist, wenn die EU und die Welt eine nachhaltige Zukunft s</w:t>
      </w:r>
      <w:r>
        <w:rPr>
          <w:rFonts w:ascii="Times New Roman" w:hAnsi="Times New Roman"/>
          <w:noProof/>
          <w:sz w:val="24"/>
          <w:u w:color="000000"/>
        </w:rPr>
        <w:t xml:space="preserve">ichern und die SDGs bis 2030 und darüber hinaus im Interesse einer modernen Wirtschaft, einer sauberen Umwelt und des Wohlergehens unserer Bürgerinnen und Bürger verwirklichen wollen, damit unser Planet bewohnbar bleibt.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Es besteht auch Einigkeit darüber,</w:t>
      </w:r>
      <w:r>
        <w:rPr>
          <w:rFonts w:ascii="Times New Roman" w:hAnsi="Times New Roman"/>
          <w:noProof/>
          <w:sz w:val="24"/>
          <w:u w:color="000000"/>
        </w:rPr>
        <w:t xml:space="preserve"> dass Maßnahmen zur Förderung der Nachhaltigkeit zwar eine europäische Dimension erfordern, aber letztlich nur ein globaler Ansatz wirklich Erfolg haben kann. Damit die EU als wohlhabender Kontinent weiterhin gedeihen kann, benötigt ein großer Teil der Ent</w:t>
      </w:r>
      <w:r>
        <w:rPr>
          <w:rFonts w:ascii="Times New Roman" w:hAnsi="Times New Roman"/>
          <w:noProof/>
          <w:sz w:val="24"/>
          <w:u w:color="000000"/>
        </w:rPr>
        <w:t>wicklungsländer Unterstützung, um wirtschaftlich und sozial aufzuholen. In diesem Sinne entspricht die Unterstützung des wirtschaftlichen Fortschritts der Entwicklungsländer im Hinblick auf die SDG auch einem breiten Spektrum an strategischen Interessen de</w:t>
      </w:r>
      <w:r>
        <w:rPr>
          <w:rFonts w:ascii="Times New Roman" w:hAnsi="Times New Roman"/>
          <w:noProof/>
          <w:sz w:val="24"/>
          <w:u w:color="000000"/>
        </w:rPr>
        <w:t xml:space="preserve">r EU, etwa der Verringerung der irregulären Migration. Die von 193 Staaten unterzeichneten SDGs bieten den besten und modernsten globalen und umfassenden Rahmen für unsere Arbeit.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In der europäischen Debatte geht es nun darum, was zu tun ist und wie es zu</w:t>
      </w:r>
      <w:r>
        <w:rPr>
          <w:rFonts w:ascii="Times New Roman" w:hAnsi="Times New Roman"/>
          <w:noProof/>
          <w:sz w:val="24"/>
          <w:u w:color="000000"/>
        </w:rPr>
        <w:t xml:space="preserve"> tun ist. Die drei Szenarien bieten unterschiedliche Antworten, gehen aber alle davon aus, dass die EU aufgrund großer Wettbewerbsvorteile weltweit eine Führungs- und Vorreiterrolle übernehmen kann. Diese Szenarien sind weder restriktiv noch normativ. Sie </w:t>
      </w:r>
      <w:r>
        <w:rPr>
          <w:rFonts w:ascii="Times New Roman" w:hAnsi="Times New Roman"/>
          <w:noProof/>
          <w:sz w:val="24"/>
          <w:u w:color="000000"/>
        </w:rPr>
        <w:t>zielen darauf ab, verschiedene Wege aufzuzeigen und zu Diskussionen und zum Gedankenaustausch anzuregen.</w:t>
      </w:r>
      <w:r>
        <w:rPr>
          <w:rFonts w:ascii="Times New Roman" w:hAnsi="Times New Roman"/>
          <w:noProof/>
          <w:sz w:val="24"/>
        </w:rPr>
        <w:t xml:space="preserve"> Das Endergebnis wird wahrscheinlich eine Kombination bestimmter Elemente aus jedem Szenario sein. </w:t>
      </w:r>
    </w:p>
    <w:p w:rsidR="00152528" w:rsidRDefault="00152528">
      <w:pPr>
        <w:spacing w:line="240" w:lineRule="auto"/>
        <w:jc w:val="both"/>
        <w:rPr>
          <w:rFonts w:ascii="Times New Roman" w:hAnsi="Times New Roman" w:cs="Times New Roman"/>
          <w:noProof/>
          <w:sz w:val="24"/>
          <w:szCs w:val="24"/>
          <w:u w:color="000000"/>
        </w:rPr>
        <w:sectPr w:rsidR="00152528">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20"/>
          <w:docGrid w:linePitch="360"/>
        </w:sectPr>
      </w:pPr>
    </w:p>
    <w:p w:rsidR="00152528" w:rsidRDefault="00124136">
      <w:pPr>
        <w:rPr>
          <w:rFonts w:ascii="Times New Roman" w:hAnsi="Times New Roman" w:cs="Times New Roman"/>
          <w:b/>
          <w:noProof/>
          <w:color w:val="4F81BD" w:themeColor="accent1"/>
          <w:sz w:val="24"/>
          <w:szCs w:val="24"/>
          <w:u w:color="000000"/>
        </w:rPr>
      </w:pPr>
      <w:bookmarkStart w:id="45" w:name="_Toc529790807"/>
      <w:r>
        <w:rPr>
          <w:rFonts w:ascii="Times New Roman" w:hAnsi="Times New Roman"/>
          <w:b/>
          <w:noProof/>
          <w:color w:val="4F81BD" w:themeColor="accent1"/>
          <w:sz w:val="24"/>
          <w:u w:color="000000"/>
        </w:rPr>
        <w:t>Szenario 1: Eine übergreifende EU-Strategie für die SDGs, die als Richtschnur für die EU und ihre Mitgliedstaaten dienen soll</w:t>
      </w:r>
      <w:bookmarkEnd w:id="45"/>
    </w:p>
    <w:p w:rsidR="00152528" w:rsidRDefault="00152528">
      <w:pPr>
        <w:spacing w:after="0" w:line="240" w:lineRule="auto"/>
        <w:jc w:val="both"/>
        <w:rPr>
          <w:rFonts w:ascii="Times New Roman" w:hAnsi="Times New Roman" w:cs="Times New Roman"/>
          <w:noProof/>
          <w:sz w:val="24"/>
          <w:szCs w:val="24"/>
          <w:u w:color="000000"/>
        </w:rPr>
        <w:sectPr w:rsidR="00152528">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417" w:right="1417" w:bottom="1417" w:left="1417" w:header="708" w:footer="708" w:gutter="0"/>
          <w:cols w:space="708"/>
          <w:docGrid w:linePitch="360"/>
        </w:sect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Ein Weg, um die Herausforderungen, vor denen wir</w:t>
      </w:r>
      <w:r>
        <w:rPr>
          <w:rFonts w:ascii="Times New Roman" w:hAnsi="Times New Roman"/>
          <w:noProof/>
          <w:sz w:val="24"/>
          <w:u w:color="000000"/>
        </w:rPr>
        <w:t xml:space="preserve"> stehen, zu bewältigen, besteht darin, dass wir die international vereinbarten SDGs auf höchster politischer Ebene der EU als übergreifende strategische Ziele für die EU und ihre Mitgliedstaaten unterstützen. Ein solcher Ansatz stünde im Einklang mit der E</w:t>
      </w:r>
      <w:r>
        <w:rPr>
          <w:rFonts w:ascii="Times New Roman" w:hAnsi="Times New Roman"/>
          <w:noProof/>
          <w:sz w:val="24"/>
          <w:u w:color="000000"/>
        </w:rPr>
        <w:t>mpfehlung der hochrangigen Multi-Stakeholder-Plattform zur Umsetzung der SDGs.</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Bei diesem Szenario wären die Agenda 2030 der Vereinten Nationen und die SDGs unser Kompass und unsere Karte und würden somit den strategischen Rahmen für die EU und die einzeln</w:t>
      </w:r>
      <w:r>
        <w:rPr>
          <w:rFonts w:ascii="Times New Roman" w:hAnsi="Times New Roman"/>
          <w:noProof/>
          <w:sz w:val="24"/>
          <w:u w:color="000000"/>
        </w:rPr>
        <w:t>en Mitgliedstaaten bestimmen.</w:t>
      </w:r>
    </w:p>
    <w:p w:rsidR="00152528" w:rsidRDefault="00124136">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Die strategischen Maßnahmen der EU und der Mitgliedstaaten, auch der regionalen und lokalen Behörden, würden fortgesetzt und wirksam koordiniert. Ein gemeinsames Konzept auf allen Ebenen der Governance würde in enger Zusammena</w:t>
      </w:r>
      <w:r>
        <w:rPr>
          <w:rFonts w:ascii="Times New Roman" w:hAnsi="Times New Roman"/>
          <w:noProof/>
          <w:sz w:val="24"/>
          <w:u w:color="000000"/>
        </w:rPr>
        <w:t xml:space="preserve">rbeit mit allen Interessenträgern gefördert. Dabei würde in die Beziehungen der EU zu Drittländern eine starke Komponente zur Förderung internationaler Maßnahmen für Nachhaltigkeit aufgenommen. </w:t>
      </w:r>
    </w:p>
    <w:p w:rsidR="00152528" w:rsidRDefault="00152528">
      <w:pPr>
        <w:spacing w:after="0" w:line="240" w:lineRule="auto"/>
        <w:jc w:val="both"/>
        <w:rPr>
          <w:rFonts w:ascii="Times New Roman" w:hAnsi="Times New Roman" w:cs="Times New Roman"/>
          <w:noProof/>
          <w:sz w:val="24"/>
          <w:szCs w:val="24"/>
          <w:u w:color="000000"/>
        </w:rPr>
      </w:pPr>
    </w:p>
    <w:p w:rsidR="00152528" w:rsidRDefault="00124136">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Dies impliziert auch die Einrichtung eines „Europäischen Ver</w:t>
      </w:r>
      <w:r>
        <w:rPr>
          <w:rFonts w:ascii="Times New Roman" w:hAnsi="Times New Roman"/>
          <w:noProof/>
          <w:sz w:val="24"/>
          <w:u w:color="000000"/>
        </w:rPr>
        <w:t>fahrens für die politische Koordinierung der SDGs“, mit dem die Fortschritte bei der Umsetzung regelmäßig bewertet und überwacht werden, wobei der Querschnittscharakter und die Verknüpfung zwischen den SDGs, auch auf der Ebene der internen Governance der E</w:t>
      </w:r>
      <w:r>
        <w:rPr>
          <w:rFonts w:ascii="Times New Roman" w:hAnsi="Times New Roman"/>
          <w:noProof/>
          <w:sz w:val="24"/>
          <w:u w:color="000000"/>
        </w:rPr>
        <w:t xml:space="preserve">uropäischen Kommission, widergespiegelt werden. </w:t>
      </w:r>
    </w:p>
    <w:p w:rsidR="00152528" w:rsidRDefault="00152528">
      <w:pPr>
        <w:spacing w:after="0" w:line="240" w:lineRule="auto"/>
        <w:jc w:val="both"/>
        <w:rPr>
          <w:rFonts w:ascii="Times New Roman" w:hAnsi="Times New Roman" w:cs="Times New Roman"/>
          <w:noProof/>
          <w:sz w:val="24"/>
          <w:szCs w:val="24"/>
          <w:u w:color="000000"/>
        </w:rPr>
      </w:pPr>
    </w:p>
    <w:p w:rsidR="00152528" w:rsidRDefault="00152528">
      <w:pPr>
        <w:spacing w:after="0" w:line="240" w:lineRule="auto"/>
        <w:jc w:val="both"/>
        <w:rPr>
          <w:rFonts w:ascii="Times New Roman" w:hAnsi="Times New Roman" w:cs="Times New Roman"/>
          <w:noProof/>
          <w:sz w:val="24"/>
          <w:szCs w:val="24"/>
          <w:u w:color="000000"/>
        </w:rPr>
      </w:pPr>
    </w:p>
    <w:p w:rsidR="00152528" w:rsidRDefault="00152528">
      <w:pPr>
        <w:spacing w:after="0" w:line="240" w:lineRule="auto"/>
        <w:jc w:val="both"/>
        <w:rPr>
          <w:rFonts w:ascii="Times New Roman" w:hAnsi="Times New Roman" w:cs="Times New Roman"/>
          <w:noProof/>
          <w:sz w:val="24"/>
          <w:szCs w:val="24"/>
          <w:u w:color="000000"/>
        </w:rPr>
      </w:pPr>
    </w:p>
    <w:p w:rsidR="00152528" w:rsidRDefault="00152528">
      <w:pPr>
        <w:spacing w:after="0" w:line="240" w:lineRule="auto"/>
        <w:jc w:val="both"/>
        <w:rPr>
          <w:rFonts w:ascii="Times New Roman" w:hAnsi="Times New Roman" w:cs="Times New Roman"/>
          <w:noProof/>
          <w:sz w:val="24"/>
          <w:szCs w:val="24"/>
          <w:u w:color="000000"/>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u w:color="000000"/>
        </w:rPr>
        <w:sectPr w:rsidR="00152528">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17" w:right="1417" w:bottom="1417" w:left="1417" w:header="708" w:footer="708" w:gutter="0"/>
          <w:cols w:num="2" w:space="708"/>
          <w:docGrid w:linePitch="360"/>
        </w:sectPr>
      </w:pPr>
    </w:p>
    <w:p w:rsidR="00152528" w:rsidRDefault="00152528">
      <w:pPr>
        <w:autoSpaceDE w:val="0"/>
        <w:autoSpaceDN w:val="0"/>
        <w:adjustRightInd w:val="0"/>
        <w:spacing w:after="0" w:line="240" w:lineRule="auto"/>
        <w:jc w:val="both"/>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152528">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Was dies in der Praxis bedeuten könnte</w:t>
            </w:r>
          </w:p>
        </w:tc>
      </w:tr>
      <w:tr w:rsidR="00152528">
        <w:tc>
          <w:tcPr>
            <w:tcW w:w="5000" w:type="pct"/>
            <w:tcBorders>
              <w:top w:val="single" w:sz="4" w:space="0" w:color="auto"/>
              <w:left w:val="single" w:sz="4" w:space="0" w:color="auto"/>
              <w:bottom w:val="single" w:sz="4" w:space="0" w:color="auto"/>
              <w:right w:val="single" w:sz="4" w:space="0" w:color="auto"/>
            </w:tcBorders>
          </w:tcPr>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Spezifische Ziele für die Umsetzung der SDGs werden auf EU-Ebene festgelegt und eine übergreifende </w:t>
            </w:r>
            <w:r>
              <w:rPr>
                <w:rFonts w:ascii="Times New Roman" w:hAnsi="Times New Roman"/>
                <w:noProof/>
                <w:sz w:val="24"/>
                <w:u w:color="000000"/>
              </w:rPr>
              <w:t>EU-Strategie für nachhaltige Entwicklung wird von der Kommission, dem Europäischen Parlament und dem Rat umgesetzt;</w:t>
            </w:r>
          </w:p>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umfassende nationale Strategien für nachhaltige Entwicklung werden auf nationaler Ebene entwickelt;</w:t>
            </w:r>
          </w:p>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konkrete und zeitgebundene Leistungen </w:t>
            </w:r>
            <w:r>
              <w:rPr>
                <w:rFonts w:ascii="Times New Roman" w:hAnsi="Times New Roman"/>
                <w:noProof/>
                <w:sz w:val="24"/>
                <w:u w:color="000000"/>
              </w:rPr>
              <w:t>bis 2030 werden von der Kommission vorgeschlagen und vom Europäischen Rat gebilligt;</w:t>
            </w:r>
          </w:p>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der Grundsatz „Nachhaltigkeit zuerst“ wird in die Agenden der EU und ihrer Mitgliedstaaten für eine bessere Rechtsetzung integriert;</w:t>
            </w:r>
          </w:p>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ein Mechanismus zur Berichterstattung </w:t>
            </w:r>
            <w:r>
              <w:rPr>
                <w:rFonts w:ascii="Times New Roman" w:hAnsi="Times New Roman"/>
                <w:noProof/>
                <w:sz w:val="24"/>
                <w:u w:color="000000"/>
              </w:rPr>
              <w:t>und Überwachung der Fortschritte bei der Verwirklichung der SDGs auf der Ebene der Mitgliedstaaten wird eingerichtet und koordiniert, beispielsweise im Rahmen des Europäischen Semesters;</w:t>
            </w:r>
          </w:p>
          <w:p w:rsidR="00152528" w:rsidRDefault="00124136">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die Rolle der Multi-Stakeholder-Plattform im Hinblick auf die SDGs wi</w:t>
            </w:r>
            <w:r>
              <w:rPr>
                <w:rFonts w:ascii="Times New Roman" w:hAnsi="Times New Roman"/>
                <w:noProof/>
                <w:sz w:val="24"/>
                <w:u w:color="000000"/>
              </w:rPr>
              <w:t>rd durch einen spezifischen Auftrag zur Überwachung ihrer Umsetzung gestärkt;</w:t>
            </w:r>
          </w:p>
          <w:p w:rsidR="00152528" w:rsidRDefault="00124136">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die EU verstärkt weiter ihre außenpolitischen Maßnahmen im Bereich der Nachhaltigkeit und richtet alle außenpolitischen Maßnahmen auf die Umsetzung der SDGs aus.</w:t>
            </w:r>
          </w:p>
        </w:tc>
      </w:tr>
    </w:tbl>
    <w:p w:rsidR="00152528" w:rsidRDefault="00152528">
      <w:pPr>
        <w:autoSpaceDE w:val="0"/>
        <w:autoSpaceDN w:val="0"/>
        <w:adjustRightInd w:val="0"/>
        <w:spacing w:after="0" w:line="240" w:lineRule="auto"/>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152528">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Pro und Kontra</w:t>
            </w:r>
          </w:p>
        </w:tc>
      </w:tr>
      <w:tr w:rsidR="00152528">
        <w:trPr>
          <w:trHeight w:val="476"/>
        </w:trPr>
        <w:tc>
          <w:tcPr>
            <w:tcW w:w="5000" w:type="pct"/>
            <w:tcBorders>
              <w:top w:val="single" w:sz="4" w:space="0" w:color="auto"/>
              <w:left w:val="single" w:sz="4" w:space="0" w:color="auto"/>
              <w:right w:val="single" w:sz="4" w:space="0" w:color="auto"/>
            </w:tcBorders>
          </w:tcPr>
          <w:p w:rsidR="00152528" w:rsidRDefault="00152528">
            <w:pPr>
              <w:pStyle w:val="ListParagraph"/>
              <w:autoSpaceDE w:val="0"/>
              <w:autoSpaceDN w:val="0"/>
              <w:adjustRightInd w:val="0"/>
              <w:ind w:left="360"/>
              <w:jc w:val="both"/>
              <w:rPr>
                <w:rFonts w:ascii="Times New Roman" w:hAnsi="Times New Roman" w:cs="Times New Roman"/>
                <w:noProof/>
                <w:sz w:val="24"/>
                <w:szCs w:val="24"/>
                <w:u w:color="000000"/>
              </w:rPr>
            </w:pP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Verbreitung einer starken gemeinsamen positiven Vision für eine nachhaltige Zukunft Europas in der gesamten EU;</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Stärkung der politischen Eigenverantwortung und Verbesserung der Koordinierung auf allen Ebenen der Governance innerhalb der EU sowie – </w:t>
            </w:r>
            <w:r>
              <w:rPr>
                <w:rFonts w:ascii="Times New Roman" w:hAnsi="Times New Roman"/>
                <w:noProof/>
                <w:sz w:val="24"/>
                <w:u w:color="000000"/>
              </w:rPr>
              <w:t>angesichts des grenzübergreifenden Charakters der Herausforderungen, vor denen die EU steht – bessere Möglichkeit, die Agenda 2030 der Vereinten Nationen zu vollenden und ein grünes und inklusives Wachstum für die EU zu erzielen;</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auf internationaler Ebene </w:t>
            </w:r>
            <w:r>
              <w:rPr>
                <w:rFonts w:ascii="Times New Roman" w:hAnsi="Times New Roman"/>
                <w:noProof/>
                <w:sz w:val="24"/>
                <w:u w:color="000000"/>
              </w:rPr>
              <w:t>wird ein klares Zeichen gesetzt, dass die EU ihren internationalen Verpflichtungen und der Agenda 2030 der Vereinten Nationen sowie den SDGs nach innen und außen uneingeschränkt nachkommt;</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klare und transparente Kommunikation und Zusammenarbeit mit den Int</w:t>
            </w:r>
            <w:r>
              <w:rPr>
                <w:rFonts w:ascii="Times New Roman" w:hAnsi="Times New Roman"/>
                <w:noProof/>
                <w:sz w:val="24"/>
                <w:u w:color="000000"/>
              </w:rPr>
              <w:t>eressenträgern;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Risiko, dass der Ansatz nicht ausreichend auf die Besonderheiten und Herausforderungen einzelner Mitgliedstaaten zugeschnitten ist, da der strategische Rahmen nicht alle Unterschiede berücksichtigen konnte;</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Komplexität der Einigung über EU-</w:t>
            </w:r>
            <w:r>
              <w:rPr>
                <w:rFonts w:ascii="Times New Roman" w:hAnsi="Times New Roman"/>
                <w:noProof/>
                <w:sz w:val="24"/>
                <w:u w:color="000000"/>
              </w:rPr>
              <w:t>weite Leistungen in den verschiedenen Bereichen der SDGs und dadurch Gefahr, dass viel Zeit in die Entwicklung von Strategien investiert wird, statt in konkreten Politikbereichen auf allen Ebenen Maßnahmen zu treffen, die etwas bewirken würden.</w:t>
            </w:r>
          </w:p>
        </w:tc>
      </w:tr>
    </w:tbl>
    <w:p w:rsidR="00152528" w:rsidRDefault="00152528">
      <w:pPr>
        <w:autoSpaceDE w:val="0"/>
        <w:autoSpaceDN w:val="0"/>
        <w:adjustRightInd w:val="0"/>
        <w:spacing w:after="0" w:line="240" w:lineRule="auto"/>
        <w:rPr>
          <w:rFonts w:ascii="Times New Roman" w:hAnsi="Times New Roman" w:cs="Times New Roman"/>
          <w:noProof/>
          <w:sz w:val="24"/>
          <w:szCs w:val="24"/>
          <w:u w:color="000000"/>
        </w:rPr>
      </w:pPr>
      <w:bookmarkStart w:id="46" w:name="_Toc524344290"/>
    </w:p>
    <w:p w:rsidR="00152528" w:rsidRDefault="00124136">
      <w:pPr>
        <w:rPr>
          <w:rFonts w:ascii="Times New Roman" w:hAnsi="Times New Roman" w:cs="Times New Roman"/>
          <w:b/>
          <w:noProof/>
          <w:sz w:val="24"/>
          <w:szCs w:val="24"/>
          <w:u w:color="000000"/>
        </w:rPr>
        <w:sectPr w:rsidR="00152528">
          <w:headerReference w:type="even" r:id="rId57"/>
          <w:headerReference w:type="default" r:id="rId58"/>
          <w:footerReference w:type="even" r:id="rId59"/>
          <w:footerReference w:type="default" r:id="rId60"/>
          <w:headerReference w:type="first" r:id="rId61"/>
          <w:footerReference w:type="first" r:id="rId62"/>
          <w:type w:val="continuous"/>
          <w:pgSz w:w="11906" w:h="16838"/>
          <w:pgMar w:top="1417" w:right="1417" w:bottom="1417" w:left="1417" w:header="708" w:footer="708" w:gutter="0"/>
          <w:cols w:space="708"/>
          <w:docGrid w:linePitch="360"/>
        </w:sectPr>
      </w:pPr>
      <w:bookmarkStart w:id="47" w:name="_Toc529790808"/>
      <w:r>
        <w:rPr>
          <w:rFonts w:ascii="Times New Roman" w:hAnsi="Times New Roman"/>
          <w:b/>
          <w:noProof/>
          <w:color w:val="4F81BD" w:themeColor="accent1"/>
          <w:sz w:val="24"/>
          <w:u w:color="000000"/>
        </w:rPr>
        <w:t>Szenario 2: Kontinuierliche Einbeziehung der Ziele für nachhaltige Entwicklung in alle relevanten Politikbereiche der EU</w:t>
      </w:r>
      <w:bookmarkEnd w:id="46"/>
      <w:bookmarkEnd w:id="47"/>
      <w:r>
        <w:rPr>
          <w:rFonts w:ascii="Times New Roman" w:hAnsi="Times New Roman"/>
          <w:b/>
          <w:noProof/>
          <w:color w:val="4F81BD" w:themeColor="accent1"/>
          <w:sz w:val="24"/>
          <w:u w:color="000000"/>
        </w:rPr>
        <w:t xml:space="preserve"> durch die Kommission, aber ohne Durchsetzung von Maßnahmen der Mitgliedstaaten</w:t>
      </w:r>
    </w:p>
    <w:p w:rsidR="00152528" w:rsidRDefault="00124136">
      <w:pPr>
        <w:autoSpaceDE w:val="0"/>
        <w:autoSpaceDN w:val="0"/>
        <w:adjustRightInd w:val="0"/>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Auch </w:t>
      </w:r>
      <w:r>
        <w:rPr>
          <w:rFonts w:ascii="Times New Roman" w:hAnsi="Times New Roman"/>
          <w:noProof/>
          <w:sz w:val="24"/>
          <w:u w:color="000000"/>
        </w:rPr>
        <w:t>in diesem Szenario bilden die SDGs die Grundlage für unsere politische Entscheidungsfindung im Hinblick auf die Politikgestaltung der EU und die Entwicklung der Wachstumsstrategie der EU für die Zeit nach 2020. Dabei sind die EU-Mitgliedstaaten nicht verpf</w:t>
      </w:r>
      <w:r>
        <w:rPr>
          <w:rFonts w:ascii="Times New Roman" w:hAnsi="Times New Roman"/>
          <w:noProof/>
          <w:sz w:val="24"/>
          <w:u w:color="000000"/>
        </w:rPr>
        <w:t>lichtet, die SDG-Verpflichtungen in der EU gemeinsam zu erfüllen.</w:t>
      </w:r>
    </w:p>
    <w:p w:rsidR="00152528" w:rsidRDefault="00152528">
      <w:pPr>
        <w:autoSpaceDE w:val="0"/>
        <w:autoSpaceDN w:val="0"/>
        <w:adjustRightInd w:val="0"/>
        <w:spacing w:after="0" w:line="240" w:lineRule="auto"/>
        <w:jc w:val="both"/>
        <w:rPr>
          <w:rFonts w:ascii="Times New Roman" w:hAnsi="Times New Roman" w:cs="Times New Roman"/>
          <w:noProof/>
          <w:sz w:val="24"/>
          <w:szCs w:val="24"/>
          <w:u w:color="000000"/>
        </w:r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In der Europäischen Kommission könnte dies bedeuten, dass einem Mitglied des Kollegiums eine breite Zuständigkeit für „Nachhaltigkeit“ übertragen wird. Der betreffende Kommissar könnte geme</w:t>
      </w:r>
      <w:r>
        <w:rPr>
          <w:rFonts w:ascii="Times New Roman" w:hAnsi="Times New Roman"/>
          <w:noProof/>
          <w:sz w:val="24"/>
          <w:u w:color="000000"/>
        </w:rPr>
        <w:t xml:space="preserve">insam mit den anderen Kommissionsmitgliedern in speziellen Projektteams laufend zusammenarbeiten. Um die Kohärenz der politischen Maßnahmen zu gewährleisten, müsste eine enge Zusammenarbeit mit anderen solcher Projektteams angestrebt werden.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Mit ihrer Age</w:t>
      </w:r>
      <w:r>
        <w:rPr>
          <w:rFonts w:ascii="Times New Roman" w:hAnsi="Times New Roman"/>
          <w:noProof/>
          <w:sz w:val="24"/>
          <w:u w:color="000000"/>
        </w:rPr>
        <w:t xml:space="preserve">nda für eine bessere Rechtsetzung würde die Kommission weiterhin einen inklusiven und faktengestützten Beschlussfassungsprozess verfolgen. Kombiniert mit einer stärkeren Einbeziehung des Europäischen Semesters im Einklang mit der EU-Wachstumsstrategie für </w:t>
      </w:r>
      <w:r>
        <w:rPr>
          <w:rFonts w:ascii="Times New Roman" w:hAnsi="Times New Roman"/>
          <w:noProof/>
          <w:sz w:val="24"/>
          <w:u w:color="000000"/>
        </w:rPr>
        <w:t xml:space="preserve">die Zeit nach 2020 wird die Politikkohärenz der EU gestärkt und es wird sichergestellt, dass die EU der Verwirklichung der SDGs näher rückt.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Dieser Ansatz würde den einzelnen Mitgliedstaaten, ebenso wie den regionalen und lokalen Behörden mehr Freiheit la</w:t>
      </w:r>
      <w:r>
        <w:rPr>
          <w:rFonts w:ascii="Times New Roman" w:hAnsi="Times New Roman"/>
          <w:noProof/>
          <w:sz w:val="24"/>
          <w:u w:color="000000"/>
        </w:rPr>
        <w:t>ssen, ob und wie sie ihre Arbeit zur Verwirklichung der SDGs gestalten.</w:t>
      </w: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sectPr w:rsidR="00152528">
          <w:headerReference w:type="even" r:id="rId63"/>
          <w:headerReference w:type="default" r:id="rId64"/>
          <w:footerReference w:type="even" r:id="rId65"/>
          <w:footerReference w:type="default" r:id="rId66"/>
          <w:headerReference w:type="first" r:id="rId67"/>
          <w:footerReference w:type="first" r:id="rId68"/>
          <w:type w:val="continuous"/>
          <w:pgSz w:w="11906" w:h="16838"/>
          <w:pgMar w:top="1417" w:right="1417" w:bottom="1417" w:left="1417" w:header="708" w:footer="708" w:gutter="0"/>
          <w:cols w:num="2" w:space="708"/>
          <w:docGrid w:linePitch="360"/>
        </w:sectPr>
      </w:pPr>
    </w:p>
    <w:tbl>
      <w:tblPr>
        <w:tblStyle w:val="TableGrid"/>
        <w:tblW w:w="5000" w:type="pct"/>
        <w:tblLook w:val="04A0" w:firstRow="1" w:lastRow="0" w:firstColumn="1" w:lastColumn="0" w:noHBand="0" w:noVBand="1"/>
      </w:tblPr>
      <w:tblGrid>
        <w:gridCol w:w="9288"/>
      </w:tblGrid>
      <w:tr w:rsidR="00152528">
        <w:trPr>
          <w:trHeight w:val="290"/>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Was dies in der Praxis bedeuten könnte</w:t>
            </w:r>
          </w:p>
        </w:tc>
      </w:tr>
      <w:tr w:rsidR="00152528">
        <w:trPr>
          <w:trHeight w:val="902"/>
        </w:trPr>
        <w:tc>
          <w:tcPr>
            <w:tcW w:w="5000" w:type="pct"/>
            <w:tcBorders>
              <w:top w:val="single" w:sz="4" w:space="0" w:color="auto"/>
              <w:left w:val="single" w:sz="4" w:space="0" w:color="auto"/>
              <w:bottom w:val="single" w:sz="4" w:space="0" w:color="auto"/>
              <w:right w:val="single" w:sz="4" w:space="0" w:color="auto"/>
            </w:tcBorders>
          </w:tcPr>
          <w:p w:rsidR="00152528" w:rsidRDefault="00152528">
            <w:pPr>
              <w:autoSpaceDE w:val="0"/>
              <w:autoSpaceDN w:val="0"/>
              <w:adjustRightInd w:val="0"/>
              <w:rPr>
                <w:rFonts w:ascii="Times New Roman" w:hAnsi="Times New Roman" w:cs="Times New Roman"/>
                <w:b/>
                <w:noProof/>
                <w:color w:val="548DD4" w:themeColor="text2" w:themeTint="99"/>
                <w:sz w:val="24"/>
                <w:szCs w:val="24"/>
                <w:u w:color="000000"/>
              </w:rPr>
            </w:pP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Nutzung der SDGs als Richtschnur für die Entwicklung der </w:t>
            </w:r>
            <w:r>
              <w:rPr>
                <w:rFonts w:ascii="Times New Roman" w:hAnsi="Times New Roman"/>
                <w:noProof/>
                <w:sz w:val="24"/>
                <w:u w:color="000000"/>
              </w:rPr>
              <w:t xml:space="preserve">EU-Wachstumsstrategie für die Zeit nach 2020, mit Schwerpunkt auf Bereichen mit hohem Mehrwert für die EU, wie Kreislaufwirtschaft, Forschung und Innovation, Beschäftigung und soziale Inklusion, Klima und Energie, Nahrungsmittelsysteme, Landwirtschaft und </w:t>
            </w:r>
            <w:r>
              <w:rPr>
                <w:rFonts w:ascii="Times New Roman" w:hAnsi="Times New Roman"/>
                <w:noProof/>
                <w:sz w:val="24"/>
                <w:u w:color="000000"/>
              </w:rPr>
              <w:t>Landnutzung, Kohäsionspolitik;</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Einbeziehung der SDGs in die Politik und die Maßnahmen der EU im Rahmen der Agenda für eine bessere Rechtsetzung, in Anpassung an den spezifischen EU-Kontext, mit geteilten Zuständigkeiten der Mitgliedstaaten; </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Nutzung des me</w:t>
            </w:r>
            <w:r>
              <w:rPr>
                <w:rFonts w:ascii="Times New Roman" w:hAnsi="Times New Roman"/>
                <w:noProof/>
                <w:sz w:val="24"/>
                <w:u w:color="000000"/>
              </w:rPr>
              <w:t>hrjährigen Finanzrahmens, um einen Teil der Mittel bereitzustellen, die für die Umsetzung des Konzepts der durchgehenden Einbeziehung der Nachhaltigkeit zusätzlich erforderlich sind; die Mitgliedstaaten verpflichten sich, dasselbe zu tun;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die SDGs werden, </w:t>
            </w:r>
            <w:r>
              <w:rPr>
                <w:rFonts w:ascii="Times New Roman" w:hAnsi="Times New Roman"/>
                <w:noProof/>
                <w:sz w:val="24"/>
                <w:u w:color="000000"/>
              </w:rPr>
              <w:t>soweit sie für die Wachstumsstrategie für die Zeit nach 2020 relevant sind, in den Prozess des Europäischen Semesters einbezogen;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sofern und sobald die Freihandelsabkommen der EU erneuert und künftige Handelsabkommen ausgehandelt werden, werden die Kapitel</w:t>
            </w:r>
            <w:r>
              <w:rPr>
                <w:rFonts w:ascii="Times New Roman" w:hAnsi="Times New Roman"/>
                <w:noProof/>
                <w:sz w:val="24"/>
                <w:u w:color="000000"/>
              </w:rPr>
              <w:t xml:space="preserve"> über Handel und Nachhaltigkeit gegebenenfalls gestärkt und wirksam durchgesetzt;</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die EU überwacht die Umsetzung der SDG durch die Eurostat-SDG-Fortschrittsanalyse, die weiterentwickelt werden wird; die Mitgliedstaaten erstellen jährliche nationale Überwac</w:t>
            </w:r>
            <w:r>
              <w:rPr>
                <w:rFonts w:ascii="Times New Roman" w:hAnsi="Times New Roman"/>
                <w:noProof/>
                <w:sz w:val="24"/>
                <w:u w:color="000000"/>
              </w:rPr>
              <w:t>hungsberichte;</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die Mitgliedstaaten tragen die Hauptverantwortung für die Berichterstattung über die Umsetzung der SDGs, wobei die Europäische Kommission dem hochrangigen politischen Forum der Vereinten Nationen für nachhaltige Entwicklung ergänzend über di</w:t>
            </w:r>
            <w:r>
              <w:rPr>
                <w:rFonts w:ascii="Times New Roman" w:hAnsi="Times New Roman"/>
                <w:noProof/>
                <w:sz w:val="24"/>
                <w:u w:color="000000"/>
              </w:rPr>
              <w:t xml:space="preserve">e Fortschritte der SDGs auf internationaler Ebene Bericht erstattet. </w:t>
            </w:r>
          </w:p>
          <w:p w:rsidR="00152528" w:rsidRDefault="00152528">
            <w:pPr>
              <w:autoSpaceDE w:val="0"/>
              <w:autoSpaceDN w:val="0"/>
              <w:adjustRightInd w:val="0"/>
              <w:jc w:val="both"/>
              <w:rPr>
                <w:rFonts w:ascii="Times New Roman" w:hAnsi="Times New Roman" w:cs="Times New Roman"/>
                <w:noProof/>
                <w:sz w:val="24"/>
                <w:szCs w:val="24"/>
                <w:u w:color="000000"/>
              </w:rPr>
            </w:pPr>
          </w:p>
        </w:tc>
      </w:tr>
      <w:tr w:rsidR="00152528">
        <w:trPr>
          <w:trHeight w:val="144"/>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Pro und Kontra</w:t>
            </w:r>
          </w:p>
        </w:tc>
      </w:tr>
      <w:tr w:rsidR="00152528">
        <w:trPr>
          <w:trHeight w:val="144"/>
        </w:trPr>
        <w:tc>
          <w:tcPr>
            <w:tcW w:w="5000" w:type="pct"/>
            <w:tcBorders>
              <w:top w:val="single" w:sz="4" w:space="0" w:color="auto"/>
              <w:left w:val="single" w:sz="4" w:space="0" w:color="auto"/>
              <w:bottom w:val="single" w:sz="4" w:space="0" w:color="auto"/>
              <w:right w:val="single" w:sz="4" w:space="0" w:color="auto"/>
            </w:tcBorders>
          </w:tcPr>
          <w:p w:rsidR="00152528" w:rsidRDefault="00152528">
            <w:pPr>
              <w:autoSpaceDE w:val="0"/>
              <w:autoSpaceDN w:val="0"/>
              <w:adjustRightInd w:val="0"/>
              <w:rPr>
                <w:rFonts w:ascii="Times New Roman" w:hAnsi="Times New Roman" w:cs="Times New Roman"/>
                <w:b/>
                <w:noProof/>
                <w:color w:val="548DD4" w:themeColor="text2" w:themeTint="99"/>
                <w:sz w:val="24"/>
                <w:szCs w:val="24"/>
                <w:u w:color="000000"/>
              </w:rPr>
            </w:pP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Da die für die Umsetzung der SDGs wesentlichen Bereiche für die EU eindeutig feststehen, kann sich die EU auf die Festlegung strategischer Prioritäten und die </w:t>
            </w:r>
            <w:r>
              <w:rPr>
                <w:rFonts w:ascii="Times New Roman" w:hAnsi="Times New Roman"/>
                <w:noProof/>
                <w:sz w:val="24"/>
                <w:u w:color="000000"/>
              </w:rPr>
              <w:t>Erzielung konkreter Ergebnisse in den Bereichen mit großem Mehrwert für die EU konzentrieren;</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die Beschlussfassung auf EU-Ebene ist schneller, und die Verhandlungen über strategische Prioritäten sind stärker konsensorientiert; </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die EU setzt sich weiterhin </w:t>
            </w:r>
            <w:r>
              <w:rPr>
                <w:rFonts w:ascii="Times New Roman" w:hAnsi="Times New Roman"/>
                <w:noProof/>
                <w:sz w:val="24"/>
                <w:u w:color="000000"/>
              </w:rPr>
              <w:t>weltweit für die Agenda 2030 der Vereinten Nationen und die SDGs ein;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die Politikkohärenz im Interesse der nachhaltigen Entwicklung zwischen den Politikbereichen der EU und zwischen der EU-Politik und der nationalen Politik wäre schwieriger zu gewährleiste</w:t>
            </w:r>
            <w:r>
              <w:rPr>
                <w:rFonts w:ascii="Times New Roman" w:hAnsi="Times New Roman"/>
                <w:noProof/>
                <w:sz w:val="24"/>
                <w:u w:color="000000"/>
              </w:rPr>
              <w:t>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es bestünde das Risiko, dass die Nachhaltigkeitsverpflichtungen durch die EU und ihre Mitgliedstaaten insgesamt nicht erreicht werden und die Maßnahmen der Mitgliedstaaten nicht durchgesetzt werden können;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Maßnahmen einzelner Mitgliedstaaten in bestimmt</w:t>
            </w:r>
            <w:r>
              <w:rPr>
                <w:rFonts w:ascii="Times New Roman" w:hAnsi="Times New Roman"/>
                <w:noProof/>
                <w:sz w:val="24"/>
                <w:u w:color="000000"/>
              </w:rPr>
              <w:t>en Schlüsselbereichen anstelle eines stärker koordinierten Vorgehens auf EU-Ebene könnten den Binnenmarkt und die globale Wettbewerbsfähigkeit beeinträchtigen;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es bestünde das Risiko, dass sich zwischen dem politischen Engagement der EU für die SDGs und de</w:t>
            </w:r>
            <w:r>
              <w:rPr>
                <w:rFonts w:ascii="Times New Roman" w:hAnsi="Times New Roman"/>
                <w:noProof/>
                <w:sz w:val="24"/>
                <w:u w:color="000000"/>
              </w:rPr>
              <w:t>n tatsächlich erreichten Ergebnissen eine Lücke auftut.</w:t>
            </w:r>
          </w:p>
        </w:tc>
      </w:tr>
    </w:tbl>
    <w:p w:rsidR="00124136" w:rsidRDefault="00124136">
      <w:pPr>
        <w:pStyle w:val="Heading2"/>
        <w:numPr>
          <w:ilvl w:val="0"/>
          <w:numId w:val="0"/>
        </w:numPr>
        <w:spacing w:line="240" w:lineRule="auto"/>
        <w:rPr>
          <w:rFonts w:ascii="Times New Roman" w:hAnsi="Times New Roman" w:cs="Times New Roman"/>
          <w:noProof/>
          <w:sz w:val="24"/>
          <w:szCs w:val="24"/>
          <w:u w:color="000000"/>
        </w:rPr>
      </w:pPr>
      <w:bookmarkStart w:id="48" w:name="_Toc524344291"/>
    </w:p>
    <w:p w:rsidR="00124136" w:rsidRDefault="00124136" w:rsidP="00124136">
      <w:pPr>
        <w:rPr>
          <w:rFonts w:eastAsiaTheme="majorEastAsia"/>
          <w:noProof/>
          <w:color w:val="4F81BD" w:themeColor="accent1"/>
          <w:u w:color="000000"/>
        </w:rPr>
      </w:pPr>
      <w:r>
        <w:rPr>
          <w:noProof/>
          <w:u w:color="000000"/>
        </w:rPr>
        <w:br w:type="page"/>
      </w:r>
    </w:p>
    <w:p w:rsidR="00152528" w:rsidRDefault="00152528">
      <w:pPr>
        <w:pStyle w:val="Heading2"/>
        <w:numPr>
          <w:ilvl w:val="0"/>
          <w:numId w:val="0"/>
        </w:numPr>
        <w:spacing w:line="240" w:lineRule="auto"/>
        <w:rPr>
          <w:rFonts w:ascii="Times New Roman" w:hAnsi="Times New Roman" w:cs="Times New Roman"/>
          <w:noProof/>
          <w:sz w:val="24"/>
          <w:szCs w:val="24"/>
          <w:u w:color="000000"/>
        </w:rPr>
      </w:pPr>
      <w:bookmarkStart w:id="49" w:name="_GoBack"/>
      <w:bookmarkEnd w:id="49"/>
    </w:p>
    <w:p w:rsidR="00152528" w:rsidRDefault="00124136">
      <w:pPr>
        <w:rPr>
          <w:rFonts w:ascii="Times New Roman" w:hAnsi="Times New Roman" w:cs="Times New Roman"/>
          <w:b/>
          <w:noProof/>
          <w:color w:val="4F81BD" w:themeColor="accent1"/>
          <w:sz w:val="24"/>
          <w:szCs w:val="24"/>
          <w:u w:color="000000"/>
        </w:rPr>
      </w:pPr>
      <w:bookmarkStart w:id="50" w:name="_Toc529790809"/>
      <w:r>
        <w:rPr>
          <w:rFonts w:ascii="Times New Roman" w:hAnsi="Times New Roman"/>
          <w:b/>
          <w:noProof/>
          <w:color w:val="4F81BD" w:themeColor="accent1"/>
          <w:sz w:val="24"/>
          <w:u w:color="000000"/>
        </w:rPr>
        <w:t xml:space="preserve">Szenario 3: </w:t>
      </w:r>
      <w:bookmarkEnd w:id="48"/>
      <w:bookmarkEnd w:id="50"/>
      <w:r>
        <w:rPr>
          <w:rFonts w:ascii="Times New Roman" w:hAnsi="Times New Roman"/>
          <w:b/>
          <w:noProof/>
          <w:color w:val="4F81BD" w:themeColor="accent1"/>
          <w:sz w:val="24"/>
        </w:rPr>
        <w:t>Stärkere Fokussierung auf das auswärtige Handeln bei gleichzeitiger Konsolidierung der derzeitigen Nachhaltigkeitsbestrebungen auf EU-Ebene</w:t>
      </w:r>
    </w:p>
    <w:p w:rsidR="00152528" w:rsidRDefault="00152528">
      <w:pPr>
        <w:spacing w:after="0" w:line="240" w:lineRule="auto"/>
        <w:rPr>
          <w:rFonts w:ascii="Times New Roman" w:hAnsi="Times New Roman" w:cs="Times New Roman"/>
          <w:noProof/>
          <w:sz w:val="24"/>
          <w:szCs w:val="24"/>
        </w:rPr>
      </w:pPr>
    </w:p>
    <w:p w:rsidR="00152528" w:rsidRDefault="00152528">
      <w:pPr>
        <w:spacing w:after="0" w:line="240" w:lineRule="auto"/>
        <w:rPr>
          <w:rFonts w:ascii="Times New Roman" w:hAnsi="Times New Roman" w:cs="Times New Roman"/>
          <w:noProof/>
          <w:sz w:val="24"/>
          <w:szCs w:val="24"/>
          <w:u w:color="000000"/>
        </w:rPr>
        <w:sectPr w:rsidR="00152528">
          <w:headerReference w:type="even" r:id="rId69"/>
          <w:headerReference w:type="default" r:id="rId70"/>
          <w:footerReference w:type="even" r:id="rId71"/>
          <w:footerReference w:type="default" r:id="rId72"/>
          <w:headerReference w:type="first" r:id="rId73"/>
          <w:footerReference w:type="first" r:id="rId74"/>
          <w:type w:val="continuous"/>
          <w:pgSz w:w="11906" w:h="16838"/>
          <w:pgMar w:top="1417" w:right="1417" w:bottom="1417" w:left="1417" w:header="708" w:footer="708" w:gutter="0"/>
          <w:cols w:space="708"/>
          <w:docGrid w:linePitch="360"/>
        </w:sect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Im Zusammenhang mit den SDGs würde dem auswärtigen Handeln Priorität eingeräumt. Da die EU in vielen Aspekten im Zusammenhang mit den SDGs bereits eine Vorreiterrolle einnimmt, könnte der Fokus verstärkt darauf gerichtet werden, an</w:t>
      </w:r>
      <w:r>
        <w:rPr>
          <w:rFonts w:ascii="Times New Roman" w:hAnsi="Times New Roman"/>
          <w:noProof/>
          <w:sz w:val="24"/>
          <w:u w:color="000000"/>
        </w:rPr>
        <w:t xml:space="preserve">deren Ländern der Welt dabei zu helfen aufzuholen und gleichzeitig die Verbesserungen auf EU-Ebene zu unterstützen.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Unsere soziale Marktwirtschaft ist zu einer EU-Marke geworden und hat es den Volkswirtschaften der EU-Mitgliedstaaten ermöglicht, dank der </w:t>
      </w:r>
      <w:r>
        <w:rPr>
          <w:rFonts w:ascii="Times New Roman" w:hAnsi="Times New Roman"/>
          <w:noProof/>
          <w:sz w:val="24"/>
          <w:u w:color="000000"/>
        </w:rPr>
        <w:t>starken sozialen Sicherungssysteme einen breiten Wohlstand zu erreichen. Die EU hat bereits einige der weltweit höchsten Umweltstandards, und unsere Unternehmen nehmen im Vergleich zu internationalen Wettbewerbern einen Spitzenplatz ein. Die EU gilt auch a</w:t>
      </w:r>
      <w:r>
        <w:rPr>
          <w:rFonts w:ascii="Times New Roman" w:hAnsi="Times New Roman"/>
          <w:noProof/>
          <w:sz w:val="24"/>
          <w:u w:color="000000"/>
        </w:rPr>
        <w:t>ls Bollwerk für Freiheit und Demokratie, mit stabilen Institutionen auf der Grundlage der Rechtsstaatlichkeit und einer dynamischen Zivilgesellschaft. Die EU könnte daher beschließen, ihre derzeitigen Umwelt-, Sozial- und Governance-Standards durch Handels</w:t>
      </w:r>
      <w:r>
        <w:rPr>
          <w:rFonts w:ascii="Times New Roman" w:hAnsi="Times New Roman"/>
          <w:noProof/>
          <w:sz w:val="24"/>
          <w:u w:color="000000"/>
        </w:rPr>
        <w:t>abkommen und multilaterale Verhandlungen noch stärker zu fördern.</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Die EU könnte außerdem ihre Zusammenarbeit mit wichtigen internationalen Organisationen wie den Vereinten Nationen, u. a. der Internationalen Arbeitsorganisation, der Welthandelsorganisation</w:t>
      </w:r>
      <w:r>
        <w:rPr>
          <w:rFonts w:ascii="Times New Roman" w:hAnsi="Times New Roman"/>
          <w:noProof/>
          <w:sz w:val="24"/>
          <w:u w:color="000000"/>
        </w:rPr>
        <w:t xml:space="preserve"> und den G20 sowie mit den Aufsichtsorganen multilateraler Umweltübereinkommen weiter intensivieren, um die wertebasierte außenpolitische Agenda der EU voranzubringen.</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Dabei würde die Unterstützung des Multilateralismus – mit den Vereinten Nationen als Ker</w:t>
      </w:r>
      <w:r>
        <w:rPr>
          <w:rFonts w:ascii="Times New Roman" w:hAnsi="Times New Roman"/>
          <w:noProof/>
          <w:sz w:val="24"/>
          <w:u w:color="000000"/>
        </w:rPr>
        <w:t>nstück – und transparenter und zuverlässiger internationaler Beziehungen für die EU weiterhin Vorrang haben.</w:t>
      </w: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sectPr w:rsidR="00152528">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417" w:right="1417" w:bottom="1417" w:left="1417" w:header="708" w:footer="708" w:gutter="0"/>
          <w:cols w:num="2" w:space="708"/>
          <w:docGrid w:linePitch="360"/>
        </w:sectPr>
      </w:pPr>
    </w:p>
    <w:tbl>
      <w:tblPr>
        <w:tblStyle w:val="TableGrid"/>
        <w:tblW w:w="4903" w:type="pct"/>
        <w:tblLook w:val="04A0" w:firstRow="1" w:lastRow="0" w:firstColumn="1" w:lastColumn="0" w:noHBand="0" w:noVBand="1"/>
      </w:tblPr>
      <w:tblGrid>
        <w:gridCol w:w="9108"/>
      </w:tblGrid>
      <w:tr w:rsidR="00152528">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Was dies in der Praxis bedeuten könnte</w:t>
            </w:r>
          </w:p>
        </w:tc>
      </w:tr>
      <w:tr w:rsidR="00152528">
        <w:tc>
          <w:tcPr>
            <w:tcW w:w="5000" w:type="pct"/>
            <w:tcBorders>
              <w:top w:val="single" w:sz="4" w:space="0" w:color="auto"/>
              <w:left w:val="single" w:sz="4" w:space="0" w:color="auto"/>
              <w:bottom w:val="single" w:sz="4" w:space="0" w:color="auto"/>
              <w:right w:val="single" w:sz="4" w:space="0" w:color="auto"/>
            </w:tcBorders>
          </w:tcPr>
          <w:p w:rsidR="00152528" w:rsidRDefault="00152528">
            <w:pPr>
              <w:pStyle w:val="ListParagraph"/>
              <w:autoSpaceDE w:val="0"/>
              <w:autoSpaceDN w:val="0"/>
              <w:adjustRightInd w:val="0"/>
              <w:ind w:left="360"/>
              <w:jc w:val="both"/>
              <w:rPr>
                <w:rFonts w:ascii="Times New Roman" w:hAnsi="Times New Roman" w:cs="Times New Roman"/>
                <w:noProof/>
                <w:sz w:val="24"/>
                <w:szCs w:val="24"/>
                <w:u w:color="000000"/>
              </w:rPr>
            </w:pP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Durchgängige Einbeziehung der SDGs in </w:t>
            </w:r>
            <w:r>
              <w:rPr>
                <w:rFonts w:ascii="Times New Roman" w:hAnsi="Times New Roman"/>
                <w:noProof/>
                <w:sz w:val="24"/>
                <w:u w:color="000000"/>
              </w:rPr>
              <w:t>die Außenpolitik der EU unter Berücksichtigung der Bedürfnisse und Interessen ihrer Partner, dafür geringere interne Anpassungen;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auf internationaler Ebene regelmäßige detaillierte EU-Berichterstattung und Überwachung der Fortschritte bei den SDGs in Bezug</w:t>
            </w:r>
            <w:r>
              <w:rPr>
                <w:rFonts w:ascii="Times New Roman" w:hAnsi="Times New Roman"/>
                <w:noProof/>
                <w:sz w:val="24"/>
                <w:u w:color="000000"/>
              </w:rPr>
              <w:t xml:space="preserve"> auf die Außenmaßnahmen der EU vor den Vereinten Nationen;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sofern und sobald die Freihandelsabkommen der EU erneuert und künftige Handelsabkommen ausgehandelt werden, werden die Kapitel über Handel und Nachhaltigkeit bei Bedarf gestärkt und wirksam durchge</w:t>
            </w:r>
            <w:r>
              <w:rPr>
                <w:rFonts w:ascii="Times New Roman" w:hAnsi="Times New Roman"/>
                <w:noProof/>
                <w:sz w:val="24"/>
                <w:u w:color="000000"/>
              </w:rPr>
              <w:t>setzt;</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die Umsetzung der Globalen Strategie für die Außen- und Sicherheitspolitik der EU und des neuen Europäischen Konsens über die Entwicklungspolitik wird vorangetrieben;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Förderung der europäischen Verteidigungs-, Raumfahrt-, Sicherheits- und Migrations</w:t>
            </w:r>
            <w:r>
              <w:rPr>
                <w:rFonts w:ascii="Times New Roman" w:hAnsi="Times New Roman"/>
                <w:noProof/>
                <w:sz w:val="24"/>
                <w:u w:color="000000"/>
              </w:rPr>
              <w:t xml:space="preserve">politik als Grundlage für die verstärkte außenpolitische Agenda für nachhaltige Entwicklung; </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Förderung neuer Formen der nachhaltigen Finanzierung und Entwicklung, wie der Investitionsoffensive für Drittländer. </w:t>
            </w:r>
          </w:p>
        </w:tc>
      </w:tr>
    </w:tbl>
    <w:p w:rsidR="00152528" w:rsidRDefault="00152528">
      <w:pPr>
        <w:spacing w:line="240" w:lineRule="auto"/>
        <w:jc w:val="both"/>
        <w:rPr>
          <w:rFonts w:ascii="Times New Roman" w:hAnsi="Times New Roman" w:cs="Times New Roman"/>
          <w:noProof/>
          <w:sz w:val="24"/>
          <w:szCs w:val="24"/>
        </w:rPr>
      </w:pPr>
    </w:p>
    <w:tbl>
      <w:tblPr>
        <w:tblStyle w:val="TableGrid"/>
        <w:tblW w:w="4903" w:type="pct"/>
        <w:tblLook w:val="04A0" w:firstRow="1" w:lastRow="0" w:firstColumn="1" w:lastColumn="0" w:noHBand="0" w:noVBand="1"/>
      </w:tblPr>
      <w:tblGrid>
        <w:gridCol w:w="9108"/>
      </w:tblGrid>
      <w:tr w:rsidR="00152528">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Pro und Kontra</w:t>
            </w:r>
          </w:p>
        </w:tc>
      </w:tr>
      <w:tr w:rsidR="00152528">
        <w:tc>
          <w:tcPr>
            <w:tcW w:w="5000" w:type="pct"/>
            <w:tcBorders>
              <w:top w:val="single" w:sz="4" w:space="0" w:color="auto"/>
              <w:left w:val="single" w:sz="4" w:space="0" w:color="auto"/>
              <w:bottom w:val="single" w:sz="4" w:space="0" w:color="auto"/>
              <w:right w:val="single" w:sz="4" w:space="0" w:color="auto"/>
            </w:tcBorders>
          </w:tcPr>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Die EU konzentriert ihre </w:t>
            </w:r>
            <w:r>
              <w:rPr>
                <w:rFonts w:ascii="Times New Roman" w:hAnsi="Times New Roman"/>
                <w:noProof/>
                <w:sz w:val="24"/>
                <w:u w:color="000000"/>
              </w:rPr>
              <w:t>Ressourcen auf die bedürftigsten Länder oder Regionen und unternimmt gleichzeitig – ohne spezifischen strategischen Rahmen – Anpassungen der EU-Politik durch die systematische Berücksichtigung der SDGs;</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das auswärtige Handeln der EU steht im Einklang mit i</w:t>
            </w:r>
            <w:r>
              <w:rPr>
                <w:rFonts w:ascii="Times New Roman" w:hAnsi="Times New Roman"/>
                <w:noProof/>
                <w:sz w:val="24"/>
                <w:u w:color="000000"/>
              </w:rPr>
              <w:t>hren Zielen der Förderung von Nachhaltigkeit, Demokratie, Menschenrechten, Rechtsstaatlichkeit und Grundfreiheiten in der Welt;</w:t>
            </w:r>
          </w:p>
          <w:p w:rsidR="00152528" w:rsidRDefault="00124136">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es besteht das Risiko, dass dieser Ansatz die politische Glaubwürdigkeit der EU und ihre führende Rolle in Bezug auf die Agenda </w:t>
            </w:r>
            <w:r>
              <w:rPr>
                <w:rFonts w:ascii="Times New Roman" w:hAnsi="Times New Roman"/>
                <w:noProof/>
                <w:sz w:val="24"/>
                <w:u w:color="000000"/>
              </w:rPr>
              <w:t>2030 der Vereinten Nationen und die SDGs in der EU und weltweit beeinträchtigt, gerade in einer Zeit, in der sich der Multilateralismus unter Druck befindet; eines der Hauptmerkmale der Agenda 2030 der Vereinten Nationen, die von der EU aktiv unterstützt w</w:t>
            </w:r>
            <w:r>
              <w:rPr>
                <w:rFonts w:ascii="Times New Roman" w:hAnsi="Times New Roman"/>
                <w:noProof/>
                <w:sz w:val="24"/>
                <w:u w:color="000000"/>
              </w:rPr>
              <w:t xml:space="preserve">urde, ist ihre universelle Gültigkeit; </w:t>
            </w:r>
          </w:p>
          <w:p w:rsidR="00152528" w:rsidRDefault="00124136">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die EU versäumt die Möglichkeit, eine positive Vision für die Zukunft Europas zu entwickeln, in deren Mittelpunkt die Nachhaltigkeit steht;</w:t>
            </w:r>
          </w:p>
          <w:p w:rsidR="00152528" w:rsidRDefault="00124136">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die EU nutzt nicht den Vorteil, der ihr aus ihrer Vorreiterrolle entsteht, u</w:t>
            </w:r>
            <w:r>
              <w:rPr>
                <w:rFonts w:ascii="Times New Roman" w:hAnsi="Times New Roman"/>
                <w:noProof/>
                <w:sz w:val="24"/>
                <w:u w:color="000000"/>
              </w:rPr>
              <w:t>m ihre Nachhaltigkeitsstandards weltweit durchzusetzen, und riskiert, dass die Früchte des nachhaltigen Wachstums von anderen auf dem Weltmarkt geerntet werden;</w:t>
            </w:r>
          </w:p>
          <w:p w:rsidR="00152528" w:rsidRDefault="00124136">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rPr>
              <w:t>die bloße Konsolidierung des derzeitigen SDG-Konzepts der EU könnte den zunehmenden Erwartungen</w:t>
            </w:r>
            <w:r>
              <w:rPr>
                <w:rFonts w:ascii="Times New Roman" w:hAnsi="Times New Roman"/>
                <w:noProof/>
                <w:sz w:val="24"/>
              </w:rPr>
              <w:t xml:space="preserve"> und Ansprüchen der Bürgerinnen und Bürger nicht genügen.</w:t>
            </w:r>
          </w:p>
        </w:tc>
      </w:tr>
    </w:tbl>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sectPr w:rsidR="00152528">
      <w:headerReference w:type="even" r:id="rId81"/>
      <w:headerReference w:type="default" r:id="rId82"/>
      <w:footerReference w:type="even" r:id="rId83"/>
      <w:footerReference w:type="default" r:id="rId84"/>
      <w:headerReference w:type="first" r:id="rId85"/>
      <w:footerReference w:type="first" r:id="rId86"/>
      <w:pgSz w:w="11906" w:h="16838"/>
      <w:pgMar w:top="1417" w:right="1417" w:bottom="1417" w:left="1417"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1E807D" w16cid:durableId="1FF40D05"/>
  <w16cid:commentId w16cid:paraId="46341E64" w16cid:durableId="1FF40D06"/>
  <w16cid:commentId w16cid:paraId="4ACF3609" w16cid:durableId="1FF4175C"/>
  <w16cid:commentId w16cid:paraId="587EBA38" w16cid:durableId="1FF40D07"/>
  <w16cid:commentId w16cid:paraId="10BAD2A9" w16cid:durableId="1FF40D08"/>
  <w16cid:commentId w16cid:paraId="6A30487A" w16cid:durableId="1FF40D09"/>
  <w16cid:commentId w16cid:paraId="540B5B35" w16cid:durableId="1FF40D0B"/>
  <w16cid:commentId w16cid:paraId="52B6F13F" w16cid:durableId="1FF40D0C"/>
  <w16cid:commentId w16cid:paraId="4F51D46E" w16cid:durableId="1FF40D0D"/>
  <w16cid:commentId w16cid:paraId="114F51F0" w16cid:durableId="1FF40D0E"/>
  <w16cid:commentId w16cid:paraId="2B070CBA" w16cid:durableId="1FF40D0F"/>
  <w16cid:commentId w16cid:paraId="047D95BE" w16cid:durableId="1FF41969"/>
  <w16cid:commentId w16cid:paraId="487FF950" w16cid:durableId="1FF40D10"/>
  <w16cid:commentId w16cid:paraId="708C3F50" w16cid:durableId="1FF40D11"/>
  <w16cid:commentId w16cid:paraId="4F65C451" w16cid:durableId="1FF40D12"/>
  <w16cid:commentId w16cid:paraId="0E2932C4" w16cid:durableId="1FF40D13"/>
  <w16cid:commentId w16cid:paraId="5D8D4CC9" w16cid:durableId="1FF40D14"/>
  <w16cid:commentId w16cid:paraId="10C7B515" w16cid:durableId="1FF40D15"/>
  <w16cid:commentId w16cid:paraId="587A95FC" w16cid:durableId="1FF40D16"/>
  <w16cid:commentId w16cid:paraId="71D8B697" w16cid:durableId="1FF40D17"/>
  <w16cid:commentId w16cid:paraId="21E1BB17" w16cid:durableId="1FF40D18"/>
  <w16cid:commentId w16cid:paraId="6BD31B1F" w16cid:durableId="1FF40D19"/>
  <w16cid:commentId w16cid:paraId="1CC47631" w16cid:durableId="1FF40D1A"/>
  <w16cid:commentId w16cid:paraId="37F6E814" w16cid:durableId="1FF40D1B"/>
  <w16cid:commentId w16cid:paraId="16321C89" w16cid:durableId="1FF40D1C"/>
  <w16cid:commentId w16cid:paraId="5D3FB899" w16cid:durableId="1FF42B77"/>
  <w16cid:commentId w16cid:paraId="1B7D825F" w16cid:durableId="1FF40D1D"/>
  <w16cid:commentId w16cid:paraId="38FF3EBE" w16cid:durableId="1FF40D1E"/>
  <w16cid:commentId w16cid:paraId="3316DCC3" w16cid:durableId="1FF40D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528" w:rsidRDefault="00124136">
      <w:pPr>
        <w:spacing w:after="0" w:line="240" w:lineRule="auto"/>
      </w:pPr>
      <w:r>
        <w:separator/>
      </w:r>
    </w:p>
  </w:endnote>
  <w:endnote w:type="continuationSeparator" w:id="0">
    <w:p w:rsidR="00152528" w:rsidRDefault="00124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Microsoft Sans Serif"/>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00004FF" w:usb2="00000000" w:usb3="00000000" w:csb0="0000019F" w:csb1="00000000"/>
  </w:font>
  <w:font w:name="Angsana New">
    <w:altName w:val="Leelawadee UI"/>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503237"/>
      <w:docPartObj>
        <w:docPartGallery w:val="Page Numbers (Bottom of Page)"/>
        <w:docPartUnique/>
      </w:docPartObj>
    </w:sdtPr>
    <w:sdtEndPr>
      <w:rPr>
        <w:noProof/>
      </w:rPr>
    </w:sdtEndPr>
    <w:sdtContent>
      <w:p w:rsidR="00152528" w:rsidRDefault="00124136">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rsidR="00152528" w:rsidRDefault="0015252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219420"/>
      <w:docPartObj>
        <w:docPartGallery w:val="Page Numbers (Bottom of Page)"/>
        <w:docPartUnique/>
      </w:docPartObj>
    </w:sdtPr>
    <w:sdtEndPr>
      <w:rPr>
        <w:noProof/>
      </w:rPr>
    </w:sdtEndPr>
    <w:sdtContent>
      <w:p w:rsidR="00152528" w:rsidRDefault="00124136">
        <w:pPr>
          <w:pStyle w:val="Footer"/>
          <w:jc w:val="center"/>
        </w:pPr>
        <w:r>
          <w:fldChar w:fldCharType="begin"/>
        </w:r>
        <w:r>
          <w:instrText xml:space="preserve"> PAGE </w:instrText>
        </w:r>
        <w:r>
          <w:instrText xml:space="preserve">  \* MERGEFORMAT </w:instrText>
        </w:r>
        <w:r>
          <w:fldChar w:fldCharType="separate"/>
        </w:r>
        <w:r>
          <w:rPr>
            <w:noProof/>
          </w:rPr>
          <w:t>48</w:t>
        </w:r>
        <w:r>
          <w:rPr>
            <w:noProof/>
          </w:rPr>
          <w:fldChar w:fldCharType="end"/>
        </w:r>
      </w:p>
    </w:sdtContent>
  </w:sdt>
  <w:p w:rsidR="00152528" w:rsidRDefault="0015252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813528"/>
      <w:docPartObj>
        <w:docPartGallery w:val="Page Numbers (Bottom of Page)"/>
        <w:docPartUnique/>
      </w:docPartObj>
    </w:sdtPr>
    <w:sdtEndPr>
      <w:rPr>
        <w:noProof/>
      </w:rPr>
    </w:sdtEndPr>
    <w:sdtContent>
      <w:p w:rsidR="00152528" w:rsidRDefault="00124136">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49</w:t>
        </w:r>
        <w:r>
          <w:rPr>
            <w:rFonts w:ascii="Times New Roman" w:hAnsi="Times New Roman" w:cs="Times New Roman"/>
            <w:noProof/>
          </w:rPr>
          <w:fldChar w:fldCharType="end"/>
        </w:r>
      </w:p>
    </w:sdtContent>
  </w:sdt>
  <w:p w:rsidR="00152528" w:rsidRDefault="0015252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24136">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703229"/>
      <w:docPartObj>
        <w:docPartGallery w:val="Page Numbers (Bottom of Page)"/>
        <w:docPartUnique/>
      </w:docPartObj>
    </w:sdtPr>
    <w:sdtEndPr>
      <w:rPr>
        <w:rFonts w:ascii="Times New Roman" w:hAnsi="Times New Roman" w:cs="Times New Roman"/>
        <w:noProof/>
      </w:rPr>
    </w:sdtEndPr>
    <w:sdtContent>
      <w:p w:rsidR="00152528" w:rsidRDefault="0012413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49</w:t>
        </w:r>
        <w:r>
          <w:rPr>
            <w:rFonts w:ascii="Times New Roman" w:hAnsi="Times New Roman" w:cs="Times New Roman"/>
            <w:noProof/>
          </w:rPr>
          <w:fldChar w:fldCharType="end"/>
        </w:r>
      </w:p>
    </w:sdtContent>
  </w:sdt>
  <w:p w:rsidR="00152528" w:rsidRDefault="0015252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909431"/>
      <w:docPartObj>
        <w:docPartGallery w:val="Page Numbers (Bottom of Page)"/>
        <w:docPartUnique/>
      </w:docPartObj>
    </w:sdtPr>
    <w:sdtEndPr>
      <w:rPr>
        <w:noProof/>
      </w:rPr>
    </w:sdtEndPr>
    <w:sdtContent>
      <w:p w:rsidR="00152528" w:rsidRDefault="00124136">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50</w:t>
        </w:r>
        <w:r>
          <w:rPr>
            <w:rFonts w:ascii="Times New Roman" w:hAnsi="Times New Roman" w:cs="Times New Roman"/>
            <w:noProof/>
          </w:rPr>
          <w:fldChar w:fldCharType="end"/>
        </w:r>
      </w:p>
    </w:sdtContent>
  </w:sdt>
  <w:p w:rsidR="00152528" w:rsidRDefault="0015252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952478"/>
      <w:docPartObj>
        <w:docPartGallery w:val="Page Numbers (Bottom of Page)"/>
        <w:docPartUnique/>
      </w:docPartObj>
    </w:sdtPr>
    <w:sdtEndPr>
      <w:rPr>
        <w:rFonts w:ascii="Times New Roman" w:hAnsi="Times New Roman" w:cs="Times New Roman"/>
        <w:noProof/>
      </w:rPr>
    </w:sdtEndPr>
    <w:sdtContent>
      <w:p w:rsidR="00152528" w:rsidRDefault="0012413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51</w:t>
        </w:r>
        <w:r>
          <w:rPr>
            <w:rFonts w:ascii="Times New Roman" w:hAnsi="Times New Roman" w:cs="Times New Roman"/>
            <w:noProof/>
          </w:rPr>
          <w:fldChar w:fldCharType="end"/>
        </w:r>
      </w:p>
    </w:sdtContent>
  </w:sdt>
  <w:p w:rsidR="00152528" w:rsidRDefault="0015252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226081"/>
      <w:docPartObj>
        <w:docPartGallery w:val="Page Numbers (Bottom of Page)"/>
        <w:docPartUnique/>
      </w:docPartObj>
    </w:sdtPr>
    <w:sdtEndPr>
      <w:rPr>
        <w:rFonts w:ascii="Times New Roman" w:hAnsi="Times New Roman" w:cs="Times New Roman"/>
        <w:noProof/>
      </w:rPr>
    </w:sdtEndPr>
    <w:sdtContent>
      <w:p w:rsidR="00152528" w:rsidRDefault="0012413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46</w:t>
        </w:r>
        <w:r>
          <w:rPr>
            <w:rFonts w:ascii="Times New Roman" w:hAnsi="Times New Roman" w:cs="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381575"/>
      <w:docPartObj>
        <w:docPartGallery w:val="Page Numbers (Bottom of Page)"/>
        <w:docPartUnique/>
      </w:docPartObj>
    </w:sdtPr>
    <w:sdtEndPr>
      <w:rPr>
        <w:noProof/>
      </w:rPr>
    </w:sdtEndPr>
    <w:sdtContent>
      <w:p w:rsidR="00152528" w:rsidRDefault="00124136">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rsidR="00152528" w:rsidRDefault="0015252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528" w:rsidRDefault="00124136">
      <w:pPr>
        <w:spacing w:after="0" w:line="240" w:lineRule="auto"/>
      </w:pPr>
      <w:r>
        <w:separator/>
      </w:r>
    </w:p>
  </w:footnote>
  <w:footnote w:type="continuationSeparator" w:id="0">
    <w:p w:rsidR="00152528" w:rsidRDefault="00124136">
      <w:pPr>
        <w:spacing w:after="0" w:line="240" w:lineRule="auto"/>
      </w:pPr>
      <w:r>
        <w:continuationSeparator/>
      </w:r>
    </w:p>
  </w:footnote>
  <w:footnote w:id="1">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UN-Generalsekretär Ban Ki-moon auf dem Gipfeltreffen in New York am 25. September 2015 anlässlich der Verabschiedung der Entwicklungsagenda für die Zeit nach 2015‚ abrufbar unter: </w:t>
      </w:r>
      <w:hyperlink r:id="rId1">
        <w:r>
          <w:rPr>
            <w:rStyle w:val="Hyperlink"/>
            <w:rFonts w:ascii="Times New Roman" w:hAnsi="Times New Roman"/>
            <w:sz w:val="18"/>
          </w:rPr>
          <w:t>https</w:t>
        </w:r>
        <w:r>
          <w:rPr>
            <w:rStyle w:val="Hyperlink"/>
            <w:rFonts w:ascii="Times New Roman" w:hAnsi="Times New Roman"/>
            <w:sz w:val="18"/>
          </w:rPr>
          <w:t>://www.un.org/press/en/2015/sgsm17111.doc.htm</w:t>
        </w:r>
      </w:hyperlink>
      <w:r>
        <w:rPr>
          <w:rFonts w:ascii="Times New Roman" w:hAnsi="Times New Roman"/>
          <w:sz w:val="18"/>
        </w:rPr>
        <w:t>.</w:t>
      </w:r>
    </w:p>
  </w:footnote>
  <w:footnote w:id="2">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w:t>
      </w:r>
      <w:r>
        <w:rPr>
          <w:rStyle w:val="Emphasis"/>
          <w:rFonts w:ascii="Times New Roman" w:hAnsi="Times New Roman"/>
          <w:i w:val="0"/>
          <w:sz w:val="18"/>
          <w:lang w:val="en-GB"/>
        </w:rPr>
        <w:t>ABl. C 202 vom 7.6.2016.</w:t>
      </w:r>
    </w:p>
  </w:footnote>
  <w:footnote w:id="3">
    <w:p w:rsidR="00152528" w:rsidRDefault="00124136">
      <w:pPr>
        <w:spacing w:after="0" w:line="240" w:lineRule="auto"/>
        <w:jc w:val="both"/>
        <w:rPr>
          <w:rFonts w:ascii="Times New Roman" w:eastAsia="Times New Roman" w:hAnsi="Times New Roman" w:cs="Times New Roman"/>
          <w:sz w:val="18"/>
          <w:szCs w:val="18"/>
          <w:lang w:val="en-GB" w:eastAsia="en-GB"/>
        </w:rPr>
      </w:pPr>
      <w:r>
        <w:rPr>
          <w:rStyle w:val="FootnoteReference"/>
          <w:rFonts w:ascii="Times New Roman" w:hAnsi="Times New Roman"/>
          <w:sz w:val="18"/>
        </w:rPr>
        <w:footnoteRef/>
      </w:r>
      <w:r>
        <w:rPr>
          <w:rFonts w:ascii="Times New Roman" w:hAnsi="Times New Roman"/>
          <w:sz w:val="18"/>
          <w:lang w:val="en-GB"/>
        </w:rPr>
        <w:t xml:space="preserve"> My Region, My Europe, Our Future: The seventh report on economic, social and territorial cohesion, 2017.</w:t>
      </w:r>
    </w:p>
    <w:p w:rsidR="00152528" w:rsidRDefault="00124136">
      <w:pPr>
        <w:pStyle w:val="FootnoteText"/>
        <w:jc w:val="both"/>
        <w:rPr>
          <w:rFonts w:ascii="Times New Roman" w:hAnsi="Times New Roman" w:cs="Times New Roman"/>
          <w:lang w:val="et-EE"/>
        </w:rPr>
      </w:pPr>
      <w:r>
        <w:rPr>
          <w:rFonts w:ascii="Times New Roman" w:hAnsi="Times New Roman"/>
          <w:sz w:val="18"/>
        </w:rPr>
        <w:t xml:space="preserve">Abrufbar unter: </w:t>
      </w:r>
      <w:hyperlink r:id="rId2">
        <w:r>
          <w:rPr>
            <w:rStyle w:val="Hyperlink"/>
            <w:rFonts w:ascii="Times New Roman" w:hAnsi="Times New Roman"/>
            <w:sz w:val="18"/>
          </w:rPr>
          <w:t>https://ec.europa.eu/regional_policy/sources/docoffic/official/reports/cohesion7/7cr.pdf</w:t>
        </w:r>
      </w:hyperlink>
      <w:r>
        <w:rPr>
          <w:rFonts w:ascii="Times New Roman" w:hAnsi="Times New Roman"/>
          <w:sz w:val="18"/>
        </w:rPr>
        <w:t>.</w:t>
      </w:r>
      <w:r>
        <w:rPr>
          <w:rFonts w:ascii="Times New Roman" w:hAnsi="Times New Roman"/>
        </w:rPr>
        <w:t xml:space="preserve"> </w:t>
      </w:r>
    </w:p>
  </w:footnote>
  <w:footnote w:id="4">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sz w:val="18"/>
          <w:lang w:val="en-GB"/>
        </w:rPr>
        <w:t>World Happiness Report 2018 von John F. Helliwell, Richard Layard und Jeffrey D. Sachs.</w:t>
      </w:r>
    </w:p>
  </w:footnote>
  <w:footnote w:id="5">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Eurostat, Quality of lif</w:t>
      </w:r>
      <w:r>
        <w:rPr>
          <w:rFonts w:ascii="Times New Roman" w:hAnsi="Times New Roman"/>
          <w:sz w:val="18"/>
          <w:lang w:val="en-GB"/>
        </w:rPr>
        <w:t xml:space="preserve">e indicators. </w:t>
      </w:r>
      <w:r>
        <w:rPr>
          <w:rFonts w:ascii="Times New Roman" w:hAnsi="Times New Roman"/>
          <w:sz w:val="18"/>
        </w:rPr>
        <w:t xml:space="preserve">Abrufbar unter: </w:t>
      </w:r>
      <w:hyperlink r:id="rId3">
        <w:r>
          <w:rPr>
            <w:rStyle w:val="Hyperlink"/>
            <w:rFonts w:ascii="Times New Roman" w:hAnsi="Times New Roman"/>
            <w:sz w:val="18"/>
          </w:rPr>
          <w:t>https://ec.europa.eu/eurostat/statistics-explained/index.php/Quality_of_life_indicators</w:t>
        </w:r>
      </w:hyperlink>
      <w:r>
        <w:rPr>
          <w:rFonts w:ascii="Times New Roman" w:hAnsi="Times New Roman"/>
          <w:sz w:val="18"/>
        </w:rPr>
        <w:t xml:space="preserve"> </w:t>
      </w:r>
    </w:p>
  </w:footnote>
  <w:footnote w:id="6">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European Youth Forum, Youth Progress Index 2017. </w:t>
      </w:r>
      <w:r>
        <w:rPr>
          <w:rFonts w:ascii="Times New Roman" w:hAnsi="Times New Roman"/>
          <w:sz w:val="18"/>
        </w:rPr>
        <w:t xml:space="preserve">Abrufbar unter: </w:t>
      </w:r>
      <w:hyperlink r:id="rId4">
        <w:r>
          <w:rPr>
            <w:rStyle w:val="Hyperlink"/>
            <w:rFonts w:ascii="Times New Roman" w:hAnsi="Times New Roman"/>
            <w:sz w:val="18"/>
          </w:rPr>
          <w:t>https://www.youthforum.org/youth-progress-index</w:t>
        </w:r>
      </w:hyperlink>
      <w:r>
        <w:rPr>
          <w:rStyle w:val="Hyperlink"/>
          <w:rFonts w:ascii="Times New Roman" w:hAnsi="Times New Roman"/>
          <w:sz w:val="18"/>
        </w:rPr>
        <w:t>.</w:t>
      </w:r>
      <w:r>
        <w:rPr>
          <w:rFonts w:ascii="Times New Roman" w:hAnsi="Times New Roman"/>
          <w:sz w:val="18"/>
        </w:rPr>
        <w:t xml:space="preserve"> </w:t>
      </w:r>
    </w:p>
  </w:footnote>
  <w:footnote w:id="7">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In Anhang 3 des Reflexionspapiers werden die wichtigsten Initiativen de</w:t>
      </w:r>
      <w:r>
        <w:rPr>
          <w:rFonts w:ascii="Times New Roman" w:hAnsi="Times New Roman"/>
          <w:sz w:val="18"/>
        </w:rPr>
        <w:t>r Juncker-Kommission ausführlicher dargelegt, die zur Umsetzung der Agenda 2030 und des Klimaschutzübereinkommens von Paris beitragen sollen.</w:t>
      </w:r>
    </w:p>
  </w:footnote>
  <w:footnote w:id="8">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773 final.</w:t>
      </w:r>
    </w:p>
  </w:footnote>
  <w:footnote w:id="9">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KOM(2010) 2020 endg.</w:t>
      </w:r>
    </w:p>
  </w:footnote>
  <w:footnote w:id="10">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EUCO 13/18 – Tagung des Europäischen Rates (18. Oktober 2018) – Sc</w:t>
      </w:r>
      <w:r>
        <w:rPr>
          <w:rFonts w:ascii="Times New Roman" w:hAnsi="Times New Roman"/>
          <w:sz w:val="18"/>
        </w:rPr>
        <w:t>hlussfolgerungen, III.12.</w:t>
      </w:r>
    </w:p>
  </w:footnote>
  <w:footnote w:id="11">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COM(2016) 739 final.</w:t>
      </w:r>
    </w:p>
  </w:footnote>
  <w:footnote w:id="12">
    <w:p w:rsidR="00152528" w:rsidRDefault="00124136">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Jahreswachstumsbericht 2018, COM(2017) 690 final.</w:t>
      </w:r>
    </w:p>
  </w:footnote>
  <w:footnote w:id="13">
    <w:p w:rsidR="00152528" w:rsidRDefault="00124136">
      <w:pPr>
        <w:pStyle w:val="FootnoteText"/>
        <w:rPr>
          <w:rFonts w:ascii="Times New Roman" w:hAnsi="Times New Roman" w:cs="Times New Roman"/>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 xml:space="preserve">European Economic Forecast – Autumn 2018, veröffentlicht am 8. November 2018. Abrufbar unter: </w:t>
      </w:r>
      <w:hyperlink r:id="rId5">
        <w:r>
          <w:rPr>
            <w:rStyle w:val="Hyperlink"/>
            <w:rFonts w:ascii="Times New Roman" w:hAnsi="Times New Roman"/>
            <w:sz w:val="18"/>
          </w:rPr>
          <w:t>https://ec.europa.eu/info/sites/info/files/economy-finance/ip089_en_0.pdf</w:t>
        </w:r>
      </w:hyperlink>
      <w:r>
        <w:rPr>
          <w:rFonts w:ascii="Times New Roman" w:hAnsi="Times New Roman"/>
          <w:color w:val="1F497D"/>
          <w:sz w:val="18"/>
        </w:rPr>
        <w:t>.</w:t>
      </w:r>
      <w:r>
        <w:rPr>
          <w:rFonts w:ascii="Times New Roman" w:hAnsi="Times New Roman"/>
          <w:color w:val="1F497D"/>
          <w:sz w:val="22"/>
        </w:rPr>
        <w:t xml:space="preserve"> </w:t>
      </w:r>
    </w:p>
  </w:footnote>
  <w:footnote w:id="14">
    <w:p w:rsidR="00152528" w:rsidRDefault="00124136">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Global Footprint Network. Abrufbar unter: </w:t>
      </w:r>
      <w:hyperlink r:id="rId6" w:history="1">
        <w:r>
          <w:rPr>
            <w:rStyle w:val="Hyperlink"/>
            <w:rFonts w:ascii="Times New Roman" w:hAnsi="Times New Roman" w:cs="Times New Roman"/>
            <w:sz w:val="18"/>
            <w:szCs w:val="18"/>
          </w:rPr>
          <w:t>https://www.footprintn</w:t>
        </w:r>
        <w:r>
          <w:rPr>
            <w:rStyle w:val="Hyperlink"/>
            <w:rFonts w:ascii="Times New Roman" w:hAnsi="Times New Roman" w:cs="Times New Roman"/>
            <w:sz w:val="18"/>
            <w:szCs w:val="18"/>
          </w:rPr>
          <w:t>etwork.org/our-work/ecological-footprint/</w:t>
        </w:r>
      </w:hyperlink>
    </w:p>
  </w:footnote>
  <w:footnote w:id="15">
    <w:p w:rsidR="00152528" w:rsidRDefault="00124136">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EU-Kommission, Raw Materials Scoreboard 2018.</w:t>
      </w:r>
    </w:p>
  </w:footnote>
  <w:footnote w:id="16">
    <w:p w:rsidR="00152528" w:rsidRDefault="00124136">
      <w:pPr>
        <w:pStyle w:val="FootnoteText"/>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lang w:val="en-GB"/>
        </w:rPr>
        <w:t xml:space="preserve"> WWF. 2018. Living Planet Report – 2018: Aiming Higher. </w:t>
      </w:r>
      <w:r>
        <w:rPr>
          <w:rFonts w:ascii="Times New Roman" w:hAnsi="Times New Roman"/>
          <w:sz w:val="18"/>
        </w:rPr>
        <w:t>Grooten, M. und Almond, R.E.A.(Hrsg.). WWF, Gland, Schweiz.</w:t>
      </w:r>
    </w:p>
  </w:footnote>
  <w:footnote w:id="17">
    <w:p w:rsidR="00152528" w:rsidRDefault="00124136">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rPr>
        <w:t xml:space="preserve"> Europäische Umweltagentur (2017), „Food in a green light. </w:t>
      </w:r>
      <w:r>
        <w:rPr>
          <w:rFonts w:ascii="Times New Roman" w:hAnsi="Times New Roman"/>
          <w:sz w:val="18"/>
          <w:lang w:val="en-GB"/>
        </w:rPr>
        <w:t>A systems approach to sustainable food“.</w:t>
      </w:r>
    </w:p>
  </w:footnote>
  <w:footnote w:id="18">
    <w:p w:rsidR="00152528" w:rsidRDefault="00124136">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SWD(2016) 319 final.</w:t>
      </w:r>
    </w:p>
  </w:footnote>
  <w:footnote w:id="19">
    <w:p w:rsidR="00152528" w:rsidRDefault="00124136">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color w:val="000000"/>
          <w:u w:val="single"/>
        </w:rPr>
        <w:t xml:space="preserve"> </w:t>
      </w:r>
      <w:r>
        <w:rPr>
          <w:rFonts w:ascii="Times New Roman" w:hAnsi="Times New Roman"/>
          <w:sz w:val="18"/>
        </w:rPr>
        <w:t xml:space="preserve">COM(2019) 1. </w:t>
      </w:r>
    </w:p>
  </w:footnote>
  <w:footnote w:id="20">
    <w:p w:rsidR="00152528" w:rsidRDefault="00124136">
      <w:pPr>
        <w:pStyle w:val="FootnoteText"/>
      </w:pPr>
      <w:r>
        <w:rPr>
          <w:rStyle w:val="FootnoteReference"/>
        </w:rPr>
        <w:footnoteRef/>
      </w:r>
      <w:r>
        <w:t xml:space="preserve">  </w:t>
      </w:r>
      <w:r>
        <w:rPr>
          <w:rFonts w:ascii="Times New Roman" w:hAnsi="Times New Roman"/>
          <w:sz w:val="18"/>
        </w:rPr>
        <w:t>Eingehende Analyse als Begleitunterlage zur Mitteilung der Kommission COM(2018) 773, Abschnitt 5.6.2.3.</w:t>
      </w:r>
    </w:p>
  </w:footnote>
  <w:footnote w:id="21">
    <w:p w:rsidR="00152528" w:rsidRDefault="00124136">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Dante Di</w:t>
      </w:r>
      <w:r>
        <w:rPr>
          <w:rFonts w:ascii="Times New Roman" w:hAnsi="Times New Roman"/>
          <w:sz w:val="18"/>
          <w:lang w:val="en-GB"/>
        </w:rPr>
        <w:t xml:space="preserve">sparte, „If You Think Fighting Climate Change Will Be Expensive, Calculate the Cost of Letting It Happen“, 12. Juni 2017, Harvard Business Review online. Abrufbar unter:  </w:t>
      </w:r>
      <w:hyperlink r:id="rId7">
        <w:r>
          <w:rPr>
            <w:rStyle w:val="Hyperlink"/>
            <w:rFonts w:ascii="Times New Roman" w:hAnsi="Times New Roman"/>
            <w:sz w:val="18"/>
            <w:lang w:val="en-GB"/>
          </w:rPr>
          <w:t>https://hbr.org/2017/06/if-you-think-fighting-climate-change-will-be-expensive-calculate-the-cost-of-letting-it-happen</w:t>
        </w:r>
      </w:hyperlink>
    </w:p>
  </w:footnote>
  <w:footnote w:id="22">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w:t>
      </w:r>
      <w:r>
        <w:rPr>
          <w:rFonts w:ascii="Times New Roman" w:hAnsi="Times New Roman"/>
          <w:sz w:val="18"/>
          <w:lang w:val="en-GB"/>
        </w:rPr>
        <w:t>ress towards the SDGs in an EU Context, Ausgabe 2018.</w:t>
      </w:r>
    </w:p>
  </w:footnote>
  <w:footnote w:id="23">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t-EE"/>
        </w:rPr>
        <w:t xml:space="preserve"> </w:t>
      </w:r>
      <w:hyperlink r:id="rId8">
        <w:r>
          <w:rPr>
            <w:rStyle w:val="Hyperlink"/>
            <w:rFonts w:ascii="Times New Roman" w:hAnsi="Times New Roman"/>
            <w:sz w:val="18"/>
            <w:lang w:val="et-EE"/>
          </w:rPr>
          <w:t>https://ec.europa.eu/food/safety/food_waste_en</w:t>
        </w:r>
      </w:hyperlink>
      <w:r>
        <w:rPr>
          <w:rStyle w:val="Hyperlink"/>
          <w:rFonts w:ascii="Times New Roman" w:hAnsi="Times New Roman"/>
          <w:sz w:val="18"/>
          <w:lang w:val="et-EE"/>
        </w:rPr>
        <w:t>.</w:t>
      </w:r>
      <w:r>
        <w:rPr>
          <w:rFonts w:ascii="Times New Roman" w:hAnsi="Times New Roman"/>
          <w:sz w:val="18"/>
          <w:lang w:val="et-EE"/>
        </w:rPr>
        <w:t xml:space="preserve"> </w:t>
      </w:r>
    </w:p>
  </w:footnote>
  <w:footnote w:id="24">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Progr</w:t>
      </w:r>
      <w:r>
        <w:rPr>
          <w:rFonts w:ascii="Times New Roman" w:hAnsi="Times New Roman"/>
          <w:sz w:val="18"/>
          <w:lang w:val="en-GB"/>
        </w:rPr>
        <w:t xml:space="preserve">ess towards the SDGs in an EU Context, Ausgabe 2018. </w:t>
      </w:r>
    </w:p>
  </w:footnote>
  <w:footnote w:id="25">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Progress towards the SDGs in an EU Context, Ausgabe 2018.</w:t>
      </w:r>
    </w:p>
  </w:footnote>
  <w:footnote w:id="26">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Ernährungs- und Landwirtschaftsorganisation der Vereinten Nati</w:t>
      </w:r>
      <w:r>
        <w:rPr>
          <w:rFonts w:ascii="Times New Roman" w:hAnsi="Times New Roman"/>
          <w:sz w:val="18"/>
          <w:lang w:val="en-GB"/>
        </w:rPr>
        <w:t xml:space="preserve">onen (FAO), 2016, Antimicrobial resistance and our food systems: challenges and solutions. Abrufbar unter: </w:t>
      </w:r>
      <w:hyperlink r:id="rId9">
        <w:r>
          <w:rPr>
            <w:rStyle w:val="Hyperlink"/>
            <w:rFonts w:ascii="Times New Roman" w:hAnsi="Times New Roman"/>
            <w:sz w:val="18"/>
            <w:lang w:val="en-GB"/>
          </w:rPr>
          <w:t>http://www.fao.org/3/a-i6106e.pdf</w:t>
        </w:r>
      </w:hyperlink>
      <w:r>
        <w:rPr>
          <w:rFonts w:ascii="Times New Roman" w:hAnsi="Times New Roman"/>
          <w:sz w:val="18"/>
          <w:lang w:val="en-GB"/>
        </w:rPr>
        <w:t xml:space="preserve"> </w:t>
      </w:r>
    </w:p>
  </w:footnote>
  <w:footnote w:id="27">
    <w:p w:rsidR="00152528" w:rsidRDefault="00124136">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lang w:val="en-GB"/>
        </w:rPr>
        <w:t xml:space="preserve"> European Institute for Gender Equality (2017), Gender Equality Index 2017 – Measuring gender equality in the European Union 2005-2015, Pressemitteilung vom 11. </w:t>
      </w:r>
      <w:r>
        <w:rPr>
          <w:rFonts w:ascii="Times New Roman" w:hAnsi="Times New Roman"/>
          <w:sz w:val="18"/>
        </w:rPr>
        <w:t xml:space="preserve">Oktober 2017. Abrufbar unter: </w:t>
      </w:r>
      <w:hyperlink r:id="rId10" w:history="1">
        <w:r>
          <w:rPr>
            <w:rStyle w:val="Hyperlink"/>
            <w:rFonts w:ascii="Times New Roman" w:hAnsi="Times New Roman"/>
            <w:sz w:val="18"/>
          </w:rPr>
          <w:t>https://eige.europa.eu/news-and-events/news/gender-equality-index-2017-progress-snails-pace</w:t>
        </w:r>
      </w:hyperlink>
    </w:p>
  </w:footnote>
  <w:footnote w:id="28">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Europäische Kommission, 2018 Report on equality between women and men in the EU.</w:t>
      </w:r>
    </w:p>
  </w:footnote>
  <w:footnote w:id="29">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OECD(2015), In It Together: Why Less</w:t>
      </w:r>
      <w:r>
        <w:rPr>
          <w:rFonts w:ascii="Times New Roman" w:hAnsi="Times New Roman"/>
          <w:sz w:val="18"/>
          <w:lang w:val="en-GB"/>
        </w:rPr>
        <w:t xml:space="preserve"> Inequality Benefits All, OECD Publishing, Paris.</w:t>
      </w:r>
    </w:p>
  </w:footnote>
  <w:footnote w:id="30">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t-EE"/>
        </w:rPr>
        <w:t xml:space="preserve"> Internationale Organisation für Migration, „Migration, Environment and Climate Change: Assessing the Evidence“, 2009.</w:t>
      </w:r>
    </w:p>
  </w:footnote>
  <w:footnote w:id="31">
    <w:p w:rsidR="00152528" w:rsidRDefault="00124136">
      <w:pPr>
        <w:pStyle w:val="FootnoteText"/>
        <w:rPr>
          <w:rFonts w:ascii="Times New Roman" w:hAnsi="Times New Roman" w:cs="Times New Roman"/>
          <w:lang w:val="et-EE"/>
        </w:rPr>
      </w:pPr>
      <w:r>
        <w:rPr>
          <w:rStyle w:val="FootnoteReference"/>
          <w:rFonts w:ascii="Times New Roman" w:hAnsi="Times New Roman"/>
        </w:rPr>
        <w:footnoteRef/>
      </w:r>
      <w:r>
        <w:rPr>
          <w:rFonts w:ascii="Times New Roman" w:hAnsi="Times New Roman"/>
          <w:lang w:val="et-EE"/>
        </w:rPr>
        <w:t xml:space="preserve"> </w:t>
      </w:r>
      <w:r>
        <w:rPr>
          <w:rFonts w:ascii="Times New Roman" w:hAnsi="Times New Roman"/>
          <w:sz w:val="18"/>
          <w:lang w:val="et-EE"/>
        </w:rPr>
        <w:t xml:space="preserve">7. Umweltaktionsprogramm. Abrufbar unter: </w:t>
      </w:r>
      <w:hyperlink r:id="rId11">
        <w:r>
          <w:rPr>
            <w:rStyle w:val="Hyperlink"/>
            <w:rFonts w:ascii="Times New Roman" w:hAnsi="Times New Roman"/>
            <w:sz w:val="18"/>
            <w:lang w:val="et-EE"/>
          </w:rPr>
          <w:t>https://eur-lex.europa.eu/legal-content/DE/TXT/?uri=CELEX:32013D1386</w:t>
        </w:r>
      </w:hyperlink>
      <w:r>
        <w:rPr>
          <w:rFonts w:ascii="Times New Roman" w:hAnsi="Times New Roman"/>
          <w:sz w:val="18"/>
          <w:lang w:val="et-EE"/>
        </w:rPr>
        <w:t xml:space="preserve">. </w:t>
      </w:r>
    </w:p>
  </w:footnote>
  <w:footnote w:id="32">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Eurostat, Umweltwirtschaft – Statistiken zu Beschäftigung und Wachstum. Abrufbar unter: </w:t>
      </w:r>
      <w:hyperlink r:id="rId12" w:history="1">
        <w:r>
          <w:rPr>
            <w:rStyle w:val="Hyperlink"/>
            <w:rFonts w:ascii="Times New Roman" w:hAnsi="Times New Roman"/>
            <w:sz w:val="18"/>
          </w:rPr>
          <w:t>https://ec.europa.eu/eurostat/statistics-explained/pdfscache/10420.pdf</w:t>
        </w:r>
      </w:hyperlink>
      <w:r>
        <w:rPr>
          <w:rFonts w:ascii="Times New Roman" w:hAnsi="Times New Roman"/>
          <w:kern w:val="36"/>
          <w:sz w:val="18"/>
        </w:rPr>
        <w:t xml:space="preserve">. Die Umweltwirtschaft umfasst zwei große Gruppen von Tätigkeiten bzw. Produkten: zum einen „Umweltschutz“ – d. h. alle Tätigkeiten in Zusammenhang </w:t>
      </w:r>
      <w:r>
        <w:rPr>
          <w:rFonts w:ascii="Times New Roman" w:hAnsi="Times New Roman"/>
          <w:kern w:val="36"/>
          <w:sz w:val="18"/>
        </w:rPr>
        <w:t>mit der Vermeidung, Verringerung und Beseitigung von Umweltverschmutzung und anderen Formen der Umweltbelastung, zum anderen „Ressourcenbewirtschaftung“ – d. h. Schutz und Erhalt der natürlichen Ressourcen und folglich Maßnahmen gegen die Übernutzung diese</w:t>
      </w:r>
      <w:r>
        <w:rPr>
          <w:rFonts w:ascii="Times New Roman" w:hAnsi="Times New Roman"/>
          <w:kern w:val="36"/>
          <w:sz w:val="18"/>
        </w:rPr>
        <w:t>r Ressourcen.</w:t>
      </w:r>
    </w:p>
  </w:footnote>
  <w:footnote w:id="33">
    <w:p w:rsidR="00152528" w:rsidRDefault="00124136">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S. Fankhauser, A. Bowen u. a. „Who will win the green race? In search of environmental competitiveness and innovation“, 2013.</w:t>
      </w:r>
    </w:p>
  </w:footnote>
  <w:footnote w:id="34">
    <w:p w:rsidR="00152528" w:rsidRDefault="00124136">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The report of the Business &amp; Sustainable Development Commission“, Januar 2017 (S. 12). </w:t>
      </w:r>
    </w:p>
  </w:footnote>
  <w:footnote w:id="35">
    <w:p w:rsidR="00152528" w:rsidRDefault="00124136">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Überprüfung der Umsetzung der EU-Umweltpolitik 2017.</w:t>
      </w:r>
    </w:p>
  </w:footnote>
  <w:footnote w:id="36">
    <w:p w:rsidR="00152528" w:rsidRDefault="00124136">
      <w:pPr>
        <w:pStyle w:val="FootnoteText"/>
        <w:jc w:val="both"/>
        <w:rPr>
          <w:rFonts w:ascii="Times New Roman" w:hAnsi="Times New Roman" w:cs="Times New Roman"/>
          <w:lang w:val="en-GB"/>
        </w:rPr>
      </w:pPr>
      <w:r>
        <w:rPr>
          <w:rStyle w:val="FootnoteReference"/>
          <w:rFonts w:ascii="Times New Roman" w:hAnsi="Times New Roman"/>
          <w:sz w:val="18"/>
        </w:rPr>
        <w:footnoteRef/>
      </w:r>
      <w:r>
        <w:rPr>
          <w:rFonts w:ascii="Times New Roman" w:hAnsi="Times New Roman"/>
          <w:sz w:val="18"/>
        </w:rPr>
        <w:t xml:space="preserve"> Unter anderem: Zwischenstaatli</w:t>
      </w:r>
      <w:r>
        <w:rPr>
          <w:rFonts w:ascii="Times New Roman" w:hAnsi="Times New Roman"/>
          <w:sz w:val="18"/>
        </w:rPr>
        <w:t>cher Ausschuss für Klimaänderungen (IPCC) „Globale Erwärmung von 1,5 °C: Ein IPCC-Sonderbericht über die Folgen einer globalen Erwärmung um 1,5 °C gegenüber vorindustriellem Niveau und die damit verbundenen globalen Treibhausgasemissionspfade im Zusammenha</w:t>
      </w:r>
      <w:r>
        <w:rPr>
          <w:rFonts w:ascii="Times New Roman" w:hAnsi="Times New Roman"/>
          <w:sz w:val="18"/>
        </w:rPr>
        <w:t>ng mit einer Stärkung der weltweiten Reaktion auf die Bedrohung durch den Klimawandel, nachhaltiger Entwicklung und Anstrengungen zur Beseitigung von Armut“, 2018; Sachs, J., Schmidt-Traub, G., Kroll, C., Lafortune, G., Fuller, G. (2018): SDG Index and Das</w:t>
      </w:r>
      <w:r>
        <w:rPr>
          <w:rFonts w:ascii="Times New Roman" w:hAnsi="Times New Roman"/>
          <w:sz w:val="18"/>
        </w:rPr>
        <w:t xml:space="preserve">hboards Report 2018. </w:t>
      </w:r>
      <w:r>
        <w:rPr>
          <w:rFonts w:ascii="Times New Roman" w:hAnsi="Times New Roman"/>
          <w:sz w:val="18"/>
          <w:lang w:val="en-GB"/>
        </w:rPr>
        <w:t>New York: Bertelsmann Stiftung and Sustainable Development Solutions Network (SDSN); Europe moving towards a sustainable future, Contribution of the Multi-Stakeholder Platform on the implementation of the Sustainable Goals in the EU Re</w:t>
      </w:r>
      <w:r>
        <w:rPr>
          <w:rFonts w:ascii="Times New Roman" w:hAnsi="Times New Roman"/>
          <w:sz w:val="18"/>
          <w:lang w:val="en-GB"/>
        </w:rPr>
        <w:t>flection Paper, Oktober 2018.</w:t>
      </w:r>
    </w:p>
  </w:footnote>
  <w:footnote w:id="37">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Progress towards the SDGs in an EU Context, Ausgabe 2018. </w:t>
      </w:r>
    </w:p>
  </w:footnote>
  <w:footnote w:id="38">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w:t>
      </w:r>
      <w:r>
        <w:rPr>
          <w:rStyle w:val="Emphasis"/>
          <w:rFonts w:ascii="Times New Roman" w:hAnsi="Times New Roman"/>
          <w:i w:val="0"/>
          <w:sz w:val="18"/>
          <w:lang w:val="en-GB"/>
        </w:rPr>
        <w:t xml:space="preserve">Growth within: A circular economy vision for a competitive Europe”, </w:t>
      </w:r>
      <w:r>
        <w:rPr>
          <w:rFonts w:ascii="Times New Roman" w:hAnsi="Times New Roman"/>
          <w:color w:val="000000"/>
          <w:sz w:val="18"/>
          <w:lang w:val="en-GB"/>
        </w:rPr>
        <w:t xml:space="preserve">Ellen MacArthur </w:t>
      </w:r>
      <w:r>
        <w:rPr>
          <w:rFonts w:ascii="Times New Roman" w:hAnsi="Times New Roman"/>
          <w:color w:val="000000"/>
          <w:sz w:val="18"/>
          <w:lang w:val="en-GB"/>
        </w:rPr>
        <w:t>Foundation und McKinsey Center for Business and Environment, 2015.</w:t>
      </w:r>
    </w:p>
  </w:footnote>
  <w:footnote w:id="39">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Towards a circular economy – Waste management in the EU, 2017, Wissenschaftlicher Dienst des Europäischen Parlaments</w:t>
      </w:r>
    </w:p>
  </w:footnote>
  <w:footnote w:id="40">
    <w:p w:rsidR="00152528" w:rsidRDefault="00124136">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lang w:val="en-GB"/>
        </w:rPr>
        <w:t xml:space="preserve"> SITRA, The circular economy - a powerful force for climate mitigatio</w:t>
      </w:r>
      <w:r>
        <w:rPr>
          <w:rFonts w:ascii="Times New Roman" w:hAnsi="Times New Roman"/>
          <w:sz w:val="18"/>
          <w:lang w:val="en-GB"/>
        </w:rPr>
        <w:t xml:space="preserve">n, 2018. </w:t>
      </w:r>
      <w:r>
        <w:rPr>
          <w:rFonts w:ascii="Times New Roman" w:hAnsi="Times New Roman"/>
          <w:sz w:val="18"/>
        </w:rPr>
        <w:t xml:space="preserve">Abrufbar unter: </w:t>
      </w:r>
      <w:hyperlink r:id="rId13">
        <w:r>
          <w:rPr>
            <w:rStyle w:val="Hyperlink"/>
            <w:rFonts w:ascii="Times New Roman" w:hAnsi="Times New Roman"/>
            <w:sz w:val="18"/>
          </w:rPr>
          <w:t>https://www.sitra.fi/en/publications/circular-economy-powerful-force-climate-mitigation/</w:t>
        </w:r>
      </w:hyperlink>
      <w:r>
        <w:rPr>
          <w:rStyle w:val="Hyperlink"/>
          <w:rFonts w:ascii="Times New Roman" w:hAnsi="Times New Roman"/>
          <w:sz w:val="18"/>
        </w:rPr>
        <w:t>.</w:t>
      </w:r>
      <w:r>
        <w:rPr>
          <w:rFonts w:ascii="Times New Roman" w:hAnsi="Times New Roman"/>
        </w:rPr>
        <w:t xml:space="preserve"> </w:t>
      </w:r>
    </w:p>
  </w:footnote>
  <w:footnote w:id="41">
    <w:p w:rsidR="00152528" w:rsidRDefault="00124136">
      <w:pPr>
        <w:pStyle w:val="FootnoteText"/>
        <w:rPr>
          <w:lang w:val="en-GB"/>
        </w:rPr>
      </w:pPr>
      <w:r>
        <w:rPr>
          <w:rStyle w:val="FootnoteReference"/>
        </w:rPr>
        <w:footnoteRef/>
      </w:r>
      <w:r>
        <w:rPr>
          <w:lang w:val="en-GB"/>
        </w:rPr>
        <w:t xml:space="preserve"> </w:t>
      </w:r>
      <w:r>
        <w:rPr>
          <w:rFonts w:ascii="Times New Roman" w:hAnsi="Times New Roman"/>
          <w:sz w:val="18"/>
          <w:lang w:val="en-GB"/>
        </w:rPr>
        <w:t>COM(2018) 28 final.</w:t>
      </w:r>
    </w:p>
  </w:footnote>
  <w:footnote w:id="42">
    <w:p w:rsidR="00152528" w:rsidRDefault="00124136">
      <w:pPr>
        <w:pStyle w:val="FootnoteText"/>
        <w:rPr>
          <w:lang w:val="en-GB"/>
        </w:rPr>
      </w:pPr>
      <w:r>
        <w:rPr>
          <w:rStyle w:val="FootnoteReference"/>
        </w:rPr>
        <w:footnoteRef/>
      </w:r>
      <w:r>
        <w:rPr>
          <w:lang w:val="en-GB"/>
        </w:rPr>
        <w:t xml:space="preserve"> </w:t>
      </w:r>
      <w:r>
        <w:rPr>
          <w:rFonts w:ascii="Times New Roman" w:hAnsi="Times New Roman"/>
          <w:sz w:val="18"/>
          <w:lang w:val="en-GB"/>
        </w:rPr>
        <w:t>COM(2018) 340 final.</w:t>
      </w:r>
    </w:p>
  </w:footnote>
  <w:footnote w:id="43">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The report of the Business &amp; Sustainable Development Commission“, Januar 2017.</w:t>
      </w:r>
    </w:p>
  </w:footnote>
  <w:footnote w:id="44">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The report of the Business &amp; Sustainable Development Commission“, Januar 2017.</w:t>
      </w:r>
    </w:p>
  </w:footnote>
  <w:footnote w:id="45">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Ernährungs- und Landwirtschaftsorganisation der Vereinten Nationen (FAO), Green jobs. Abrufbar</w:t>
      </w:r>
      <w:r>
        <w:rPr>
          <w:rFonts w:ascii="Times New Roman" w:hAnsi="Times New Roman"/>
          <w:sz w:val="18"/>
        </w:rPr>
        <w:t xml:space="preserve"> unter:  </w:t>
      </w:r>
      <w:hyperlink r:id="rId14">
        <w:r>
          <w:rPr>
            <w:rStyle w:val="Hyperlink"/>
            <w:rFonts w:ascii="Times New Roman" w:hAnsi="Times New Roman"/>
            <w:sz w:val="18"/>
          </w:rPr>
          <w:t>http://www.fao.org/rural-employment/work-areas/green-jobs/en/</w:t>
        </w:r>
      </w:hyperlink>
    </w:p>
  </w:footnote>
  <w:footnote w:id="46">
    <w:p w:rsidR="00152528" w:rsidRDefault="00124136">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Progress towards the SDG</w:t>
      </w:r>
      <w:r>
        <w:rPr>
          <w:rFonts w:ascii="Times New Roman" w:hAnsi="Times New Roman"/>
          <w:sz w:val="18"/>
          <w:lang w:val="en-GB"/>
        </w:rPr>
        <w:t>s in an EU Context, Ausgabe 2018.</w:t>
      </w:r>
    </w:p>
  </w:footnote>
  <w:footnote w:id="47">
    <w:p w:rsidR="00152528" w:rsidRDefault="00124136">
      <w:pPr>
        <w:pStyle w:val="FootnoteText"/>
        <w:jc w:val="both"/>
        <w:rPr>
          <w:rFonts w:ascii="Times New Roman" w:hAnsi="Times New Roman" w:cs="Times New Roman"/>
          <w:lang w:val="en-GB"/>
        </w:rPr>
      </w:pPr>
      <w:r>
        <w:rPr>
          <w:rStyle w:val="FootnoteReference"/>
          <w:rFonts w:ascii="Times New Roman" w:hAnsi="Times New Roman"/>
          <w:sz w:val="18"/>
        </w:rPr>
        <w:footnoteRef/>
      </w:r>
      <w:r>
        <w:rPr>
          <w:rFonts w:ascii="Times New Roman" w:hAnsi="Times New Roman"/>
          <w:sz w:val="18"/>
          <w:lang w:val="en-GB"/>
        </w:rPr>
        <w:t xml:space="preserve"> Europäische Kommission, Monitoring Agri-trade Policy, MAP 2018-1, “Agri-food trade in 2017: another record year for EU agri-food trade”.</w:t>
      </w:r>
    </w:p>
  </w:footnote>
  <w:footnote w:id="48">
    <w:p w:rsidR="00152528" w:rsidRDefault="00124136">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Abrufbar unter: </w:t>
      </w:r>
      <w:hyperlink r:id="rId15">
        <w:r>
          <w:rPr>
            <w:rStyle w:val="Hyperlink"/>
            <w:rFonts w:ascii="Times New Roman" w:hAnsi="Times New Roman"/>
            <w:sz w:val="18"/>
          </w:rPr>
          <w:t>https://ec.europa.eu/commission/publications/natural-resources-and-environment</w:t>
        </w:r>
      </w:hyperlink>
      <w:r>
        <w:rPr>
          <w:rFonts w:ascii="Times New Roman" w:hAnsi="Times New Roman"/>
          <w:sz w:val="18"/>
        </w:rPr>
        <w:t xml:space="preserve"> </w:t>
      </w:r>
    </w:p>
  </w:footnote>
  <w:footnote w:id="49">
    <w:p w:rsidR="00152528" w:rsidRDefault="00124136">
      <w:pPr>
        <w:pStyle w:val="FootnoteText"/>
      </w:pPr>
      <w:r>
        <w:rPr>
          <w:rStyle w:val="FootnoteReference"/>
        </w:rPr>
        <w:footnoteRef/>
      </w:r>
      <w:r>
        <w:t xml:space="preserve"> </w:t>
      </w:r>
      <w:r>
        <w:rPr>
          <w:rFonts w:ascii="Times New Roman" w:hAnsi="Times New Roman"/>
          <w:sz w:val="18"/>
        </w:rPr>
        <w:t>Abrufbar unter</w:t>
      </w:r>
      <w:r>
        <w:t xml:space="preserve">: </w:t>
      </w:r>
      <w:hyperlink r:id="rId16">
        <w:r>
          <w:rPr>
            <w:rStyle w:val="Hyperlink"/>
            <w:rFonts w:ascii="Times New Roman" w:hAnsi="Times New Roman"/>
            <w:sz w:val="18"/>
          </w:rPr>
          <w:t>https://ec.europa.eu/health/am</w:t>
        </w:r>
        <w:r>
          <w:rPr>
            <w:rStyle w:val="Hyperlink"/>
            <w:rFonts w:ascii="Times New Roman" w:hAnsi="Times New Roman"/>
            <w:sz w:val="18"/>
          </w:rPr>
          <w:t>r/sites/amr/files/amr_action_plan_2017_de.pdf</w:t>
        </w:r>
      </w:hyperlink>
      <w:r>
        <w:rPr>
          <w:rFonts w:ascii="Times New Roman" w:hAnsi="Times New Roman"/>
          <w:sz w:val="18"/>
        </w:rPr>
        <w:t>.</w:t>
      </w:r>
      <w:r>
        <w:t xml:space="preserve"> </w:t>
      </w:r>
    </w:p>
  </w:footnote>
  <w:footnote w:id="50">
    <w:p w:rsidR="00152528" w:rsidRDefault="00124136">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Eingehende Analyse als Begleitunterlage der Mitteilung COM(2018) 773 „Ein sauberer Planet für alle – Eine Europäische strategische, langfristige Vision für eine wohlhabende, moderne, wettbewerbsfähige und klimaneutrale Wirtschaft“. </w:t>
      </w:r>
    </w:p>
    <w:p w:rsidR="00152528" w:rsidRDefault="00124136">
      <w:pPr>
        <w:spacing w:after="0" w:line="240" w:lineRule="auto"/>
        <w:jc w:val="both"/>
        <w:rPr>
          <w:rFonts w:ascii="Times New Roman" w:eastAsia="Times New Roman" w:hAnsi="Times New Roman" w:cs="Times New Roman"/>
          <w:sz w:val="18"/>
          <w:szCs w:val="18"/>
          <w:lang w:eastAsia="en-GB"/>
        </w:rPr>
      </w:pPr>
      <w:r>
        <w:rPr>
          <w:rFonts w:ascii="Times New Roman" w:hAnsi="Times New Roman"/>
          <w:sz w:val="18"/>
        </w:rPr>
        <w:t>Die Fleischerzeugung w</w:t>
      </w:r>
      <w:r>
        <w:rPr>
          <w:rFonts w:ascii="Times New Roman" w:hAnsi="Times New Roman"/>
          <w:sz w:val="18"/>
        </w:rPr>
        <w:t>eist mit den größten Flächenbedarf pro Kalorie auf. Bei einer Änderung und Verringerung des Fleischkonsums werden zusätzliche Flächen frei.</w:t>
      </w:r>
    </w:p>
  </w:footnote>
  <w:footnote w:id="51">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 xml:space="preserve">Die Energieeffizienz von Kühlgeräten wurde in den letzten 10 Jahren deutlich verbessert (dies gilt u. a. auch für </w:t>
      </w:r>
      <w:r>
        <w:rPr>
          <w:rFonts w:ascii="Times New Roman" w:hAnsi="Times New Roman"/>
          <w:sz w:val="18"/>
        </w:rPr>
        <w:t xml:space="preserve">Waschmaschinen, Geschirrspülmaschinen und Fernsehgeräte). Das bedeutet gleichzeitig auch, dass die Kunden effizientere Produkte kaufen. „Topten“ auf der Grundlage von GFK-Daten. Abrufbar unter: </w:t>
      </w:r>
      <w:hyperlink r:id="rId17">
        <w:r>
          <w:rPr>
            <w:rFonts w:ascii="Times New Roman" w:hAnsi="Times New Roman"/>
            <w:sz w:val="18"/>
          </w:rPr>
          <w:t>Topten.eu</w:t>
        </w:r>
      </w:hyperlink>
      <w:r>
        <w:rPr>
          <w:rFonts w:ascii="Times New Roman" w:hAnsi="Times New Roman"/>
          <w:sz w:val="18"/>
        </w:rPr>
        <w:t xml:space="preserve"> </w:t>
      </w:r>
    </w:p>
  </w:footnote>
  <w:footnote w:id="52">
    <w:p w:rsidR="00152528" w:rsidRDefault="00124136">
      <w:pPr>
        <w:pStyle w:val="FootnoteText"/>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COM(2016) 37</w:t>
      </w:r>
      <w:r>
        <w:rPr>
          <w:rFonts w:ascii="Times New Roman" w:hAnsi="Times New Roman"/>
          <w:sz w:val="18"/>
        </w:rPr>
        <w:t>7.</w:t>
      </w:r>
    </w:p>
  </w:footnote>
  <w:footnote w:id="53">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Im Jahr 2018 wurden bis zu 9,6 % des BIP der EU für das Gesundheitswesen aufgewendet, daher sind Effizienzbestrebungen bei den Gesundheitsausgaben und ein Vorgehen gegen unnötige Ausgaben zunehmend wichtig.</w:t>
      </w:r>
    </w:p>
  </w:footnote>
  <w:footnote w:id="54">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COM(2017) 206, Reflexionspapier zur sozial</w:t>
      </w:r>
      <w:r>
        <w:rPr>
          <w:rFonts w:ascii="Times New Roman" w:hAnsi="Times New Roman"/>
          <w:sz w:val="18"/>
        </w:rPr>
        <w:t>en Dimension Europas, 26. April 2017.</w:t>
      </w:r>
    </w:p>
  </w:footnote>
  <w:footnote w:id="55">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Vereinte Nationen, Ziele für nachhaltige Entwicklung, Ziel 11: Städte und Siedlungen inklusiv, sicher, widerstandsfähig und nachhaltig gestalten. </w:t>
      </w:r>
      <w:r>
        <w:rPr>
          <w:rFonts w:ascii="Times New Roman" w:hAnsi="Times New Roman"/>
          <w:sz w:val="18"/>
          <w:lang w:val="en-GB"/>
        </w:rPr>
        <w:t xml:space="preserve">Abrufbar unter: </w:t>
      </w:r>
      <w:hyperlink r:id="rId18">
        <w:r>
          <w:rPr>
            <w:rStyle w:val="Hyperlink"/>
            <w:rFonts w:ascii="Times New Roman" w:hAnsi="Times New Roman"/>
            <w:sz w:val="18"/>
            <w:lang w:val="en-GB"/>
          </w:rPr>
          <w:t>https://www.un.org/sustainabledevelopment/cities/</w:t>
        </w:r>
      </w:hyperlink>
    </w:p>
  </w:footnote>
  <w:footnote w:id="56">
    <w:p w:rsidR="00152528" w:rsidRDefault="00124136">
      <w:pPr>
        <w:autoSpaceDE w:val="0"/>
        <w:autoSpaceDN w:val="0"/>
        <w:adjustRightInd w:val="0"/>
        <w:spacing w:after="0" w:line="240" w:lineRule="auto"/>
        <w:jc w:val="both"/>
        <w:rPr>
          <w:rFonts w:ascii="Times New Roman" w:hAnsi="Times New Roman" w:cs="Times New Roman"/>
          <w:bCs/>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The Role of Science, Technology and Innovation Policies to Foster the Implementation of the Sustainable Development Goals Bericht der Expertengruppe „Follow-up to Rio+20, notably the SDGs“.</w:t>
      </w:r>
    </w:p>
  </w:footnote>
  <w:footnote w:id="57">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22 final. </w:t>
      </w:r>
    </w:p>
  </w:footnote>
  <w:footnote w:id="58">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Im November leitete die Europäische Kommission das Projekt „AI Watch“ ein, um Entwicklungen im Zusammenhang mit künstlicher Intelligenz in der EU und weltweit zu beobachten und die notwendige Analysegrundlage für weitere Maßnahmen</w:t>
      </w:r>
      <w:r>
        <w:rPr>
          <w:rFonts w:ascii="Times New Roman" w:hAnsi="Times New Roman"/>
          <w:sz w:val="18"/>
        </w:rPr>
        <w:t xml:space="preserve"> zu schaffen.</w:t>
      </w:r>
    </w:p>
  </w:footnote>
  <w:footnote w:id="59">
    <w:p w:rsidR="00152528" w:rsidRDefault="00124136">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Europäische Kommission „USA-China-EU plans for AI: where do we stand?“, Januar 2018. Abrufbar unter: </w:t>
      </w:r>
      <w:hyperlink r:id="rId19">
        <w:r>
          <w:rPr>
            <w:rStyle w:val="Hyperlink"/>
            <w:rFonts w:ascii="Times New Roman" w:hAnsi="Times New Roman"/>
            <w:sz w:val="18"/>
          </w:rPr>
          <w:t>https://ec.europa.eu/growth/tools-databases/dem/monitor/sites/default/files/DTM_AI%20USA-China-EU%20plans%20for%20AI%20v5.pdf</w:t>
        </w:r>
      </w:hyperlink>
      <w:r>
        <w:rPr>
          <w:rFonts w:ascii="Times New Roman" w:hAnsi="Times New Roman"/>
          <w:sz w:val="18"/>
        </w:rPr>
        <w:t>.</w:t>
      </w:r>
      <w:r>
        <w:rPr>
          <w:rFonts w:ascii="Times New Roman" w:hAnsi="Times New Roman"/>
        </w:rPr>
        <w:t xml:space="preserve"> </w:t>
      </w:r>
    </w:p>
  </w:footnote>
  <w:footnote w:id="60">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Jiaxuan You, Xiaocheng Li, Melvin Low, David B. Lobell, Stefano Ermon, „Sustainability and Artificial Intelligence Lab, Combining Remote Sensing Data and Machine Learning to Predict Crop Yield“. Abrufbar unter: </w:t>
      </w:r>
      <w:hyperlink r:id="rId20">
        <w:r>
          <w:rPr>
            <w:rStyle w:val="Hyperlink"/>
            <w:rFonts w:ascii="Times New Roman" w:hAnsi="Times New Roman"/>
            <w:sz w:val="18"/>
          </w:rPr>
          <w:t>http://sustain.stanford.edu/crop-yield-analysis</w:t>
        </w:r>
      </w:hyperlink>
    </w:p>
  </w:footnote>
  <w:footnote w:id="61">
    <w:p w:rsidR="00152528" w:rsidRDefault="00124136">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Konferenz der Vereinten Nationen für Handel und Entwicklung (Unctad) Abrufbar unter:  </w:t>
      </w:r>
      <w:r>
        <w:rPr>
          <w:rStyle w:val="Hyperlink"/>
          <w:rFonts w:ascii="Times New Roman" w:hAnsi="Times New Roman" w:cs="Times New Roman"/>
          <w:sz w:val="18"/>
          <w:szCs w:val="18"/>
        </w:rPr>
        <w:t>http://www.eurasia.undp.org/content/rbec/en/home/blog/2017/7/12/What-kind-of-blender-do-we-need-t</w:t>
      </w:r>
      <w:r>
        <w:rPr>
          <w:rStyle w:val="Hyperlink"/>
          <w:rFonts w:ascii="Times New Roman" w:hAnsi="Times New Roman" w:cs="Times New Roman"/>
          <w:sz w:val="18"/>
          <w:szCs w:val="18"/>
        </w:rPr>
        <w:t>o-finance-the-SDGs-.html</w:t>
      </w:r>
    </w:p>
  </w:footnote>
  <w:footnote w:id="62">
    <w:p w:rsidR="00152528" w:rsidRDefault="00124136">
      <w:pPr>
        <w:pStyle w:val="FootnoteText"/>
      </w:pPr>
      <w:r>
        <w:rPr>
          <w:rStyle w:val="FootnoteReference"/>
        </w:rPr>
        <w:footnoteRef/>
      </w:r>
      <w:r>
        <w:t xml:space="preserve">  </w:t>
      </w:r>
      <w:r>
        <w:rPr>
          <w:rFonts w:ascii="Times New Roman" w:hAnsi="Times New Roman" w:cs="Times New Roman"/>
          <w:sz w:val="18"/>
          <w:szCs w:val="18"/>
        </w:rPr>
        <w:t>Aktionsplan für nachhaltige Finanzierung. Abrufbar unter</w:t>
      </w:r>
      <w:r>
        <w:t>:</w:t>
      </w:r>
      <w:r>
        <w:rPr>
          <w:lang w:eastAsia="en-US" w:bidi="ar-SA"/>
        </w:rPr>
        <w:t xml:space="preserve"> </w:t>
      </w:r>
      <w:hyperlink r:id="rId21" w:history="1">
        <w:r>
          <w:rPr>
            <w:rFonts w:ascii="Times New Roman" w:hAnsi="Times New Roman" w:cs="Times New Roman"/>
            <w:color w:val="0000FF"/>
            <w:sz w:val="18"/>
            <w:szCs w:val="18"/>
            <w:u w:val="single"/>
            <w:lang w:eastAsia="en-US" w:bidi="ar-SA"/>
          </w:rPr>
          <w:t>https://ec.europa.eu/info/publications/180524-proposal-sustainable-finance_e</w:t>
        </w:r>
        <w:r>
          <w:rPr>
            <w:rFonts w:ascii="Times New Roman" w:hAnsi="Times New Roman" w:cs="Times New Roman"/>
            <w:color w:val="0000FF"/>
            <w:sz w:val="18"/>
            <w:szCs w:val="18"/>
            <w:u w:val="single"/>
            <w:lang w:eastAsia="en-US" w:bidi="ar-SA"/>
          </w:rPr>
          <w:t>n</w:t>
        </w:r>
      </w:hyperlink>
      <w:r>
        <w:rPr>
          <w:rFonts w:ascii="Times New Roman" w:hAnsi="Times New Roman" w:cs="Times New Roman"/>
          <w:sz w:val="18"/>
          <w:szCs w:val="18"/>
          <w:lang w:eastAsia="en-US" w:bidi="ar-SA"/>
        </w:rPr>
        <w:t xml:space="preserve"> </w:t>
      </w:r>
      <w:r>
        <w:t xml:space="preserve"> </w:t>
      </w:r>
    </w:p>
  </w:footnote>
  <w:footnote w:id="63">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The report of the Business &amp; Sustainable Development Commission“, Januar 2017.</w:t>
      </w:r>
    </w:p>
  </w:footnote>
  <w:footnote w:id="64">
    <w:p w:rsidR="00152528" w:rsidRDefault="00124136">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Bericht vom</w:t>
      </w:r>
      <w:r>
        <w:rPr>
          <w:rFonts w:ascii="Times New Roman" w:hAnsi="Times New Roman"/>
          <w:sz w:val="18"/>
          <w:lang w:val="en-GB"/>
        </w:rPr>
        <w:t xml:space="preserve"> Januar 2017.</w:t>
      </w:r>
      <w:r>
        <w:rPr>
          <w:rFonts w:ascii="Times New Roman" w:hAnsi="Times New Roman"/>
          <w:lang w:val="en-GB"/>
        </w:rPr>
        <w:t xml:space="preserve"> </w:t>
      </w:r>
    </w:p>
  </w:footnote>
  <w:footnote w:id="65">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Steuerpolitik in der Europäischen Union: Studie 2018. Abrufbar unter:</w:t>
      </w:r>
    </w:p>
    <w:p w:rsidR="00152528" w:rsidRDefault="00124136">
      <w:pPr>
        <w:pStyle w:val="FootnoteText"/>
        <w:jc w:val="both"/>
        <w:rPr>
          <w:rFonts w:ascii="Times New Roman" w:hAnsi="Times New Roman" w:cs="Times New Roman"/>
          <w:sz w:val="18"/>
          <w:szCs w:val="18"/>
          <w:lang w:eastAsia="en-GB"/>
        </w:rPr>
      </w:pPr>
      <w:hyperlink r:id="rId22">
        <w:r>
          <w:rPr>
            <w:rStyle w:val="Hyperlink"/>
            <w:rFonts w:ascii="Times New Roman" w:hAnsi="Times New Roman"/>
            <w:sz w:val="18"/>
          </w:rPr>
          <w:t>https://ec.europa.eu/taxation_customs/business/company-tax/tax-good-governance/european-semester/tax-policies-european-union-survey_en</w:t>
        </w:r>
      </w:hyperlink>
      <w:r>
        <w:rPr>
          <w:rFonts w:ascii="Times New Roman" w:hAnsi="Times New Roman"/>
          <w:sz w:val="18"/>
        </w:rPr>
        <w:t xml:space="preserve"> . Im Dezember 2018 hat die Kommission eine Studie in Auftrag gegeben, die sich mit Megatrends (Klimawandel, Digitalisieru</w:t>
      </w:r>
      <w:r>
        <w:rPr>
          <w:rFonts w:ascii="Times New Roman" w:hAnsi="Times New Roman"/>
          <w:sz w:val="18"/>
        </w:rPr>
        <w:t>ng, Bevölkerungsalterung usw.) und ihren Auswirkungen auf die Volkswirtschaften der EU, insbesondere auf die Nachhaltigkeit der Steuersysteme in der EU befasst.</w:t>
      </w:r>
    </w:p>
  </w:footnote>
  <w:footnote w:id="66">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pt-PT"/>
        </w:rPr>
        <w:t xml:space="preserve"> COM (2019) 8 final.</w:t>
      </w:r>
    </w:p>
  </w:footnote>
  <w:footnote w:id="67">
    <w:p w:rsidR="00152528" w:rsidRDefault="00124136">
      <w:pPr>
        <w:pStyle w:val="FootnoteText"/>
        <w:jc w:val="both"/>
        <w:rPr>
          <w:rFonts w:ascii="Times New Roman" w:hAnsi="Times New Roman" w:cs="Times New Roman"/>
          <w:lang w:val="et-EE"/>
        </w:rPr>
      </w:pPr>
      <w:r>
        <w:rPr>
          <w:rStyle w:val="FootnoteReference"/>
          <w:rFonts w:ascii="Times New Roman" w:hAnsi="Times New Roman"/>
        </w:rPr>
        <w:footnoteRef/>
      </w:r>
      <w:r>
        <w:rPr>
          <w:rFonts w:ascii="Times New Roman" w:hAnsi="Times New Roman"/>
          <w:lang w:val="pt-PT"/>
        </w:rPr>
        <w:t xml:space="preserve"> </w:t>
      </w:r>
      <w:r>
        <w:rPr>
          <w:rFonts w:ascii="Times New Roman" w:hAnsi="Times New Roman"/>
          <w:sz w:val="18"/>
          <w:lang w:val="pt-PT"/>
        </w:rPr>
        <w:t>COM (2019) 8 final.</w:t>
      </w:r>
    </w:p>
  </w:footnote>
  <w:footnote w:id="68">
    <w:p w:rsidR="00152528" w:rsidRDefault="00124136">
      <w:pPr>
        <w:pStyle w:val="FootnoteText"/>
        <w:jc w:val="both"/>
        <w:rPr>
          <w:rFonts w:ascii="Times New Roman" w:hAnsi="Times New Roman" w:cs="Times New Roman"/>
          <w:sz w:val="18"/>
          <w:szCs w:val="18"/>
          <w:lang w:val="pt-PT"/>
        </w:rPr>
      </w:pPr>
      <w:r>
        <w:rPr>
          <w:rStyle w:val="FootnoteReference"/>
          <w:rFonts w:ascii="Times New Roman" w:hAnsi="Times New Roman"/>
          <w:sz w:val="18"/>
        </w:rPr>
        <w:footnoteRef/>
      </w:r>
      <w:r>
        <w:rPr>
          <w:rFonts w:ascii="Times New Roman" w:hAnsi="Times New Roman"/>
          <w:sz w:val="18"/>
          <w:lang w:val="pt-PT"/>
        </w:rPr>
        <w:t xml:space="preserve"> COM (2019) 8 final.</w:t>
      </w:r>
    </w:p>
  </w:footnote>
  <w:footnote w:id="69">
    <w:p w:rsidR="00152528" w:rsidRDefault="00124136">
      <w:pPr>
        <w:pStyle w:val="FootnoteText"/>
        <w:rPr>
          <w:rFonts w:ascii="Times New Roman" w:hAnsi="Times New Roman" w:cs="Times New Roman"/>
          <w:sz w:val="18"/>
          <w:szCs w:val="18"/>
          <w:lang w:val="pt-PT"/>
        </w:rPr>
      </w:pPr>
      <w:r>
        <w:rPr>
          <w:rStyle w:val="FootnoteReference"/>
        </w:rPr>
        <w:footnoteRef/>
      </w:r>
      <w:r>
        <w:rPr>
          <w:lang w:val="pt-PT"/>
        </w:rPr>
        <w:t xml:space="preserve"> </w:t>
      </w:r>
      <w:r>
        <w:rPr>
          <w:rFonts w:ascii="Times New Roman" w:hAnsi="Times New Roman"/>
          <w:sz w:val="18"/>
          <w:lang w:val="pt-PT"/>
        </w:rPr>
        <w:t>Dierx, Adriaan, Ilzkovitz, Pataracchia, Ratto, Tum-Thysen und Varga (2017): „Does EU competition policy support inclusive growth?“, Zeitschrift  Competition Law &amp; Economics, Band 13, Nr. 2.; OECD: Informationsblatt über die Auswirkungen der Wettbewerbspoli</w:t>
      </w:r>
      <w:r>
        <w:rPr>
          <w:rFonts w:ascii="Times New Roman" w:hAnsi="Times New Roman"/>
          <w:sz w:val="18"/>
          <w:lang w:val="pt-PT"/>
        </w:rPr>
        <w:t xml:space="preserve">tik auf die makroökonomischen Ergebnisse (Oktober 2014); Fabienne Ilzkovitz und Adriaan Dierx, „Ex-post Economic evaluation of competition policy compliance: A review of the literature“, GD Wettbewerb, Juni 2015. </w:t>
      </w:r>
    </w:p>
  </w:footnote>
  <w:footnote w:id="70">
    <w:p w:rsidR="00152528" w:rsidRDefault="00124136">
      <w:pPr>
        <w:pStyle w:val="FootnoteText"/>
        <w:jc w:val="both"/>
        <w:rPr>
          <w:rFonts w:ascii="Times New Roman" w:hAnsi="Times New Roman" w:cs="Times New Roman"/>
          <w:sz w:val="18"/>
          <w:szCs w:val="18"/>
        </w:rPr>
      </w:pPr>
      <w:r>
        <w:rPr>
          <w:rFonts w:ascii="Times New Roman" w:hAnsi="Times New Roman"/>
          <w:sz w:val="18"/>
        </w:rPr>
        <w:footnoteRef/>
      </w:r>
      <w:r>
        <w:rPr>
          <w:rFonts w:ascii="Times New Roman" w:hAnsi="Times New Roman"/>
          <w:sz w:val="18"/>
        </w:rPr>
        <w:t xml:space="preserve"> </w:t>
      </w:r>
      <w:hyperlink r:id="rId23">
        <w:hyperlink r:id="rId24" w:history="1">
          <w:r>
            <w:rPr>
              <w:rStyle w:val="Hyperlink"/>
              <w:rFonts w:ascii="Times New Roman" w:hAnsi="Times New Roman" w:cs="Times New Roman"/>
              <w:sz w:val="18"/>
              <w:szCs w:val="18"/>
            </w:rPr>
            <w:t xml:space="preserve">http://ec.europa.eu/competition/state_aid/scoreboard/index_en.html </w:t>
          </w:r>
        </w:hyperlink>
        <w:r>
          <w:rPr>
            <w:rFonts w:ascii="Times New Roman" w:hAnsi="Times New Roman"/>
            <w:sz w:val="18"/>
          </w:rPr>
          <w:t>l</w:t>
        </w:r>
      </w:hyperlink>
    </w:p>
    <w:p w:rsidR="00152528" w:rsidRDefault="00152528">
      <w:pPr>
        <w:pStyle w:val="FootnoteText"/>
        <w:rPr>
          <w:rFonts w:ascii="Times New Roman" w:hAnsi="Times New Roman" w:cs="Times New Roman"/>
          <w:sz w:val="18"/>
          <w:szCs w:val="18"/>
        </w:rPr>
      </w:pPr>
    </w:p>
  </w:footnote>
  <w:footnote w:id="71">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Richtlinie 98/2017/EU des Europäischen Parlaments und des Rates vom 17. Mai 2017 zur Änderung der  </w:t>
      </w:r>
    </w:p>
    <w:p w:rsidR="00152528" w:rsidRDefault="00124136">
      <w:pPr>
        <w:pStyle w:val="FootnoteText"/>
        <w:jc w:val="both"/>
        <w:rPr>
          <w:rFonts w:ascii="Times New Roman" w:hAnsi="Times New Roman" w:cs="Times New Roman"/>
          <w:sz w:val="18"/>
          <w:szCs w:val="18"/>
        </w:rPr>
      </w:pPr>
      <w:r>
        <w:rPr>
          <w:rFonts w:ascii="Times New Roman" w:hAnsi="Times New Roman"/>
          <w:sz w:val="18"/>
        </w:rPr>
        <w:t xml:space="preserve">    Richtlinie 2007/36/EG im Hinblick auf die Förderung der langfristigen Mitwirkung der Aktionäre (Text von Bedeutung für den EWR)</w:t>
      </w:r>
    </w:p>
  </w:footnote>
  <w:footnote w:id="72">
    <w:p w:rsidR="00152528" w:rsidRDefault="00124136">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Richtlinie 2014/95/EU</w:t>
      </w:r>
      <w:r>
        <w:rPr>
          <w:rFonts w:ascii="Times New Roman" w:hAnsi="Times New Roman" w:cs="Times New Roman"/>
          <w:sz w:val="18"/>
          <w:szCs w:val="18"/>
        </w:rPr>
        <w:t xml:space="preserve"> des Europäischen Parlaments und des Rates vom 22. Oktober 2014 zur Änderung der Richtlinie 2013/34/EU im Hinblick auf die Angabe nichtfinanzieller und die Diversität betreffender Informationen durch bestimmte große Unternehmen und Gruppen (Text von Bedeut</w:t>
      </w:r>
      <w:r>
        <w:rPr>
          <w:rFonts w:ascii="Times New Roman" w:hAnsi="Times New Roman" w:cs="Times New Roman"/>
          <w:sz w:val="18"/>
          <w:szCs w:val="18"/>
        </w:rPr>
        <w:t>ung für den EWR).</w:t>
      </w:r>
    </w:p>
  </w:footnote>
  <w:footnote w:id="73">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Verordnung (EU) 2017/821 über Mineralien aus Konfliktgebieten</w:t>
      </w:r>
      <w:r>
        <w:rPr>
          <w:rFonts w:ascii="Times New Roman" w:hAnsi="Times New Roman"/>
          <w:sz w:val="18"/>
        </w:rPr>
        <w:t>.</w:t>
      </w:r>
    </w:p>
  </w:footnote>
  <w:footnote w:id="74">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w:t>
      </w:r>
      <w:hyperlink r:id="rId25" w:anchor="investment">
        <w:r>
          <w:rPr>
            <w:rStyle w:val="Hyperlink"/>
            <w:rFonts w:ascii="Times New Roman" w:hAnsi="Times New Roman"/>
            <w:sz w:val="18"/>
          </w:rPr>
          <w:t>https://ec.europa.eu/info/publications/180524-proposal-sus</w:t>
        </w:r>
        <w:r>
          <w:rPr>
            <w:rStyle w:val="Hyperlink"/>
            <w:rFonts w:ascii="Times New Roman" w:hAnsi="Times New Roman"/>
            <w:sz w:val="18"/>
          </w:rPr>
          <w:t>tainable-finance_en#investment</w:t>
        </w:r>
      </w:hyperlink>
      <w:r>
        <w:rPr>
          <w:rFonts w:ascii="Times New Roman" w:hAnsi="Times New Roman"/>
          <w:sz w:val="18"/>
        </w:rPr>
        <w:t>.  Ein umfassenderer Überblick über der jüngsten Fortschritte der EU in den Bereichen CSR/RBC (soziale Verantwortung der Unternehmen und verantwortungsvolles unternehmerisches Handeln) und Wirtschaft und Menschenrechte wird An</w:t>
      </w:r>
      <w:r>
        <w:rPr>
          <w:rFonts w:ascii="Times New Roman" w:hAnsi="Times New Roman"/>
          <w:sz w:val="18"/>
        </w:rPr>
        <w:t>fang 2019 im Rahmen der EU-Industrietage vorgelegt.</w:t>
      </w:r>
    </w:p>
  </w:footnote>
  <w:footnote w:id="75">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Kamerun, Côte d’Ivoire, Ghana, und die SADC-WPA-Staaten Botsuana, Lesotho, Mosambik, Namibia, Südafrika und Swasiland.</w:t>
      </w:r>
    </w:p>
  </w:footnote>
  <w:footnote w:id="76">
    <w:p w:rsidR="00152528" w:rsidRDefault="00124136">
      <w:pPr>
        <w:pStyle w:val="FootnoteText"/>
      </w:pPr>
      <w:r>
        <w:rPr>
          <w:rStyle w:val="FootnoteReference"/>
        </w:rPr>
        <w:footnoteRef/>
      </w:r>
      <w:r>
        <w:t xml:space="preserve"> </w:t>
      </w:r>
      <w:r>
        <w:rPr>
          <w:rFonts w:ascii="Times New Roman" w:hAnsi="Times New Roman" w:cs="Times New Roman"/>
          <w:sz w:val="18"/>
          <w:szCs w:val="18"/>
        </w:rPr>
        <w:t>Non-Paper der Kommissionsdienststellen. Abrufbar unter</w:t>
      </w:r>
      <w:r>
        <w:t xml:space="preserve">: </w:t>
      </w:r>
      <w:hyperlink r:id="rId26" w:history="1">
        <w:r>
          <w:rPr>
            <w:rStyle w:val="Hyperlink"/>
            <w:lang w:val="et-EE"/>
          </w:rPr>
          <w:t>http://trade.ec.europa.eu/doclib/docs/2018/february/tradoc_156618.pdf</w:t>
        </w:r>
      </w:hyperlink>
      <w:r>
        <w:rPr>
          <w:lang w:val="et-EE"/>
        </w:rPr>
        <w:t>.</w:t>
      </w:r>
      <w:r>
        <w:t xml:space="preserve">  </w:t>
      </w:r>
    </w:p>
  </w:footnote>
  <w:footnote w:id="77">
    <w:p w:rsidR="00152528" w:rsidRDefault="00124136">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Diesbezügliche Fortschritte werden in dem Bericht 2019 der EU über die Politikkohärenz im Interesse der Entwicklung darg</w:t>
      </w:r>
      <w:r>
        <w:rPr>
          <w:rFonts w:ascii="Times New Roman" w:hAnsi="Times New Roman" w:cs="Times New Roman"/>
          <w:sz w:val="18"/>
          <w:szCs w:val="18"/>
        </w:rPr>
        <w:t>elegt, der zusammen mit diesem Reflexionspapier veröffentlicht wurde: Arbeitsunterlage der Kommissionsdienststellen SWD(2019) 20.</w:t>
      </w:r>
    </w:p>
  </w:footnote>
  <w:footnote w:id="78">
    <w:p w:rsidR="00152528" w:rsidRDefault="00124136">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rPr>
        <w:footnoteRef/>
      </w:r>
      <w:r>
        <w:rPr>
          <w:rStyle w:val="Funotenzeichen"/>
          <w:rFonts w:ascii="Times New Roman" w:hAnsi="Times New Roman"/>
          <w:sz w:val="18"/>
        </w:rPr>
        <w:t xml:space="preserve"> </w:t>
      </w:r>
      <w:r>
        <w:rPr>
          <w:rFonts w:ascii="Times New Roman" w:hAnsi="Times New Roman" w:cs="Times New Roman"/>
          <w:sz w:val="18"/>
          <w:szCs w:val="18"/>
        </w:rPr>
        <w:t xml:space="preserve">COM(2018) 703 final. </w:t>
      </w:r>
      <w:r>
        <w:rPr>
          <w:rStyle w:val="Funotenzeichen"/>
          <w:rFonts w:ascii="Times New Roman" w:hAnsi="Times New Roman"/>
          <w:sz w:val="18"/>
        </w:rPr>
        <w:t xml:space="preserve">Abrufbar unter:. </w:t>
      </w:r>
      <w:r>
        <w:rPr>
          <w:rFonts w:ascii="Times New Roman" w:hAnsi="Times New Roman"/>
          <w:sz w:val="18"/>
          <w:lang w:val="et-EE"/>
        </w:rPr>
        <w:t xml:space="preserve">: </w:t>
      </w:r>
      <w:hyperlink r:id="rId27" w:history="1">
        <w:r>
          <w:rPr>
            <w:rStyle w:val="Hyperlink"/>
            <w:rFonts w:ascii="Times New Roman" w:hAnsi="Times New Roman"/>
            <w:sz w:val="18"/>
            <w:lang w:val="et-EE"/>
          </w:rPr>
          <w:t>https://ec.europa.eu/info/sites/info/files/communication-principles-subsidiarity-proportionality-strengthening-role-policymaking_de.pdf</w:t>
        </w:r>
      </w:hyperlink>
      <w:r>
        <w:rPr>
          <w:rFonts w:ascii="Times New Roman" w:hAnsi="Times New Roman"/>
          <w:sz w:val="18"/>
          <w:lang w:val="et-EE"/>
        </w:rPr>
        <w:t xml:space="preserve"> und </w:t>
      </w:r>
      <w:hyperlink r:id="rId28" w:history="1">
        <w:r>
          <w:rPr>
            <w:rStyle w:val="Hyperlink"/>
            <w:rFonts w:ascii="Times New Roman" w:hAnsi="Times New Roman"/>
            <w:sz w:val="18"/>
            <w:lang w:val="et-EE"/>
          </w:rPr>
          <w:t>https://ec.europa.eu/commission/priorities/democratic-change/better-regulation/task-</w:t>
        </w:r>
        <w:r>
          <w:rPr>
            <w:rStyle w:val="Hyperlink"/>
            <w:rFonts w:ascii="Times New Roman" w:hAnsi="Times New Roman"/>
            <w:sz w:val="18"/>
            <w:lang w:val="et-EE"/>
          </w:rPr>
          <w:t>force-subsidiarity-proportionality-and-doing-less-more-efficiently_de</w:t>
        </w:r>
      </w:hyperlink>
      <w:r>
        <w:rPr>
          <w:rStyle w:val="Funotenzeichen"/>
          <w:rFonts w:ascii="Times New Roman" w:hAnsi="Times New Roman"/>
          <w:sz w:val="18"/>
        </w:rPr>
        <w:t xml:space="preserve"> </w:t>
      </w:r>
    </w:p>
  </w:footnote>
  <w:footnote w:id="79">
    <w:p w:rsidR="00152528" w:rsidRDefault="00124136">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rPr>
        <w:footnoteRef/>
      </w:r>
      <w:r>
        <w:rPr>
          <w:rFonts w:ascii="Times New Roman" w:hAnsi="Times New Roman"/>
          <w:sz w:val="18"/>
        </w:rPr>
        <w:t xml:space="preserve"> Abrufbar unter: </w:t>
      </w:r>
      <w:hyperlink r:id="rId29">
        <w:r>
          <w:rPr>
            <w:rStyle w:val="Hyperlink"/>
            <w:rFonts w:ascii="Times New Roman" w:hAnsi="Times New Roman"/>
            <w:sz w:val="18"/>
          </w:rPr>
          <w:t>https://e</w:t>
        </w:r>
        <w:r>
          <w:rPr>
            <w:rStyle w:val="Hyperlink"/>
            <w:rFonts w:ascii="Times New Roman" w:hAnsi="Times New Roman"/>
            <w:sz w:val="18"/>
          </w:rPr>
          <w:t>c.europa.eu/info/strategy/international-strategies/global-topics/sustainable-development-goals/multi-stakeholder-platform-sdgs_de</w:t>
        </w:r>
      </w:hyperlink>
      <w:r>
        <w:rPr>
          <w:rStyle w:val="Hyperlink"/>
          <w:rFonts w:ascii="Times New Roman" w:hAnsi="Times New Roman"/>
          <w:sz w:val="18"/>
        </w:rPr>
        <w:t>.</w:t>
      </w:r>
      <w:r>
        <w:rPr>
          <w:rFonts w:ascii="Times New Roman" w:hAnsi="Times New Roman"/>
          <w:sz w:val="18"/>
        </w:rPr>
        <w:t xml:space="preserve"> </w:t>
      </w:r>
    </w:p>
  </w:footnote>
  <w:footnote w:id="80">
    <w:p w:rsidR="00152528" w:rsidRDefault="00124136">
      <w:pPr>
        <w:pStyle w:val="FootnoteText"/>
      </w:pPr>
      <w:r>
        <w:rPr>
          <w:rStyle w:val="FootnoteReference"/>
        </w:rPr>
        <w:footnoteRef/>
      </w:r>
      <w:r>
        <w:t xml:space="preserve"> </w:t>
      </w:r>
      <w:r>
        <w:rPr>
          <w:rFonts w:ascii="Times New Roman" w:hAnsi="Times New Roman"/>
          <w:sz w:val="18"/>
        </w:rPr>
        <w:t>Mit einem Mitteleinsatz von über 37 Mrd. EUR seit ihrer Gründung im September 2017 ist die Allianz auf gutem Wege, das für</w:t>
      </w:r>
      <w:r>
        <w:rPr>
          <w:rFonts w:ascii="Times New Roman" w:hAnsi="Times New Roman"/>
          <w:sz w:val="18"/>
        </w:rPr>
        <w:t xml:space="preserve"> 2020 angestrebte Ziel der Mobilisierung von 44 Mrd. EUR an Investitionen für eine nachhaltige Entwicklung bis 2020 zu erreichen.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56828FF"/>
    <w:multiLevelType w:val="hybridMultilevel"/>
    <w:tmpl w:val="6874C3E6"/>
    <w:lvl w:ilvl="0" w:tplc="1C44C978">
      <w:start w:val="1"/>
      <w:numFmt w:val="decimal"/>
      <w:lvlText w:val="4.%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495604"/>
    <w:multiLevelType w:val="multilevel"/>
    <w:tmpl w:val="D9A2BAF6"/>
    <w:name w:val="Points"/>
    <w:lvl w:ilvl="0">
      <w:start w:val="1"/>
      <w:numFmt w:val="decimal"/>
      <w:pStyle w:val="Point123"/>
      <w:lvlText w:val="%1."/>
      <w:lvlJc w:val="left"/>
      <w:pPr>
        <w:tabs>
          <w:tab w:val="num" w:pos="567"/>
        </w:tabs>
        <w:ind w:left="567" w:hanging="567"/>
      </w:pPr>
      <w:rPr>
        <w:i w:val="0"/>
        <w:iCs w:val="0"/>
      </w:r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3"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7073D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B3C78B8"/>
    <w:multiLevelType w:val="multilevel"/>
    <w:tmpl w:val="69822B1A"/>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bullet"/>
      <w:pStyle w:val="Point2number"/>
      <w:lvlText w:val=""/>
      <w:lvlJc w:val="left"/>
      <w:pPr>
        <w:tabs>
          <w:tab w:val="num" w:pos="2127"/>
        </w:tabs>
        <w:ind w:left="2127" w:hanging="567"/>
      </w:pPr>
      <w:rPr>
        <w:rFonts w:ascii="Symbol" w:hAnsi="Symbol" w:hint="default"/>
      </w:r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15:restartNumberingAfterBreak="0">
    <w:nsid w:val="25711C91"/>
    <w:multiLevelType w:val="hybridMultilevel"/>
    <w:tmpl w:val="7F2E7A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636BD"/>
    <w:multiLevelType w:val="hybridMultilevel"/>
    <w:tmpl w:val="79704C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2D2B08B5"/>
    <w:multiLevelType w:val="hybridMultilevel"/>
    <w:tmpl w:val="C194DC5C"/>
    <w:lvl w:ilvl="0" w:tplc="DB3E55B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922FE"/>
    <w:multiLevelType w:val="hybridMultilevel"/>
    <w:tmpl w:val="5BA2DBF6"/>
    <w:lvl w:ilvl="0" w:tplc="706669E2">
      <w:start w:val="1"/>
      <w:numFmt w:val="bullet"/>
      <w:lvlText w:val="+"/>
      <w:lvlJc w:val="left"/>
      <w:pPr>
        <w:ind w:left="502" w:hanging="360"/>
      </w:pPr>
      <w:rPr>
        <w:rFonts w:ascii="Symbol" w:hAnsi="Symbol" w:hint="default"/>
      </w:rPr>
    </w:lvl>
    <w:lvl w:ilvl="1" w:tplc="E6BE864C">
      <w:numFmt w:val="bullet"/>
      <w:lvlText w:val="-"/>
      <w:lvlJc w:val="left"/>
      <w:pPr>
        <w:ind w:left="862" w:hanging="360"/>
      </w:pPr>
      <w:rPr>
        <w:rFonts w:ascii="Times New Roman" w:eastAsiaTheme="minorHAnsi" w:hAnsi="Times New Roman" w:cs="Times New Roman"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10" w15:restartNumberingAfterBreak="0">
    <w:nsid w:val="32A75C7D"/>
    <w:multiLevelType w:val="multilevel"/>
    <w:tmpl w:val="040C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1E459F"/>
    <w:multiLevelType w:val="hybridMultilevel"/>
    <w:tmpl w:val="63784F18"/>
    <w:lvl w:ilvl="0" w:tplc="F7B21E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296594"/>
    <w:multiLevelType w:val="hybridMultilevel"/>
    <w:tmpl w:val="9CACF41C"/>
    <w:lvl w:ilvl="0" w:tplc="0809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46629E"/>
    <w:multiLevelType w:val="hybridMultilevel"/>
    <w:tmpl w:val="ADE233A4"/>
    <w:lvl w:ilvl="0" w:tplc="F7B21E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C31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081862"/>
    <w:multiLevelType w:val="hybridMultilevel"/>
    <w:tmpl w:val="54DABC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67142D"/>
    <w:multiLevelType w:val="hybridMultilevel"/>
    <w:tmpl w:val="9088136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BD22F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25B67FE"/>
    <w:multiLevelType w:val="hybridMultilevel"/>
    <w:tmpl w:val="5CEC2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9428BC"/>
    <w:multiLevelType w:val="hybridMultilevel"/>
    <w:tmpl w:val="F8427E1C"/>
    <w:lvl w:ilvl="0" w:tplc="08090001">
      <w:start w:val="1"/>
      <w:numFmt w:val="bullet"/>
      <w:lvlText w:val=""/>
      <w:lvlJc w:val="left"/>
      <w:pPr>
        <w:ind w:left="-1701" w:hanging="360"/>
      </w:pPr>
      <w:rPr>
        <w:rFonts w:ascii="Symbol" w:hAnsi="Symbol" w:hint="default"/>
      </w:rPr>
    </w:lvl>
    <w:lvl w:ilvl="1" w:tplc="08090003">
      <w:start w:val="1"/>
      <w:numFmt w:val="bullet"/>
      <w:lvlText w:val="o"/>
      <w:lvlJc w:val="left"/>
      <w:pPr>
        <w:ind w:left="-981" w:hanging="360"/>
      </w:pPr>
      <w:rPr>
        <w:rFonts w:ascii="Courier New" w:hAnsi="Courier New" w:cs="Courier New" w:hint="default"/>
      </w:rPr>
    </w:lvl>
    <w:lvl w:ilvl="2" w:tplc="08090005">
      <w:start w:val="1"/>
      <w:numFmt w:val="bullet"/>
      <w:lvlText w:val=""/>
      <w:lvlJc w:val="left"/>
      <w:pPr>
        <w:ind w:left="-261" w:hanging="360"/>
      </w:pPr>
      <w:rPr>
        <w:rFonts w:ascii="Wingdings" w:hAnsi="Wingdings" w:hint="default"/>
      </w:rPr>
    </w:lvl>
    <w:lvl w:ilvl="3" w:tplc="08090001">
      <w:start w:val="1"/>
      <w:numFmt w:val="bullet"/>
      <w:lvlText w:val=""/>
      <w:lvlJc w:val="left"/>
      <w:pPr>
        <w:ind w:left="459" w:hanging="360"/>
      </w:pPr>
      <w:rPr>
        <w:rFonts w:ascii="Symbol" w:hAnsi="Symbol" w:hint="default"/>
      </w:rPr>
    </w:lvl>
    <w:lvl w:ilvl="4" w:tplc="08090003">
      <w:start w:val="1"/>
      <w:numFmt w:val="bullet"/>
      <w:lvlText w:val="o"/>
      <w:lvlJc w:val="left"/>
      <w:pPr>
        <w:ind w:left="1179" w:hanging="360"/>
      </w:pPr>
      <w:rPr>
        <w:rFonts w:ascii="Courier New" w:hAnsi="Courier New" w:cs="Courier New" w:hint="default"/>
      </w:rPr>
    </w:lvl>
    <w:lvl w:ilvl="5" w:tplc="08090005">
      <w:start w:val="1"/>
      <w:numFmt w:val="bullet"/>
      <w:lvlText w:val=""/>
      <w:lvlJc w:val="left"/>
      <w:pPr>
        <w:ind w:left="1899" w:hanging="360"/>
      </w:pPr>
      <w:rPr>
        <w:rFonts w:ascii="Wingdings" w:hAnsi="Wingdings" w:hint="default"/>
      </w:rPr>
    </w:lvl>
    <w:lvl w:ilvl="6" w:tplc="08090001">
      <w:start w:val="1"/>
      <w:numFmt w:val="bullet"/>
      <w:lvlText w:val=""/>
      <w:lvlJc w:val="left"/>
      <w:pPr>
        <w:ind w:left="2619" w:hanging="360"/>
      </w:pPr>
      <w:rPr>
        <w:rFonts w:ascii="Symbol" w:hAnsi="Symbol" w:hint="default"/>
      </w:rPr>
    </w:lvl>
    <w:lvl w:ilvl="7" w:tplc="08090003">
      <w:start w:val="1"/>
      <w:numFmt w:val="bullet"/>
      <w:lvlText w:val="o"/>
      <w:lvlJc w:val="left"/>
      <w:pPr>
        <w:ind w:left="3339" w:hanging="360"/>
      </w:pPr>
      <w:rPr>
        <w:rFonts w:ascii="Courier New" w:hAnsi="Courier New" w:cs="Courier New" w:hint="default"/>
      </w:rPr>
    </w:lvl>
    <w:lvl w:ilvl="8" w:tplc="08090005">
      <w:start w:val="1"/>
      <w:numFmt w:val="bullet"/>
      <w:lvlText w:val=""/>
      <w:lvlJc w:val="left"/>
      <w:pPr>
        <w:ind w:left="4059" w:hanging="360"/>
      </w:pPr>
      <w:rPr>
        <w:rFonts w:ascii="Wingdings" w:hAnsi="Wingdings" w:hint="default"/>
      </w:rPr>
    </w:lvl>
  </w:abstractNum>
  <w:num w:numId="1">
    <w:abstractNumId w:val="16"/>
  </w:num>
  <w:num w:numId="2">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13"/>
  </w:num>
  <w:num w:numId="6">
    <w:abstractNumId w:val="7"/>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5"/>
  </w:num>
  <w:num w:numId="11">
    <w:abstractNumId w:val="19"/>
  </w:num>
  <w:num w:numId="12">
    <w:abstractNumId w:val="12"/>
  </w:num>
  <w:num w:numId="13">
    <w:abstractNumId w:val="1"/>
  </w:num>
  <w:num w:numId="14">
    <w:abstractNumId w:val="4"/>
  </w:num>
  <w:num w:numId="15">
    <w:abstractNumId w:val="10"/>
  </w:num>
  <w:num w:numId="16">
    <w:abstractNumId w:val="4"/>
  </w:num>
  <w:num w:numId="17">
    <w:abstractNumId w:val="17"/>
  </w:num>
  <w:num w:numId="18">
    <w:abstractNumId w:val="1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8"/>
  </w:num>
  <w:num w:numId="34">
    <w:abstractNumId w:val="4"/>
  </w:num>
  <w:num w:numId="35">
    <w:abstractNumId w:val="4"/>
  </w:num>
  <w:num w:numId="36">
    <w:abstractNumId w:val="4"/>
  </w:num>
  <w:num w:numId="37">
    <w:abstractNumId w:val="4"/>
  </w:num>
  <w:num w:numId="38">
    <w:abstractNumId w:val="4"/>
  </w:num>
  <w:num w:numId="39">
    <w:abstractNumId w:val="8"/>
  </w:num>
  <w:num w:numId="4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removePersonalInformation/>
  <w:removeDateAndTime/>
  <w:hideSpellingErrors/>
  <w:hideGrammaticalError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67496D0-626D-484E-8113-74E15F907D85"/>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üssel, den "/>
    <w:docVar w:name="LW_EMISSION_SUFFIX" w:val=" "/>
    <w:docVar w:name="LW_ID_DOCTYPE_NONLW" w:val="CP-035"/>
    <w:docVar w:name="LW_LANGUE" w:val="DE"/>
    <w:docVar w:name="LW_LEVEL_OF_SENSITIVITY" w:val="Standard treatment"/>
    <w:docVar w:name="LW_NOM.INST" w:val="EUROPÄISCHE KOMMISSION"/>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Auf dem Weg zu einem nachhaltigen Europa bis 2030&lt;/FMT&gt;"/>
    <w:docVar w:name="LW_TYPE.DOC.CP" w:val="Reflexionspapier"/>
  </w:docVars>
  <w:rsids>
    <w:rsidRoot w:val="00152528"/>
    <w:rsid w:val="00124136"/>
    <w:rsid w:val="00152528"/>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u w:val="single"/>
    </w:r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Footnote TextCSR,ft,Footnote,Fußnote,o,5_G"/>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Footnote TextCSR Char,ft Char"/>
    <w:basedOn w:val="DefaultParagraphFont"/>
    <w:link w:val="FootnoteText"/>
    <w:uiPriority w:val="99"/>
    <w:rPr>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ftref"/>
    <w:basedOn w:val="DefaultParagraphFont"/>
    <w:uiPriority w:val="99"/>
    <w:unhideWhenUsed/>
    <w:qFormat/>
    <w:rPr>
      <w:vertAlign w:val="superscript"/>
    </w:rPr>
  </w:style>
  <w:style w:type="character" w:customStyle="1" w:styleId="reference-text">
    <w:name w:val="reference-text"/>
    <w:basedOn w:val="DefaultParagraphFont"/>
  </w:style>
  <w:style w:type="paragraph" w:customStyle="1" w:styleId="t-body-text">
    <w:name w:val="t-body-tex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ilfuvd">
    <w:name w:val="ilfuvd"/>
    <w:basedOn w:val="DefaultParagraphFont"/>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paragraph" w:customStyle="1" w:styleId="SUPERSChar">
    <w:name w:val="SUPERS Char"/>
    <w:basedOn w:val="Normal"/>
    <w:uiPriority w:val="99"/>
    <w:pPr>
      <w:spacing w:after="0" w:line="240" w:lineRule="auto"/>
      <w:jc w:val="both"/>
    </w:pPr>
    <w:rPr>
      <w:vertAlign w:val="superscript"/>
    </w:rPr>
  </w:style>
  <w:style w:type="character" w:customStyle="1" w:styleId="None">
    <w:name w:val="None"/>
  </w:style>
  <w:style w:type="paragraph" w:customStyle="1" w:styleId="Default">
    <w:name w:val="Default"/>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TOCHeading">
    <w:name w:val="TOC Heading"/>
    <w:basedOn w:val="Heading1"/>
    <w:next w:val="Normal"/>
    <w:uiPriority w:val="39"/>
    <w:unhideWhenUsed/>
    <w:qFormat/>
    <w:pPr>
      <w:numPr>
        <w:numId w:val="0"/>
      </w:numPr>
      <w:outlineLvl w:val="9"/>
    </w:pPr>
  </w:style>
  <w:style w:type="paragraph" w:styleId="TOC1">
    <w:name w:val="toc 1"/>
    <w:basedOn w:val="Normal"/>
    <w:next w:val="Normal"/>
    <w:autoRedefine/>
    <w:uiPriority w:val="39"/>
    <w:unhideWhenUsed/>
    <w:pPr>
      <w:tabs>
        <w:tab w:val="left" w:pos="440"/>
        <w:tab w:val="right" w:leader="dot" w:pos="9016"/>
      </w:tabs>
      <w:spacing w:before="120" w:after="100"/>
      <w:jc w:val="both"/>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customStyle="1" w:styleId="A2">
    <w:name w:val="A2"/>
    <w:uiPriority w:val="99"/>
    <w:rPr>
      <w:rFonts w:cs="EC Square Sans Pro"/>
      <w:color w:val="000000"/>
      <w:sz w:val="20"/>
      <w:szCs w:val="20"/>
    </w:rPr>
  </w:style>
  <w:style w:type="paragraph" w:customStyle="1" w:styleId="Pa1">
    <w:name w:val="Pa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1">
    <w:name w:val="A1"/>
    <w:uiPriority w:val="99"/>
    <w:rPr>
      <w:rFonts w:cs="EC Square Sans Pro"/>
      <w:color w:val="000000"/>
      <w:sz w:val="20"/>
      <w:szCs w:val="20"/>
    </w:rPr>
  </w:style>
  <w:style w:type="paragraph" w:customStyle="1" w:styleId="Pa11">
    <w:name w:val="Pa1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0">
    <w:name w:val="A0"/>
    <w:uiPriority w:val="99"/>
    <w:rPr>
      <w:rFonts w:cs="EC Square Sans Pro"/>
      <w:color w:val="000000"/>
      <w:sz w:val="26"/>
      <w:szCs w:val="26"/>
    </w:rPr>
  </w:style>
  <w:style w:type="paragraph" w:styleId="TOC2">
    <w:name w:val="toc 2"/>
    <w:basedOn w:val="Normal"/>
    <w:next w:val="Normal"/>
    <w:autoRedefine/>
    <w:uiPriority w:val="39"/>
    <w:unhideWhenUsed/>
    <w:pPr>
      <w:tabs>
        <w:tab w:val="left" w:pos="1100"/>
        <w:tab w:val="right" w:leader="dot" w:pos="9016"/>
      </w:tabs>
      <w:spacing w:before="120" w:after="120" w:line="240" w:lineRule="auto"/>
      <w:ind w:left="442"/>
    </w:p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de-DE"/>
    </w:rPr>
  </w:style>
  <w:style w:type="paragraph" w:customStyle="1" w:styleId="Footnotesrefs">
    <w:name w:val="Footnotes refs"/>
    <w:basedOn w:val="Normal"/>
    <w:uiPriority w:val="99"/>
    <w:pPr>
      <w:spacing w:after="0" w:line="240" w:lineRule="exact"/>
    </w:pPr>
    <w:rPr>
      <w:vertAlign w:val="superscript"/>
    </w:rPr>
  </w:style>
  <w:style w:type="paragraph" w:styleId="TOC3">
    <w:name w:val="toc 3"/>
    <w:basedOn w:val="Normal"/>
    <w:next w:val="Normal"/>
    <w:autoRedefine/>
    <w:uiPriority w:val="39"/>
    <w:unhideWhenUsed/>
    <w:pPr>
      <w:spacing w:after="100"/>
      <w:ind w:left="440"/>
    </w:pPr>
  </w:style>
  <w:style w:type="character" w:customStyle="1" w:styleId="footnotereference0">
    <w:name w:val="footnotereference"/>
    <w:basedOn w:val="DefaultParagraphFont"/>
  </w:style>
  <w:style w:type="paragraph" w:customStyle="1" w:styleId="Body">
    <w:name w:val="Body"/>
    <w:pPr>
      <w:widowControl w:val="0"/>
      <w:pBdr>
        <w:top w:val="nil"/>
        <w:left w:val="nil"/>
        <w:bottom w:val="nil"/>
        <w:right w:val="nil"/>
        <w:between w:val="nil"/>
        <w:bar w:val="nil"/>
      </w:pBdr>
      <w:spacing w:after="120" w:line="240" w:lineRule="auto"/>
      <w:jc w:val="both"/>
    </w:pPr>
    <w:rPr>
      <w:rFonts w:ascii="Calibri" w:eastAsia="Calibri" w:hAnsi="Calibri" w:cs="Calibri"/>
      <w:color w:val="000000"/>
      <w:kern w:val="2"/>
      <w:sz w:val="24"/>
      <w:szCs w:val="24"/>
      <w:u w:color="000000"/>
      <w:bdr w:val="nil"/>
    </w:rPr>
  </w:style>
  <w:style w:type="paragraph" w:customStyle="1" w:styleId="Point0number">
    <w:name w:val="Point 0 (number)"/>
    <w:basedOn w:val="Normal"/>
    <w:pPr>
      <w:numPr>
        <w:numId w:val="2"/>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2"/>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2"/>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2"/>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2"/>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2"/>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2"/>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2"/>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2"/>
      </w:numPr>
      <w:spacing w:before="120" w:after="120" w:line="240" w:lineRule="auto"/>
      <w:jc w:val="both"/>
    </w:pPr>
    <w:rPr>
      <w:rFonts w:ascii="Times New Roman" w:hAnsi="Times New Roman" w:cs="Times New Roman"/>
      <w:sz w:val="24"/>
    </w:rPr>
  </w:style>
  <w:style w:type="character" w:customStyle="1" w:styleId="highlight">
    <w:name w:val="highlight"/>
    <w:basedOn w:val="DefaultParagraphFont"/>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A6">
    <w:name w:val="A6"/>
    <w:uiPriority w:val="99"/>
    <w:rPr>
      <w:rFonts w:cs="Garamond"/>
      <w:color w:val="000000"/>
      <w:sz w:val="22"/>
      <w:szCs w:val="22"/>
    </w:rPr>
  </w:style>
  <w:style w:type="paragraph" w:customStyle="1" w:styleId="Pointabc">
    <w:name w:val="Point abc"/>
    <w:basedOn w:val="Normal"/>
    <w:pPr>
      <w:numPr>
        <w:ilvl w:val="1"/>
        <w:numId w:val="8"/>
      </w:numPr>
      <w:spacing w:before="120" w:after="120" w:line="360" w:lineRule="auto"/>
    </w:pPr>
    <w:rPr>
      <w:rFonts w:ascii="Times New Roman" w:hAnsi="Times New Roman" w:cs="Times New Roman"/>
      <w:sz w:val="24"/>
      <w:szCs w:val="24"/>
    </w:rPr>
  </w:style>
  <w:style w:type="paragraph" w:customStyle="1" w:styleId="Pointabc1">
    <w:name w:val="Point abc (1)"/>
    <w:basedOn w:val="Normal"/>
    <w:pPr>
      <w:numPr>
        <w:ilvl w:val="3"/>
        <w:numId w:val="8"/>
      </w:numPr>
      <w:spacing w:before="120" w:after="120" w:line="360" w:lineRule="auto"/>
    </w:pPr>
    <w:rPr>
      <w:rFonts w:ascii="Times New Roman" w:hAnsi="Times New Roman" w:cs="Times New Roman"/>
      <w:sz w:val="24"/>
      <w:szCs w:val="24"/>
    </w:rPr>
  </w:style>
  <w:style w:type="paragraph" w:customStyle="1" w:styleId="Pointabc2">
    <w:name w:val="Point abc (2)"/>
    <w:basedOn w:val="Normal"/>
    <w:pPr>
      <w:numPr>
        <w:ilvl w:val="5"/>
        <w:numId w:val="8"/>
      </w:numPr>
      <w:spacing w:before="120" w:after="120" w:line="360" w:lineRule="auto"/>
    </w:pPr>
    <w:rPr>
      <w:rFonts w:ascii="Times New Roman" w:hAnsi="Times New Roman" w:cs="Times New Roman"/>
      <w:sz w:val="24"/>
      <w:szCs w:val="24"/>
    </w:rPr>
  </w:style>
  <w:style w:type="paragraph" w:customStyle="1" w:styleId="Pointabc3">
    <w:name w:val="Point abc (3)"/>
    <w:basedOn w:val="Normal"/>
    <w:pPr>
      <w:numPr>
        <w:ilvl w:val="7"/>
        <w:numId w:val="8"/>
      </w:numPr>
      <w:spacing w:before="120" w:after="120" w:line="360" w:lineRule="auto"/>
    </w:pPr>
    <w:rPr>
      <w:rFonts w:ascii="Times New Roman" w:hAnsi="Times New Roman" w:cs="Times New Roman"/>
      <w:sz w:val="24"/>
      <w:szCs w:val="24"/>
    </w:rPr>
  </w:style>
  <w:style w:type="paragraph" w:customStyle="1" w:styleId="Pointabc4">
    <w:name w:val="Point abc (4)"/>
    <w:basedOn w:val="Normal"/>
    <w:pPr>
      <w:numPr>
        <w:ilvl w:val="8"/>
        <w:numId w:val="8"/>
      </w:numPr>
      <w:spacing w:before="120" w:after="120" w:line="360" w:lineRule="auto"/>
    </w:pPr>
    <w:rPr>
      <w:rFonts w:ascii="Times New Roman" w:hAnsi="Times New Roman" w:cs="Times New Roman"/>
      <w:sz w:val="24"/>
      <w:szCs w:val="24"/>
    </w:rPr>
  </w:style>
  <w:style w:type="paragraph" w:customStyle="1" w:styleId="Point123">
    <w:name w:val="Point 123"/>
    <w:basedOn w:val="Normal"/>
    <w:pPr>
      <w:numPr>
        <w:numId w:val="8"/>
      </w:numPr>
      <w:spacing w:before="120" w:after="120" w:line="360" w:lineRule="auto"/>
    </w:pPr>
    <w:rPr>
      <w:rFonts w:ascii="Times New Roman" w:hAnsi="Times New Roman" w:cs="Times New Roman"/>
      <w:sz w:val="24"/>
      <w:szCs w:val="24"/>
    </w:rPr>
  </w:style>
  <w:style w:type="paragraph" w:customStyle="1" w:styleId="Point1231">
    <w:name w:val="Point 123 (1)"/>
    <w:basedOn w:val="Normal"/>
    <w:pPr>
      <w:numPr>
        <w:ilvl w:val="2"/>
        <w:numId w:val="8"/>
      </w:numPr>
      <w:spacing w:before="120" w:after="120" w:line="360" w:lineRule="auto"/>
    </w:pPr>
    <w:rPr>
      <w:rFonts w:ascii="Times New Roman" w:hAnsi="Times New Roman" w:cs="Times New Roman"/>
      <w:sz w:val="24"/>
      <w:szCs w:val="24"/>
    </w:rPr>
  </w:style>
  <w:style w:type="paragraph" w:customStyle="1" w:styleId="Point1232">
    <w:name w:val="Point 123 (2)"/>
    <w:basedOn w:val="Normal"/>
    <w:pPr>
      <w:numPr>
        <w:ilvl w:val="4"/>
        <w:numId w:val="8"/>
      </w:numPr>
      <w:spacing w:before="120" w:after="120" w:line="360" w:lineRule="auto"/>
    </w:pPr>
    <w:rPr>
      <w:rFonts w:ascii="Times New Roman" w:hAnsi="Times New Roman" w:cs="Times New Roman"/>
      <w:sz w:val="24"/>
      <w:szCs w:val="24"/>
    </w:rPr>
  </w:style>
  <w:style w:type="paragraph" w:customStyle="1" w:styleId="Point1233">
    <w:name w:val="Point 123 (3)"/>
    <w:basedOn w:val="Normal"/>
    <w:pPr>
      <w:numPr>
        <w:ilvl w:val="6"/>
        <w:numId w:val="8"/>
      </w:numPr>
      <w:spacing w:before="120" w:after="120" w:line="360" w:lineRule="auto"/>
    </w:pPr>
    <w:rPr>
      <w:rFonts w:ascii="Times New Roman" w:hAnsi="Times New Roman" w:cs="Times New Roman"/>
      <w:sz w:val="24"/>
      <w:szCs w:val="24"/>
    </w:rPr>
  </w:style>
  <w:style w:type="paragraph" w:customStyle="1" w:styleId="Briefinglist1">
    <w:name w:val="Briefing list 1"/>
    <w:basedOn w:val="Normal"/>
    <w:link w:val="Briefinglist1Char"/>
    <w:qFormat/>
    <w:locked/>
    <w:pPr>
      <w:keepLines/>
      <w:numPr>
        <w:numId w:val="9"/>
      </w:numPr>
      <w:spacing w:after="120" w:line="240" w:lineRule="auto"/>
      <w:jc w:val="both"/>
    </w:pPr>
    <w:rPr>
      <w:rFonts w:ascii="Arial" w:eastAsia="Times New Roman" w:hAnsi="Arial" w:cs="Arial"/>
      <w:szCs w:val="24"/>
    </w:rPr>
  </w:style>
  <w:style w:type="character" w:customStyle="1" w:styleId="Briefinglist1Char">
    <w:name w:val="Briefing list 1 Char"/>
    <w:link w:val="Briefinglist1"/>
    <w:locked/>
    <w:rPr>
      <w:rFonts w:ascii="Arial" w:eastAsia="Times New Roman" w:hAnsi="Arial" w:cs="Arial"/>
      <w:szCs w:val="24"/>
    </w:rPr>
  </w:style>
  <w:style w:type="character" w:customStyle="1" w:styleId="st1">
    <w:name w:val="st1"/>
    <w:basedOn w:val="DefaultParagraphFont"/>
  </w:style>
  <w:style w:type="paragraph" w:customStyle="1" w:styleId="p1">
    <w:name w:val="p1"/>
    <w:basedOn w:val="Normal"/>
    <w:pPr>
      <w:spacing w:after="0" w:line="240" w:lineRule="auto"/>
    </w:pPr>
    <w:rPr>
      <w:rFonts w:ascii="Times New Roman" w:hAnsi="Times New Roman" w:cs="Times New Roman"/>
      <w:sz w:val="17"/>
      <w:szCs w:val="17"/>
    </w:rPr>
  </w:style>
  <w:style w:type="character" w:customStyle="1" w:styleId="Funotenzeichen">
    <w:name w:val="Fußnotenzeichen"/>
  </w:style>
  <w:style w:type="character" w:styleId="SubtleEmphasis">
    <w:name w:val="Subtle Emphasis"/>
    <w:basedOn w:val="DefaultParagraphFont"/>
    <w:uiPriority w:val="19"/>
    <w:qFormat/>
    <w:rPr>
      <w:i/>
      <w:iCs/>
      <w:color w:val="404040" w:themeColor="text1" w:themeTint="BF"/>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customStyle="1" w:styleId="apple-converted-space">
    <w:name w:val="apple-converted-space"/>
    <w:basedOn w:val="DefaultParagraphFont"/>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numbering" w:customStyle="1" w:styleId="Style1">
    <w:name w:val="Style1"/>
    <w:uiPriority w:val="99"/>
    <w:pPr>
      <w:numPr>
        <w:numId w:val="15"/>
      </w:numPr>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character" w:customStyle="1" w:styleId="Bodytext2">
    <w:name w:val="Body text (2)"/>
    <w:basedOn w:val="DefaultParagraphFont"/>
    <w:rPr>
      <w:rFonts w:ascii="Times New Roman" w:eastAsia="Times New Roman" w:hAnsi="Times New Roman" w:cs="Times New Roman" w:hint="default"/>
      <w:b w:val="0"/>
      <w:bCs w:val="0"/>
      <w:i w:val="0"/>
      <w:iCs w:val="0"/>
      <w:smallCaps w:val="0"/>
      <w:strike w:val="0"/>
      <w:dstrike w:val="0"/>
      <w:color w:val="4B4C4D"/>
      <w:spacing w:val="0"/>
      <w:w w:val="100"/>
      <w:position w:val="0"/>
      <w:sz w:val="20"/>
      <w:szCs w:val="20"/>
      <w:u w:val="none"/>
      <w:effect w:val="none"/>
      <w:lang w:val="de-DE" w:eastAsia="de-DE" w:bidi="de-DE"/>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09856">
      <w:bodyDiv w:val="1"/>
      <w:marLeft w:val="0"/>
      <w:marRight w:val="0"/>
      <w:marTop w:val="0"/>
      <w:marBottom w:val="0"/>
      <w:divBdr>
        <w:top w:val="none" w:sz="0" w:space="0" w:color="auto"/>
        <w:left w:val="none" w:sz="0" w:space="0" w:color="auto"/>
        <w:bottom w:val="none" w:sz="0" w:space="0" w:color="auto"/>
        <w:right w:val="none" w:sz="0" w:space="0" w:color="auto"/>
      </w:divBdr>
      <w:divsChild>
        <w:div w:id="1517890503">
          <w:marLeft w:val="0"/>
          <w:marRight w:val="0"/>
          <w:marTop w:val="0"/>
          <w:marBottom w:val="0"/>
          <w:divBdr>
            <w:top w:val="none" w:sz="0" w:space="0" w:color="auto"/>
            <w:left w:val="none" w:sz="0" w:space="0" w:color="auto"/>
            <w:bottom w:val="none" w:sz="0" w:space="0" w:color="auto"/>
            <w:right w:val="none" w:sz="0" w:space="0" w:color="auto"/>
          </w:divBdr>
        </w:div>
        <w:div w:id="94986296">
          <w:marLeft w:val="0"/>
          <w:marRight w:val="0"/>
          <w:marTop w:val="0"/>
          <w:marBottom w:val="0"/>
          <w:divBdr>
            <w:top w:val="none" w:sz="0" w:space="0" w:color="auto"/>
            <w:left w:val="none" w:sz="0" w:space="0" w:color="auto"/>
            <w:bottom w:val="none" w:sz="0" w:space="0" w:color="auto"/>
            <w:right w:val="none" w:sz="0" w:space="0" w:color="auto"/>
          </w:divBdr>
        </w:div>
        <w:div w:id="1723554900">
          <w:marLeft w:val="0"/>
          <w:marRight w:val="0"/>
          <w:marTop w:val="0"/>
          <w:marBottom w:val="0"/>
          <w:divBdr>
            <w:top w:val="none" w:sz="0" w:space="0" w:color="auto"/>
            <w:left w:val="none" w:sz="0" w:space="0" w:color="auto"/>
            <w:bottom w:val="none" w:sz="0" w:space="0" w:color="auto"/>
            <w:right w:val="none" w:sz="0" w:space="0" w:color="auto"/>
          </w:divBdr>
        </w:div>
        <w:div w:id="353575927">
          <w:marLeft w:val="0"/>
          <w:marRight w:val="0"/>
          <w:marTop w:val="0"/>
          <w:marBottom w:val="0"/>
          <w:divBdr>
            <w:top w:val="none" w:sz="0" w:space="0" w:color="auto"/>
            <w:left w:val="none" w:sz="0" w:space="0" w:color="auto"/>
            <w:bottom w:val="none" w:sz="0" w:space="0" w:color="auto"/>
            <w:right w:val="none" w:sz="0" w:space="0" w:color="auto"/>
          </w:divBdr>
        </w:div>
        <w:div w:id="1198659721">
          <w:marLeft w:val="0"/>
          <w:marRight w:val="0"/>
          <w:marTop w:val="0"/>
          <w:marBottom w:val="0"/>
          <w:divBdr>
            <w:top w:val="none" w:sz="0" w:space="0" w:color="auto"/>
            <w:left w:val="none" w:sz="0" w:space="0" w:color="auto"/>
            <w:bottom w:val="none" w:sz="0" w:space="0" w:color="auto"/>
            <w:right w:val="none" w:sz="0" w:space="0" w:color="auto"/>
          </w:divBdr>
        </w:div>
        <w:div w:id="1416052767">
          <w:marLeft w:val="0"/>
          <w:marRight w:val="0"/>
          <w:marTop w:val="0"/>
          <w:marBottom w:val="0"/>
          <w:divBdr>
            <w:top w:val="none" w:sz="0" w:space="0" w:color="auto"/>
            <w:left w:val="none" w:sz="0" w:space="0" w:color="auto"/>
            <w:bottom w:val="none" w:sz="0" w:space="0" w:color="auto"/>
            <w:right w:val="none" w:sz="0" w:space="0" w:color="auto"/>
          </w:divBdr>
        </w:div>
      </w:divsChild>
    </w:div>
    <w:div w:id="70203729">
      <w:bodyDiv w:val="1"/>
      <w:marLeft w:val="0"/>
      <w:marRight w:val="0"/>
      <w:marTop w:val="0"/>
      <w:marBottom w:val="0"/>
      <w:divBdr>
        <w:top w:val="none" w:sz="0" w:space="0" w:color="auto"/>
        <w:left w:val="none" w:sz="0" w:space="0" w:color="auto"/>
        <w:bottom w:val="none" w:sz="0" w:space="0" w:color="auto"/>
        <w:right w:val="none" w:sz="0" w:space="0" w:color="auto"/>
      </w:divBdr>
    </w:div>
    <w:div w:id="79569246">
      <w:bodyDiv w:val="1"/>
      <w:marLeft w:val="0"/>
      <w:marRight w:val="0"/>
      <w:marTop w:val="0"/>
      <w:marBottom w:val="0"/>
      <w:divBdr>
        <w:top w:val="none" w:sz="0" w:space="0" w:color="auto"/>
        <w:left w:val="none" w:sz="0" w:space="0" w:color="auto"/>
        <w:bottom w:val="none" w:sz="0" w:space="0" w:color="auto"/>
        <w:right w:val="none" w:sz="0" w:space="0" w:color="auto"/>
      </w:divBdr>
      <w:divsChild>
        <w:div w:id="1788426890">
          <w:marLeft w:val="0"/>
          <w:marRight w:val="0"/>
          <w:marTop w:val="0"/>
          <w:marBottom w:val="0"/>
          <w:divBdr>
            <w:top w:val="none" w:sz="0" w:space="0" w:color="auto"/>
            <w:left w:val="none" w:sz="0" w:space="0" w:color="auto"/>
            <w:bottom w:val="none" w:sz="0" w:space="0" w:color="auto"/>
            <w:right w:val="none" w:sz="0" w:space="0" w:color="auto"/>
          </w:divBdr>
        </w:div>
        <w:div w:id="1552377440">
          <w:marLeft w:val="0"/>
          <w:marRight w:val="0"/>
          <w:marTop w:val="0"/>
          <w:marBottom w:val="0"/>
          <w:divBdr>
            <w:top w:val="none" w:sz="0" w:space="0" w:color="auto"/>
            <w:left w:val="none" w:sz="0" w:space="0" w:color="auto"/>
            <w:bottom w:val="none" w:sz="0" w:space="0" w:color="auto"/>
            <w:right w:val="none" w:sz="0" w:space="0" w:color="auto"/>
          </w:divBdr>
        </w:div>
        <w:div w:id="112020268">
          <w:marLeft w:val="0"/>
          <w:marRight w:val="0"/>
          <w:marTop w:val="0"/>
          <w:marBottom w:val="0"/>
          <w:divBdr>
            <w:top w:val="none" w:sz="0" w:space="0" w:color="auto"/>
            <w:left w:val="none" w:sz="0" w:space="0" w:color="auto"/>
            <w:bottom w:val="none" w:sz="0" w:space="0" w:color="auto"/>
            <w:right w:val="none" w:sz="0" w:space="0" w:color="auto"/>
          </w:divBdr>
        </w:div>
        <w:div w:id="1764111534">
          <w:marLeft w:val="0"/>
          <w:marRight w:val="0"/>
          <w:marTop w:val="0"/>
          <w:marBottom w:val="0"/>
          <w:divBdr>
            <w:top w:val="none" w:sz="0" w:space="0" w:color="auto"/>
            <w:left w:val="none" w:sz="0" w:space="0" w:color="auto"/>
            <w:bottom w:val="none" w:sz="0" w:space="0" w:color="auto"/>
            <w:right w:val="none" w:sz="0" w:space="0" w:color="auto"/>
          </w:divBdr>
        </w:div>
        <w:div w:id="544948625">
          <w:marLeft w:val="0"/>
          <w:marRight w:val="0"/>
          <w:marTop w:val="0"/>
          <w:marBottom w:val="0"/>
          <w:divBdr>
            <w:top w:val="none" w:sz="0" w:space="0" w:color="auto"/>
            <w:left w:val="none" w:sz="0" w:space="0" w:color="auto"/>
            <w:bottom w:val="none" w:sz="0" w:space="0" w:color="auto"/>
            <w:right w:val="none" w:sz="0" w:space="0" w:color="auto"/>
          </w:divBdr>
        </w:div>
        <w:div w:id="1791320782">
          <w:marLeft w:val="0"/>
          <w:marRight w:val="0"/>
          <w:marTop w:val="0"/>
          <w:marBottom w:val="0"/>
          <w:divBdr>
            <w:top w:val="none" w:sz="0" w:space="0" w:color="auto"/>
            <w:left w:val="none" w:sz="0" w:space="0" w:color="auto"/>
            <w:bottom w:val="none" w:sz="0" w:space="0" w:color="auto"/>
            <w:right w:val="none" w:sz="0" w:space="0" w:color="auto"/>
          </w:divBdr>
        </w:div>
        <w:div w:id="463929937">
          <w:marLeft w:val="0"/>
          <w:marRight w:val="0"/>
          <w:marTop w:val="0"/>
          <w:marBottom w:val="0"/>
          <w:divBdr>
            <w:top w:val="none" w:sz="0" w:space="0" w:color="auto"/>
            <w:left w:val="none" w:sz="0" w:space="0" w:color="auto"/>
            <w:bottom w:val="none" w:sz="0" w:space="0" w:color="auto"/>
            <w:right w:val="none" w:sz="0" w:space="0" w:color="auto"/>
          </w:divBdr>
        </w:div>
        <w:div w:id="1887640602">
          <w:marLeft w:val="0"/>
          <w:marRight w:val="0"/>
          <w:marTop w:val="0"/>
          <w:marBottom w:val="0"/>
          <w:divBdr>
            <w:top w:val="none" w:sz="0" w:space="0" w:color="auto"/>
            <w:left w:val="none" w:sz="0" w:space="0" w:color="auto"/>
            <w:bottom w:val="none" w:sz="0" w:space="0" w:color="auto"/>
            <w:right w:val="none" w:sz="0" w:space="0" w:color="auto"/>
          </w:divBdr>
        </w:div>
        <w:div w:id="606234735">
          <w:marLeft w:val="0"/>
          <w:marRight w:val="0"/>
          <w:marTop w:val="0"/>
          <w:marBottom w:val="0"/>
          <w:divBdr>
            <w:top w:val="none" w:sz="0" w:space="0" w:color="auto"/>
            <w:left w:val="none" w:sz="0" w:space="0" w:color="auto"/>
            <w:bottom w:val="none" w:sz="0" w:space="0" w:color="auto"/>
            <w:right w:val="none" w:sz="0" w:space="0" w:color="auto"/>
          </w:divBdr>
        </w:div>
        <w:div w:id="561647277">
          <w:marLeft w:val="0"/>
          <w:marRight w:val="0"/>
          <w:marTop w:val="0"/>
          <w:marBottom w:val="0"/>
          <w:divBdr>
            <w:top w:val="none" w:sz="0" w:space="0" w:color="auto"/>
            <w:left w:val="none" w:sz="0" w:space="0" w:color="auto"/>
            <w:bottom w:val="none" w:sz="0" w:space="0" w:color="auto"/>
            <w:right w:val="none" w:sz="0" w:space="0" w:color="auto"/>
          </w:divBdr>
        </w:div>
        <w:div w:id="320934330">
          <w:marLeft w:val="0"/>
          <w:marRight w:val="0"/>
          <w:marTop w:val="0"/>
          <w:marBottom w:val="0"/>
          <w:divBdr>
            <w:top w:val="none" w:sz="0" w:space="0" w:color="auto"/>
            <w:left w:val="none" w:sz="0" w:space="0" w:color="auto"/>
            <w:bottom w:val="none" w:sz="0" w:space="0" w:color="auto"/>
            <w:right w:val="none" w:sz="0" w:space="0" w:color="auto"/>
          </w:divBdr>
        </w:div>
        <w:div w:id="404887136">
          <w:marLeft w:val="0"/>
          <w:marRight w:val="0"/>
          <w:marTop w:val="0"/>
          <w:marBottom w:val="0"/>
          <w:divBdr>
            <w:top w:val="none" w:sz="0" w:space="0" w:color="auto"/>
            <w:left w:val="none" w:sz="0" w:space="0" w:color="auto"/>
            <w:bottom w:val="none" w:sz="0" w:space="0" w:color="auto"/>
            <w:right w:val="none" w:sz="0" w:space="0" w:color="auto"/>
          </w:divBdr>
        </w:div>
        <w:div w:id="1918784636">
          <w:marLeft w:val="0"/>
          <w:marRight w:val="0"/>
          <w:marTop w:val="0"/>
          <w:marBottom w:val="0"/>
          <w:divBdr>
            <w:top w:val="none" w:sz="0" w:space="0" w:color="auto"/>
            <w:left w:val="none" w:sz="0" w:space="0" w:color="auto"/>
            <w:bottom w:val="none" w:sz="0" w:space="0" w:color="auto"/>
            <w:right w:val="none" w:sz="0" w:space="0" w:color="auto"/>
          </w:divBdr>
        </w:div>
        <w:div w:id="742801251">
          <w:marLeft w:val="0"/>
          <w:marRight w:val="0"/>
          <w:marTop w:val="0"/>
          <w:marBottom w:val="0"/>
          <w:divBdr>
            <w:top w:val="none" w:sz="0" w:space="0" w:color="auto"/>
            <w:left w:val="none" w:sz="0" w:space="0" w:color="auto"/>
            <w:bottom w:val="none" w:sz="0" w:space="0" w:color="auto"/>
            <w:right w:val="none" w:sz="0" w:space="0" w:color="auto"/>
          </w:divBdr>
        </w:div>
        <w:div w:id="1313679261">
          <w:marLeft w:val="0"/>
          <w:marRight w:val="0"/>
          <w:marTop w:val="0"/>
          <w:marBottom w:val="0"/>
          <w:divBdr>
            <w:top w:val="none" w:sz="0" w:space="0" w:color="auto"/>
            <w:left w:val="none" w:sz="0" w:space="0" w:color="auto"/>
            <w:bottom w:val="none" w:sz="0" w:space="0" w:color="auto"/>
            <w:right w:val="none" w:sz="0" w:space="0" w:color="auto"/>
          </w:divBdr>
        </w:div>
        <w:div w:id="963729271">
          <w:marLeft w:val="0"/>
          <w:marRight w:val="0"/>
          <w:marTop w:val="0"/>
          <w:marBottom w:val="0"/>
          <w:divBdr>
            <w:top w:val="none" w:sz="0" w:space="0" w:color="auto"/>
            <w:left w:val="none" w:sz="0" w:space="0" w:color="auto"/>
            <w:bottom w:val="none" w:sz="0" w:space="0" w:color="auto"/>
            <w:right w:val="none" w:sz="0" w:space="0" w:color="auto"/>
          </w:divBdr>
        </w:div>
        <w:div w:id="219635284">
          <w:marLeft w:val="0"/>
          <w:marRight w:val="0"/>
          <w:marTop w:val="0"/>
          <w:marBottom w:val="0"/>
          <w:divBdr>
            <w:top w:val="none" w:sz="0" w:space="0" w:color="auto"/>
            <w:left w:val="none" w:sz="0" w:space="0" w:color="auto"/>
            <w:bottom w:val="none" w:sz="0" w:space="0" w:color="auto"/>
            <w:right w:val="none" w:sz="0" w:space="0" w:color="auto"/>
          </w:divBdr>
        </w:div>
        <w:div w:id="1887835205">
          <w:marLeft w:val="0"/>
          <w:marRight w:val="0"/>
          <w:marTop w:val="0"/>
          <w:marBottom w:val="0"/>
          <w:divBdr>
            <w:top w:val="none" w:sz="0" w:space="0" w:color="auto"/>
            <w:left w:val="none" w:sz="0" w:space="0" w:color="auto"/>
            <w:bottom w:val="none" w:sz="0" w:space="0" w:color="auto"/>
            <w:right w:val="none" w:sz="0" w:space="0" w:color="auto"/>
          </w:divBdr>
        </w:div>
        <w:div w:id="821043776">
          <w:marLeft w:val="0"/>
          <w:marRight w:val="0"/>
          <w:marTop w:val="0"/>
          <w:marBottom w:val="0"/>
          <w:divBdr>
            <w:top w:val="none" w:sz="0" w:space="0" w:color="auto"/>
            <w:left w:val="none" w:sz="0" w:space="0" w:color="auto"/>
            <w:bottom w:val="none" w:sz="0" w:space="0" w:color="auto"/>
            <w:right w:val="none" w:sz="0" w:space="0" w:color="auto"/>
          </w:divBdr>
        </w:div>
        <w:div w:id="1930653286">
          <w:marLeft w:val="0"/>
          <w:marRight w:val="0"/>
          <w:marTop w:val="0"/>
          <w:marBottom w:val="0"/>
          <w:divBdr>
            <w:top w:val="none" w:sz="0" w:space="0" w:color="auto"/>
            <w:left w:val="none" w:sz="0" w:space="0" w:color="auto"/>
            <w:bottom w:val="none" w:sz="0" w:space="0" w:color="auto"/>
            <w:right w:val="none" w:sz="0" w:space="0" w:color="auto"/>
          </w:divBdr>
        </w:div>
        <w:div w:id="1528445211">
          <w:marLeft w:val="0"/>
          <w:marRight w:val="0"/>
          <w:marTop w:val="0"/>
          <w:marBottom w:val="0"/>
          <w:divBdr>
            <w:top w:val="none" w:sz="0" w:space="0" w:color="auto"/>
            <w:left w:val="none" w:sz="0" w:space="0" w:color="auto"/>
            <w:bottom w:val="none" w:sz="0" w:space="0" w:color="auto"/>
            <w:right w:val="none" w:sz="0" w:space="0" w:color="auto"/>
          </w:divBdr>
        </w:div>
        <w:div w:id="1291596638">
          <w:marLeft w:val="0"/>
          <w:marRight w:val="0"/>
          <w:marTop w:val="0"/>
          <w:marBottom w:val="0"/>
          <w:divBdr>
            <w:top w:val="none" w:sz="0" w:space="0" w:color="auto"/>
            <w:left w:val="none" w:sz="0" w:space="0" w:color="auto"/>
            <w:bottom w:val="none" w:sz="0" w:space="0" w:color="auto"/>
            <w:right w:val="none" w:sz="0" w:space="0" w:color="auto"/>
          </w:divBdr>
        </w:div>
        <w:div w:id="797341445">
          <w:marLeft w:val="0"/>
          <w:marRight w:val="0"/>
          <w:marTop w:val="0"/>
          <w:marBottom w:val="0"/>
          <w:divBdr>
            <w:top w:val="none" w:sz="0" w:space="0" w:color="auto"/>
            <w:left w:val="none" w:sz="0" w:space="0" w:color="auto"/>
            <w:bottom w:val="none" w:sz="0" w:space="0" w:color="auto"/>
            <w:right w:val="none" w:sz="0" w:space="0" w:color="auto"/>
          </w:divBdr>
        </w:div>
        <w:div w:id="734276271">
          <w:marLeft w:val="0"/>
          <w:marRight w:val="0"/>
          <w:marTop w:val="0"/>
          <w:marBottom w:val="0"/>
          <w:divBdr>
            <w:top w:val="none" w:sz="0" w:space="0" w:color="auto"/>
            <w:left w:val="none" w:sz="0" w:space="0" w:color="auto"/>
            <w:bottom w:val="none" w:sz="0" w:space="0" w:color="auto"/>
            <w:right w:val="none" w:sz="0" w:space="0" w:color="auto"/>
          </w:divBdr>
        </w:div>
        <w:div w:id="73628113">
          <w:marLeft w:val="0"/>
          <w:marRight w:val="0"/>
          <w:marTop w:val="0"/>
          <w:marBottom w:val="0"/>
          <w:divBdr>
            <w:top w:val="none" w:sz="0" w:space="0" w:color="auto"/>
            <w:left w:val="none" w:sz="0" w:space="0" w:color="auto"/>
            <w:bottom w:val="none" w:sz="0" w:space="0" w:color="auto"/>
            <w:right w:val="none" w:sz="0" w:space="0" w:color="auto"/>
          </w:divBdr>
        </w:div>
        <w:div w:id="1948847845">
          <w:marLeft w:val="0"/>
          <w:marRight w:val="0"/>
          <w:marTop w:val="0"/>
          <w:marBottom w:val="0"/>
          <w:divBdr>
            <w:top w:val="none" w:sz="0" w:space="0" w:color="auto"/>
            <w:left w:val="none" w:sz="0" w:space="0" w:color="auto"/>
            <w:bottom w:val="none" w:sz="0" w:space="0" w:color="auto"/>
            <w:right w:val="none" w:sz="0" w:space="0" w:color="auto"/>
          </w:divBdr>
        </w:div>
        <w:div w:id="68114091">
          <w:marLeft w:val="0"/>
          <w:marRight w:val="0"/>
          <w:marTop w:val="0"/>
          <w:marBottom w:val="0"/>
          <w:divBdr>
            <w:top w:val="none" w:sz="0" w:space="0" w:color="auto"/>
            <w:left w:val="none" w:sz="0" w:space="0" w:color="auto"/>
            <w:bottom w:val="none" w:sz="0" w:space="0" w:color="auto"/>
            <w:right w:val="none" w:sz="0" w:space="0" w:color="auto"/>
          </w:divBdr>
        </w:div>
        <w:div w:id="2134248384">
          <w:marLeft w:val="0"/>
          <w:marRight w:val="0"/>
          <w:marTop w:val="0"/>
          <w:marBottom w:val="0"/>
          <w:divBdr>
            <w:top w:val="none" w:sz="0" w:space="0" w:color="auto"/>
            <w:left w:val="none" w:sz="0" w:space="0" w:color="auto"/>
            <w:bottom w:val="none" w:sz="0" w:space="0" w:color="auto"/>
            <w:right w:val="none" w:sz="0" w:space="0" w:color="auto"/>
          </w:divBdr>
        </w:div>
        <w:div w:id="1633555719">
          <w:marLeft w:val="0"/>
          <w:marRight w:val="0"/>
          <w:marTop w:val="0"/>
          <w:marBottom w:val="0"/>
          <w:divBdr>
            <w:top w:val="none" w:sz="0" w:space="0" w:color="auto"/>
            <w:left w:val="none" w:sz="0" w:space="0" w:color="auto"/>
            <w:bottom w:val="none" w:sz="0" w:space="0" w:color="auto"/>
            <w:right w:val="none" w:sz="0" w:space="0" w:color="auto"/>
          </w:divBdr>
        </w:div>
        <w:div w:id="1051734649">
          <w:marLeft w:val="0"/>
          <w:marRight w:val="0"/>
          <w:marTop w:val="0"/>
          <w:marBottom w:val="0"/>
          <w:divBdr>
            <w:top w:val="none" w:sz="0" w:space="0" w:color="auto"/>
            <w:left w:val="none" w:sz="0" w:space="0" w:color="auto"/>
            <w:bottom w:val="none" w:sz="0" w:space="0" w:color="auto"/>
            <w:right w:val="none" w:sz="0" w:space="0" w:color="auto"/>
          </w:divBdr>
        </w:div>
        <w:div w:id="1895851663">
          <w:marLeft w:val="0"/>
          <w:marRight w:val="0"/>
          <w:marTop w:val="0"/>
          <w:marBottom w:val="0"/>
          <w:divBdr>
            <w:top w:val="none" w:sz="0" w:space="0" w:color="auto"/>
            <w:left w:val="none" w:sz="0" w:space="0" w:color="auto"/>
            <w:bottom w:val="none" w:sz="0" w:space="0" w:color="auto"/>
            <w:right w:val="none" w:sz="0" w:space="0" w:color="auto"/>
          </w:divBdr>
        </w:div>
        <w:div w:id="517473845">
          <w:marLeft w:val="0"/>
          <w:marRight w:val="0"/>
          <w:marTop w:val="0"/>
          <w:marBottom w:val="0"/>
          <w:divBdr>
            <w:top w:val="none" w:sz="0" w:space="0" w:color="auto"/>
            <w:left w:val="none" w:sz="0" w:space="0" w:color="auto"/>
            <w:bottom w:val="none" w:sz="0" w:space="0" w:color="auto"/>
            <w:right w:val="none" w:sz="0" w:space="0" w:color="auto"/>
          </w:divBdr>
        </w:div>
        <w:div w:id="382098223">
          <w:marLeft w:val="0"/>
          <w:marRight w:val="0"/>
          <w:marTop w:val="0"/>
          <w:marBottom w:val="0"/>
          <w:divBdr>
            <w:top w:val="none" w:sz="0" w:space="0" w:color="auto"/>
            <w:left w:val="none" w:sz="0" w:space="0" w:color="auto"/>
            <w:bottom w:val="none" w:sz="0" w:space="0" w:color="auto"/>
            <w:right w:val="none" w:sz="0" w:space="0" w:color="auto"/>
          </w:divBdr>
        </w:div>
        <w:div w:id="902377677">
          <w:marLeft w:val="0"/>
          <w:marRight w:val="0"/>
          <w:marTop w:val="0"/>
          <w:marBottom w:val="0"/>
          <w:divBdr>
            <w:top w:val="none" w:sz="0" w:space="0" w:color="auto"/>
            <w:left w:val="none" w:sz="0" w:space="0" w:color="auto"/>
            <w:bottom w:val="none" w:sz="0" w:space="0" w:color="auto"/>
            <w:right w:val="none" w:sz="0" w:space="0" w:color="auto"/>
          </w:divBdr>
        </w:div>
        <w:div w:id="1134324828">
          <w:marLeft w:val="0"/>
          <w:marRight w:val="0"/>
          <w:marTop w:val="0"/>
          <w:marBottom w:val="0"/>
          <w:divBdr>
            <w:top w:val="none" w:sz="0" w:space="0" w:color="auto"/>
            <w:left w:val="none" w:sz="0" w:space="0" w:color="auto"/>
            <w:bottom w:val="none" w:sz="0" w:space="0" w:color="auto"/>
            <w:right w:val="none" w:sz="0" w:space="0" w:color="auto"/>
          </w:divBdr>
        </w:div>
        <w:div w:id="1019425631">
          <w:marLeft w:val="0"/>
          <w:marRight w:val="0"/>
          <w:marTop w:val="0"/>
          <w:marBottom w:val="0"/>
          <w:divBdr>
            <w:top w:val="none" w:sz="0" w:space="0" w:color="auto"/>
            <w:left w:val="none" w:sz="0" w:space="0" w:color="auto"/>
            <w:bottom w:val="none" w:sz="0" w:space="0" w:color="auto"/>
            <w:right w:val="none" w:sz="0" w:space="0" w:color="auto"/>
          </w:divBdr>
        </w:div>
        <w:div w:id="1637029540">
          <w:marLeft w:val="0"/>
          <w:marRight w:val="0"/>
          <w:marTop w:val="0"/>
          <w:marBottom w:val="0"/>
          <w:divBdr>
            <w:top w:val="none" w:sz="0" w:space="0" w:color="auto"/>
            <w:left w:val="none" w:sz="0" w:space="0" w:color="auto"/>
            <w:bottom w:val="none" w:sz="0" w:space="0" w:color="auto"/>
            <w:right w:val="none" w:sz="0" w:space="0" w:color="auto"/>
          </w:divBdr>
        </w:div>
        <w:div w:id="435059410">
          <w:marLeft w:val="0"/>
          <w:marRight w:val="0"/>
          <w:marTop w:val="0"/>
          <w:marBottom w:val="0"/>
          <w:divBdr>
            <w:top w:val="none" w:sz="0" w:space="0" w:color="auto"/>
            <w:left w:val="none" w:sz="0" w:space="0" w:color="auto"/>
            <w:bottom w:val="none" w:sz="0" w:space="0" w:color="auto"/>
            <w:right w:val="none" w:sz="0" w:space="0" w:color="auto"/>
          </w:divBdr>
        </w:div>
        <w:div w:id="1940750144">
          <w:marLeft w:val="0"/>
          <w:marRight w:val="0"/>
          <w:marTop w:val="0"/>
          <w:marBottom w:val="0"/>
          <w:divBdr>
            <w:top w:val="none" w:sz="0" w:space="0" w:color="auto"/>
            <w:left w:val="none" w:sz="0" w:space="0" w:color="auto"/>
            <w:bottom w:val="none" w:sz="0" w:space="0" w:color="auto"/>
            <w:right w:val="none" w:sz="0" w:space="0" w:color="auto"/>
          </w:divBdr>
        </w:div>
        <w:div w:id="1855922774">
          <w:marLeft w:val="0"/>
          <w:marRight w:val="0"/>
          <w:marTop w:val="0"/>
          <w:marBottom w:val="0"/>
          <w:divBdr>
            <w:top w:val="none" w:sz="0" w:space="0" w:color="auto"/>
            <w:left w:val="none" w:sz="0" w:space="0" w:color="auto"/>
            <w:bottom w:val="none" w:sz="0" w:space="0" w:color="auto"/>
            <w:right w:val="none" w:sz="0" w:space="0" w:color="auto"/>
          </w:divBdr>
        </w:div>
        <w:div w:id="1444954820">
          <w:marLeft w:val="0"/>
          <w:marRight w:val="0"/>
          <w:marTop w:val="0"/>
          <w:marBottom w:val="0"/>
          <w:divBdr>
            <w:top w:val="none" w:sz="0" w:space="0" w:color="auto"/>
            <w:left w:val="none" w:sz="0" w:space="0" w:color="auto"/>
            <w:bottom w:val="none" w:sz="0" w:space="0" w:color="auto"/>
            <w:right w:val="none" w:sz="0" w:space="0" w:color="auto"/>
          </w:divBdr>
        </w:div>
        <w:div w:id="2070377947">
          <w:marLeft w:val="0"/>
          <w:marRight w:val="0"/>
          <w:marTop w:val="0"/>
          <w:marBottom w:val="0"/>
          <w:divBdr>
            <w:top w:val="none" w:sz="0" w:space="0" w:color="auto"/>
            <w:left w:val="none" w:sz="0" w:space="0" w:color="auto"/>
            <w:bottom w:val="none" w:sz="0" w:space="0" w:color="auto"/>
            <w:right w:val="none" w:sz="0" w:space="0" w:color="auto"/>
          </w:divBdr>
        </w:div>
        <w:div w:id="1886871911">
          <w:marLeft w:val="0"/>
          <w:marRight w:val="0"/>
          <w:marTop w:val="0"/>
          <w:marBottom w:val="0"/>
          <w:divBdr>
            <w:top w:val="none" w:sz="0" w:space="0" w:color="auto"/>
            <w:left w:val="none" w:sz="0" w:space="0" w:color="auto"/>
            <w:bottom w:val="none" w:sz="0" w:space="0" w:color="auto"/>
            <w:right w:val="none" w:sz="0" w:space="0" w:color="auto"/>
          </w:divBdr>
        </w:div>
        <w:div w:id="1508397001">
          <w:marLeft w:val="0"/>
          <w:marRight w:val="0"/>
          <w:marTop w:val="0"/>
          <w:marBottom w:val="0"/>
          <w:divBdr>
            <w:top w:val="none" w:sz="0" w:space="0" w:color="auto"/>
            <w:left w:val="none" w:sz="0" w:space="0" w:color="auto"/>
            <w:bottom w:val="none" w:sz="0" w:space="0" w:color="auto"/>
            <w:right w:val="none" w:sz="0" w:space="0" w:color="auto"/>
          </w:divBdr>
        </w:div>
        <w:div w:id="1945571642">
          <w:marLeft w:val="0"/>
          <w:marRight w:val="0"/>
          <w:marTop w:val="0"/>
          <w:marBottom w:val="0"/>
          <w:divBdr>
            <w:top w:val="none" w:sz="0" w:space="0" w:color="auto"/>
            <w:left w:val="none" w:sz="0" w:space="0" w:color="auto"/>
            <w:bottom w:val="none" w:sz="0" w:space="0" w:color="auto"/>
            <w:right w:val="none" w:sz="0" w:space="0" w:color="auto"/>
          </w:divBdr>
        </w:div>
        <w:div w:id="1727299116">
          <w:marLeft w:val="0"/>
          <w:marRight w:val="0"/>
          <w:marTop w:val="0"/>
          <w:marBottom w:val="0"/>
          <w:divBdr>
            <w:top w:val="none" w:sz="0" w:space="0" w:color="auto"/>
            <w:left w:val="none" w:sz="0" w:space="0" w:color="auto"/>
            <w:bottom w:val="none" w:sz="0" w:space="0" w:color="auto"/>
            <w:right w:val="none" w:sz="0" w:space="0" w:color="auto"/>
          </w:divBdr>
        </w:div>
        <w:div w:id="2118137058">
          <w:marLeft w:val="0"/>
          <w:marRight w:val="0"/>
          <w:marTop w:val="0"/>
          <w:marBottom w:val="0"/>
          <w:divBdr>
            <w:top w:val="none" w:sz="0" w:space="0" w:color="auto"/>
            <w:left w:val="none" w:sz="0" w:space="0" w:color="auto"/>
            <w:bottom w:val="none" w:sz="0" w:space="0" w:color="auto"/>
            <w:right w:val="none" w:sz="0" w:space="0" w:color="auto"/>
          </w:divBdr>
        </w:div>
        <w:div w:id="1198397162">
          <w:marLeft w:val="0"/>
          <w:marRight w:val="0"/>
          <w:marTop w:val="0"/>
          <w:marBottom w:val="0"/>
          <w:divBdr>
            <w:top w:val="none" w:sz="0" w:space="0" w:color="auto"/>
            <w:left w:val="none" w:sz="0" w:space="0" w:color="auto"/>
            <w:bottom w:val="none" w:sz="0" w:space="0" w:color="auto"/>
            <w:right w:val="none" w:sz="0" w:space="0" w:color="auto"/>
          </w:divBdr>
        </w:div>
        <w:div w:id="218320004">
          <w:marLeft w:val="0"/>
          <w:marRight w:val="0"/>
          <w:marTop w:val="0"/>
          <w:marBottom w:val="0"/>
          <w:divBdr>
            <w:top w:val="none" w:sz="0" w:space="0" w:color="auto"/>
            <w:left w:val="none" w:sz="0" w:space="0" w:color="auto"/>
            <w:bottom w:val="none" w:sz="0" w:space="0" w:color="auto"/>
            <w:right w:val="none" w:sz="0" w:space="0" w:color="auto"/>
          </w:divBdr>
        </w:div>
        <w:div w:id="222831370">
          <w:marLeft w:val="0"/>
          <w:marRight w:val="0"/>
          <w:marTop w:val="0"/>
          <w:marBottom w:val="0"/>
          <w:divBdr>
            <w:top w:val="none" w:sz="0" w:space="0" w:color="auto"/>
            <w:left w:val="none" w:sz="0" w:space="0" w:color="auto"/>
            <w:bottom w:val="none" w:sz="0" w:space="0" w:color="auto"/>
            <w:right w:val="none" w:sz="0" w:space="0" w:color="auto"/>
          </w:divBdr>
        </w:div>
        <w:div w:id="1455711846">
          <w:marLeft w:val="0"/>
          <w:marRight w:val="0"/>
          <w:marTop w:val="0"/>
          <w:marBottom w:val="0"/>
          <w:divBdr>
            <w:top w:val="none" w:sz="0" w:space="0" w:color="auto"/>
            <w:left w:val="none" w:sz="0" w:space="0" w:color="auto"/>
            <w:bottom w:val="none" w:sz="0" w:space="0" w:color="auto"/>
            <w:right w:val="none" w:sz="0" w:space="0" w:color="auto"/>
          </w:divBdr>
        </w:div>
        <w:div w:id="1925214761">
          <w:marLeft w:val="0"/>
          <w:marRight w:val="0"/>
          <w:marTop w:val="0"/>
          <w:marBottom w:val="0"/>
          <w:divBdr>
            <w:top w:val="none" w:sz="0" w:space="0" w:color="auto"/>
            <w:left w:val="none" w:sz="0" w:space="0" w:color="auto"/>
            <w:bottom w:val="none" w:sz="0" w:space="0" w:color="auto"/>
            <w:right w:val="none" w:sz="0" w:space="0" w:color="auto"/>
          </w:divBdr>
        </w:div>
        <w:div w:id="1220290529">
          <w:marLeft w:val="0"/>
          <w:marRight w:val="0"/>
          <w:marTop w:val="0"/>
          <w:marBottom w:val="0"/>
          <w:divBdr>
            <w:top w:val="none" w:sz="0" w:space="0" w:color="auto"/>
            <w:left w:val="none" w:sz="0" w:space="0" w:color="auto"/>
            <w:bottom w:val="none" w:sz="0" w:space="0" w:color="auto"/>
            <w:right w:val="none" w:sz="0" w:space="0" w:color="auto"/>
          </w:divBdr>
        </w:div>
        <w:div w:id="139659191">
          <w:marLeft w:val="0"/>
          <w:marRight w:val="0"/>
          <w:marTop w:val="0"/>
          <w:marBottom w:val="0"/>
          <w:divBdr>
            <w:top w:val="none" w:sz="0" w:space="0" w:color="auto"/>
            <w:left w:val="none" w:sz="0" w:space="0" w:color="auto"/>
            <w:bottom w:val="none" w:sz="0" w:space="0" w:color="auto"/>
            <w:right w:val="none" w:sz="0" w:space="0" w:color="auto"/>
          </w:divBdr>
        </w:div>
        <w:div w:id="2011519847">
          <w:marLeft w:val="0"/>
          <w:marRight w:val="0"/>
          <w:marTop w:val="0"/>
          <w:marBottom w:val="0"/>
          <w:divBdr>
            <w:top w:val="none" w:sz="0" w:space="0" w:color="auto"/>
            <w:left w:val="none" w:sz="0" w:space="0" w:color="auto"/>
            <w:bottom w:val="none" w:sz="0" w:space="0" w:color="auto"/>
            <w:right w:val="none" w:sz="0" w:space="0" w:color="auto"/>
          </w:divBdr>
        </w:div>
        <w:div w:id="558053216">
          <w:marLeft w:val="0"/>
          <w:marRight w:val="0"/>
          <w:marTop w:val="0"/>
          <w:marBottom w:val="0"/>
          <w:divBdr>
            <w:top w:val="none" w:sz="0" w:space="0" w:color="auto"/>
            <w:left w:val="none" w:sz="0" w:space="0" w:color="auto"/>
            <w:bottom w:val="none" w:sz="0" w:space="0" w:color="auto"/>
            <w:right w:val="none" w:sz="0" w:space="0" w:color="auto"/>
          </w:divBdr>
        </w:div>
      </w:divsChild>
    </w:div>
    <w:div w:id="99372737">
      <w:bodyDiv w:val="1"/>
      <w:marLeft w:val="0"/>
      <w:marRight w:val="0"/>
      <w:marTop w:val="0"/>
      <w:marBottom w:val="0"/>
      <w:divBdr>
        <w:top w:val="none" w:sz="0" w:space="0" w:color="auto"/>
        <w:left w:val="none" w:sz="0" w:space="0" w:color="auto"/>
        <w:bottom w:val="none" w:sz="0" w:space="0" w:color="auto"/>
        <w:right w:val="none" w:sz="0" w:space="0" w:color="auto"/>
      </w:divBdr>
    </w:div>
    <w:div w:id="110980620">
      <w:bodyDiv w:val="1"/>
      <w:marLeft w:val="0"/>
      <w:marRight w:val="0"/>
      <w:marTop w:val="0"/>
      <w:marBottom w:val="0"/>
      <w:divBdr>
        <w:top w:val="none" w:sz="0" w:space="0" w:color="auto"/>
        <w:left w:val="none" w:sz="0" w:space="0" w:color="auto"/>
        <w:bottom w:val="none" w:sz="0" w:space="0" w:color="auto"/>
        <w:right w:val="none" w:sz="0" w:space="0" w:color="auto"/>
      </w:divBdr>
      <w:divsChild>
        <w:div w:id="104693244">
          <w:marLeft w:val="0"/>
          <w:marRight w:val="0"/>
          <w:marTop w:val="0"/>
          <w:marBottom w:val="0"/>
          <w:divBdr>
            <w:top w:val="none" w:sz="0" w:space="0" w:color="auto"/>
            <w:left w:val="none" w:sz="0" w:space="0" w:color="auto"/>
            <w:bottom w:val="none" w:sz="0" w:space="0" w:color="auto"/>
            <w:right w:val="none" w:sz="0" w:space="0" w:color="auto"/>
          </w:divBdr>
        </w:div>
        <w:div w:id="1449616925">
          <w:marLeft w:val="0"/>
          <w:marRight w:val="0"/>
          <w:marTop w:val="0"/>
          <w:marBottom w:val="0"/>
          <w:divBdr>
            <w:top w:val="none" w:sz="0" w:space="0" w:color="auto"/>
            <w:left w:val="none" w:sz="0" w:space="0" w:color="auto"/>
            <w:bottom w:val="none" w:sz="0" w:space="0" w:color="auto"/>
            <w:right w:val="none" w:sz="0" w:space="0" w:color="auto"/>
          </w:divBdr>
        </w:div>
        <w:div w:id="433212557">
          <w:marLeft w:val="0"/>
          <w:marRight w:val="0"/>
          <w:marTop w:val="0"/>
          <w:marBottom w:val="0"/>
          <w:divBdr>
            <w:top w:val="none" w:sz="0" w:space="0" w:color="auto"/>
            <w:left w:val="none" w:sz="0" w:space="0" w:color="auto"/>
            <w:bottom w:val="none" w:sz="0" w:space="0" w:color="auto"/>
            <w:right w:val="none" w:sz="0" w:space="0" w:color="auto"/>
          </w:divBdr>
        </w:div>
        <w:div w:id="1824393289">
          <w:marLeft w:val="0"/>
          <w:marRight w:val="0"/>
          <w:marTop w:val="0"/>
          <w:marBottom w:val="0"/>
          <w:divBdr>
            <w:top w:val="none" w:sz="0" w:space="0" w:color="auto"/>
            <w:left w:val="none" w:sz="0" w:space="0" w:color="auto"/>
            <w:bottom w:val="none" w:sz="0" w:space="0" w:color="auto"/>
            <w:right w:val="none" w:sz="0" w:space="0" w:color="auto"/>
          </w:divBdr>
        </w:div>
        <w:div w:id="1452017550">
          <w:marLeft w:val="0"/>
          <w:marRight w:val="0"/>
          <w:marTop w:val="0"/>
          <w:marBottom w:val="0"/>
          <w:divBdr>
            <w:top w:val="none" w:sz="0" w:space="0" w:color="auto"/>
            <w:left w:val="none" w:sz="0" w:space="0" w:color="auto"/>
            <w:bottom w:val="none" w:sz="0" w:space="0" w:color="auto"/>
            <w:right w:val="none" w:sz="0" w:space="0" w:color="auto"/>
          </w:divBdr>
        </w:div>
        <w:div w:id="1475484107">
          <w:marLeft w:val="0"/>
          <w:marRight w:val="0"/>
          <w:marTop w:val="0"/>
          <w:marBottom w:val="0"/>
          <w:divBdr>
            <w:top w:val="none" w:sz="0" w:space="0" w:color="auto"/>
            <w:left w:val="none" w:sz="0" w:space="0" w:color="auto"/>
            <w:bottom w:val="none" w:sz="0" w:space="0" w:color="auto"/>
            <w:right w:val="none" w:sz="0" w:space="0" w:color="auto"/>
          </w:divBdr>
        </w:div>
        <w:div w:id="69235543">
          <w:marLeft w:val="0"/>
          <w:marRight w:val="0"/>
          <w:marTop w:val="0"/>
          <w:marBottom w:val="0"/>
          <w:divBdr>
            <w:top w:val="none" w:sz="0" w:space="0" w:color="auto"/>
            <w:left w:val="none" w:sz="0" w:space="0" w:color="auto"/>
            <w:bottom w:val="none" w:sz="0" w:space="0" w:color="auto"/>
            <w:right w:val="none" w:sz="0" w:space="0" w:color="auto"/>
          </w:divBdr>
        </w:div>
        <w:div w:id="2829939">
          <w:marLeft w:val="0"/>
          <w:marRight w:val="0"/>
          <w:marTop w:val="0"/>
          <w:marBottom w:val="0"/>
          <w:divBdr>
            <w:top w:val="none" w:sz="0" w:space="0" w:color="auto"/>
            <w:left w:val="none" w:sz="0" w:space="0" w:color="auto"/>
            <w:bottom w:val="none" w:sz="0" w:space="0" w:color="auto"/>
            <w:right w:val="none" w:sz="0" w:space="0" w:color="auto"/>
          </w:divBdr>
        </w:div>
        <w:div w:id="306665875">
          <w:marLeft w:val="0"/>
          <w:marRight w:val="0"/>
          <w:marTop w:val="0"/>
          <w:marBottom w:val="0"/>
          <w:divBdr>
            <w:top w:val="none" w:sz="0" w:space="0" w:color="auto"/>
            <w:left w:val="none" w:sz="0" w:space="0" w:color="auto"/>
            <w:bottom w:val="none" w:sz="0" w:space="0" w:color="auto"/>
            <w:right w:val="none" w:sz="0" w:space="0" w:color="auto"/>
          </w:divBdr>
        </w:div>
        <w:div w:id="196282979">
          <w:marLeft w:val="0"/>
          <w:marRight w:val="0"/>
          <w:marTop w:val="0"/>
          <w:marBottom w:val="0"/>
          <w:divBdr>
            <w:top w:val="none" w:sz="0" w:space="0" w:color="auto"/>
            <w:left w:val="none" w:sz="0" w:space="0" w:color="auto"/>
            <w:bottom w:val="none" w:sz="0" w:space="0" w:color="auto"/>
            <w:right w:val="none" w:sz="0" w:space="0" w:color="auto"/>
          </w:divBdr>
        </w:div>
        <w:div w:id="52314534">
          <w:marLeft w:val="0"/>
          <w:marRight w:val="0"/>
          <w:marTop w:val="0"/>
          <w:marBottom w:val="0"/>
          <w:divBdr>
            <w:top w:val="none" w:sz="0" w:space="0" w:color="auto"/>
            <w:left w:val="none" w:sz="0" w:space="0" w:color="auto"/>
            <w:bottom w:val="none" w:sz="0" w:space="0" w:color="auto"/>
            <w:right w:val="none" w:sz="0" w:space="0" w:color="auto"/>
          </w:divBdr>
        </w:div>
      </w:divsChild>
    </w:div>
    <w:div w:id="139541664">
      <w:bodyDiv w:val="1"/>
      <w:marLeft w:val="0"/>
      <w:marRight w:val="0"/>
      <w:marTop w:val="0"/>
      <w:marBottom w:val="0"/>
      <w:divBdr>
        <w:top w:val="none" w:sz="0" w:space="0" w:color="auto"/>
        <w:left w:val="none" w:sz="0" w:space="0" w:color="auto"/>
        <w:bottom w:val="none" w:sz="0" w:space="0" w:color="auto"/>
        <w:right w:val="none" w:sz="0" w:space="0" w:color="auto"/>
      </w:divBdr>
    </w:div>
    <w:div w:id="157231353">
      <w:bodyDiv w:val="1"/>
      <w:marLeft w:val="0"/>
      <w:marRight w:val="0"/>
      <w:marTop w:val="0"/>
      <w:marBottom w:val="0"/>
      <w:divBdr>
        <w:top w:val="none" w:sz="0" w:space="0" w:color="auto"/>
        <w:left w:val="none" w:sz="0" w:space="0" w:color="auto"/>
        <w:bottom w:val="none" w:sz="0" w:space="0" w:color="auto"/>
        <w:right w:val="none" w:sz="0" w:space="0" w:color="auto"/>
      </w:divBdr>
    </w:div>
    <w:div w:id="164247645">
      <w:bodyDiv w:val="1"/>
      <w:marLeft w:val="0"/>
      <w:marRight w:val="0"/>
      <w:marTop w:val="0"/>
      <w:marBottom w:val="0"/>
      <w:divBdr>
        <w:top w:val="none" w:sz="0" w:space="0" w:color="auto"/>
        <w:left w:val="none" w:sz="0" w:space="0" w:color="auto"/>
        <w:bottom w:val="none" w:sz="0" w:space="0" w:color="auto"/>
        <w:right w:val="none" w:sz="0" w:space="0" w:color="auto"/>
      </w:divBdr>
      <w:divsChild>
        <w:div w:id="1177502558">
          <w:marLeft w:val="0"/>
          <w:marRight w:val="0"/>
          <w:marTop w:val="0"/>
          <w:marBottom w:val="0"/>
          <w:divBdr>
            <w:top w:val="none" w:sz="0" w:space="0" w:color="auto"/>
            <w:left w:val="none" w:sz="0" w:space="0" w:color="auto"/>
            <w:bottom w:val="none" w:sz="0" w:space="0" w:color="auto"/>
            <w:right w:val="none" w:sz="0" w:space="0" w:color="auto"/>
          </w:divBdr>
        </w:div>
        <w:div w:id="170880255">
          <w:marLeft w:val="0"/>
          <w:marRight w:val="0"/>
          <w:marTop w:val="0"/>
          <w:marBottom w:val="0"/>
          <w:divBdr>
            <w:top w:val="none" w:sz="0" w:space="0" w:color="auto"/>
            <w:left w:val="none" w:sz="0" w:space="0" w:color="auto"/>
            <w:bottom w:val="none" w:sz="0" w:space="0" w:color="auto"/>
            <w:right w:val="none" w:sz="0" w:space="0" w:color="auto"/>
          </w:divBdr>
        </w:div>
      </w:divsChild>
    </w:div>
    <w:div w:id="184367169">
      <w:bodyDiv w:val="1"/>
      <w:marLeft w:val="0"/>
      <w:marRight w:val="0"/>
      <w:marTop w:val="0"/>
      <w:marBottom w:val="0"/>
      <w:divBdr>
        <w:top w:val="none" w:sz="0" w:space="0" w:color="auto"/>
        <w:left w:val="none" w:sz="0" w:space="0" w:color="auto"/>
        <w:bottom w:val="none" w:sz="0" w:space="0" w:color="auto"/>
        <w:right w:val="none" w:sz="0" w:space="0" w:color="auto"/>
      </w:divBdr>
    </w:div>
    <w:div w:id="185681282">
      <w:bodyDiv w:val="1"/>
      <w:marLeft w:val="0"/>
      <w:marRight w:val="0"/>
      <w:marTop w:val="0"/>
      <w:marBottom w:val="0"/>
      <w:divBdr>
        <w:top w:val="none" w:sz="0" w:space="0" w:color="auto"/>
        <w:left w:val="none" w:sz="0" w:space="0" w:color="auto"/>
        <w:bottom w:val="none" w:sz="0" w:space="0" w:color="auto"/>
        <w:right w:val="none" w:sz="0" w:space="0" w:color="auto"/>
      </w:divBdr>
    </w:div>
    <w:div w:id="186330737">
      <w:bodyDiv w:val="1"/>
      <w:marLeft w:val="0"/>
      <w:marRight w:val="0"/>
      <w:marTop w:val="0"/>
      <w:marBottom w:val="0"/>
      <w:divBdr>
        <w:top w:val="none" w:sz="0" w:space="0" w:color="auto"/>
        <w:left w:val="none" w:sz="0" w:space="0" w:color="auto"/>
        <w:bottom w:val="none" w:sz="0" w:space="0" w:color="auto"/>
        <w:right w:val="none" w:sz="0" w:space="0" w:color="auto"/>
      </w:divBdr>
      <w:divsChild>
        <w:div w:id="1721242759">
          <w:marLeft w:val="0"/>
          <w:marRight w:val="0"/>
          <w:marTop w:val="0"/>
          <w:marBottom w:val="0"/>
          <w:divBdr>
            <w:top w:val="none" w:sz="0" w:space="0" w:color="auto"/>
            <w:left w:val="none" w:sz="0" w:space="0" w:color="auto"/>
            <w:bottom w:val="none" w:sz="0" w:space="0" w:color="auto"/>
            <w:right w:val="none" w:sz="0" w:space="0" w:color="auto"/>
          </w:divBdr>
          <w:divsChild>
            <w:div w:id="1965692979">
              <w:marLeft w:val="0"/>
              <w:marRight w:val="0"/>
              <w:marTop w:val="0"/>
              <w:marBottom w:val="0"/>
              <w:divBdr>
                <w:top w:val="none" w:sz="0" w:space="0" w:color="auto"/>
                <w:left w:val="none" w:sz="0" w:space="0" w:color="auto"/>
                <w:bottom w:val="none" w:sz="0" w:space="0" w:color="auto"/>
                <w:right w:val="none" w:sz="0" w:space="0" w:color="auto"/>
              </w:divBdr>
              <w:divsChild>
                <w:div w:id="37896386">
                  <w:marLeft w:val="0"/>
                  <w:marRight w:val="0"/>
                  <w:marTop w:val="0"/>
                  <w:marBottom w:val="0"/>
                  <w:divBdr>
                    <w:top w:val="none" w:sz="0" w:space="0" w:color="auto"/>
                    <w:left w:val="none" w:sz="0" w:space="0" w:color="auto"/>
                    <w:bottom w:val="none" w:sz="0" w:space="0" w:color="auto"/>
                    <w:right w:val="none" w:sz="0" w:space="0" w:color="auto"/>
                  </w:divBdr>
                  <w:divsChild>
                    <w:div w:id="960647410">
                      <w:marLeft w:val="0"/>
                      <w:marRight w:val="0"/>
                      <w:marTop w:val="0"/>
                      <w:marBottom w:val="0"/>
                      <w:divBdr>
                        <w:top w:val="none" w:sz="0" w:space="0" w:color="auto"/>
                        <w:left w:val="none" w:sz="0" w:space="0" w:color="auto"/>
                        <w:bottom w:val="none" w:sz="0" w:space="0" w:color="auto"/>
                        <w:right w:val="none" w:sz="0" w:space="0" w:color="auto"/>
                      </w:divBdr>
                      <w:divsChild>
                        <w:div w:id="1640720086">
                          <w:marLeft w:val="0"/>
                          <w:marRight w:val="0"/>
                          <w:marTop w:val="0"/>
                          <w:marBottom w:val="0"/>
                          <w:divBdr>
                            <w:top w:val="none" w:sz="0" w:space="0" w:color="auto"/>
                            <w:left w:val="none" w:sz="0" w:space="0" w:color="auto"/>
                            <w:bottom w:val="none" w:sz="0" w:space="0" w:color="auto"/>
                            <w:right w:val="none" w:sz="0" w:space="0" w:color="auto"/>
                          </w:divBdr>
                          <w:divsChild>
                            <w:div w:id="1299452458">
                              <w:marLeft w:val="0"/>
                              <w:marRight w:val="0"/>
                              <w:marTop w:val="0"/>
                              <w:marBottom w:val="0"/>
                              <w:divBdr>
                                <w:top w:val="none" w:sz="0" w:space="0" w:color="auto"/>
                                <w:left w:val="none" w:sz="0" w:space="0" w:color="auto"/>
                                <w:bottom w:val="none" w:sz="0" w:space="0" w:color="auto"/>
                                <w:right w:val="none" w:sz="0" w:space="0" w:color="auto"/>
                              </w:divBdr>
                              <w:divsChild>
                                <w:div w:id="405424078">
                                  <w:marLeft w:val="0"/>
                                  <w:marRight w:val="0"/>
                                  <w:marTop w:val="0"/>
                                  <w:marBottom w:val="0"/>
                                  <w:divBdr>
                                    <w:top w:val="none" w:sz="0" w:space="0" w:color="auto"/>
                                    <w:left w:val="none" w:sz="0" w:space="0" w:color="auto"/>
                                    <w:bottom w:val="none" w:sz="0" w:space="0" w:color="auto"/>
                                    <w:right w:val="none" w:sz="0" w:space="0" w:color="auto"/>
                                  </w:divBdr>
                                  <w:divsChild>
                                    <w:div w:id="558127384">
                                      <w:marLeft w:val="0"/>
                                      <w:marRight w:val="0"/>
                                      <w:marTop w:val="0"/>
                                      <w:marBottom w:val="0"/>
                                      <w:divBdr>
                                        <w:top w:val="none" w:sz="0" w:space="0" w:color="auto"/>
                                        <w:left w:val="none" w:sz="0" w:space="0" w:color="auto"/>
                                        <w:bottom w:val="none" w:sz="0" w:space="0" w:color="auto"/>
                                        <w:right w:val="none" w:sz="0" w:space="0" w:color="auto"/>
                                      </w:divBdr>
                                      <w:divsChild>
                                        <w:div w:id="14194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543273">
      <w:bodyDiv w:val="1"/>
      <w:marLeft w:val="0"/>
      <w:marRight w:val="0"/>
      <w:marTop w:val="0"/>
      <w:marBottom w:val="0"/>
      <w:divBdr>
        <w:top w:val="none" w:sz="0" w:space="0" w:color="auto"/>
        <w:left w:val="none" w:sz="0" w:space="0" w:color="auto"/>
        <w:bottom w:val="none" w:sz="0" w:space="0" w:color="auto"/>
        <w:right w:val="none" w:sz="0" w:space="0" w:color="auto"/>
      </w:divBdr>
    </w:div>
    <w:div w:id="251085928">
      <w:bodyDiv w:val="1"/>
      <w:marLeft w:val="0"/>
      <w:marRight w:val="0"/>
      <w:marTop w:val="0"/>
      <w:marBottom w:val="0"/>
      <w:divBdr>
        <w:top w:val="none" w:sz="0" w:space="0" w:color="auto"/>
        <w:left w:val="none" w:sz="0" w:space="0" w:color="auto"/>
        <w:bottom w:val="none" w:sz="0" w:space="0" w:color="auto"/>
        <w:right w:val="none" w:sz="0" w:space="0" w:color="auto"/>
      </w:divBdr>
    </w:div>
    <w:div w:id="292949125">
      <w:bodyDiv w:val="1"/>
      <w:marLeft w:val="0"/>
      <w:marRight w:val="0"/>
      <w:marTop w:val="0"/>
      <w:marBottom w:val="0"/>
      <w:divBdr>
        <w:top w:val="none" w:sz="0" w:space="0" w:color="auto"/>
        <w:left w:val="none" w:sz="0" w:space="0" w:color="auto"/>
        <w:bottom w:val="none" w:sz="0" w:space="0" w:color="auto"/>
        <w:right w:val="none" w:sz="0" w:space="0" w:color="auto"/>
      </w:divBdr>
    </w:div>
    <w:div w:id="308559150">
      <w:bodyDiv w:val="1"/>
      <w:marLeft w:val="0"/>
      <w:marRight w:val="0"/>
      <w:marTop w:val="0"/>
      <w:marBottom w:val="0"/>
      <w:divBdr>
        <w:top w:val="none" w:sz="0" w:space="0" w:color="auto"/>
        <w:left w:val="none" w:sz="0" w:space="0" w:color="auto"/>
        <w:bottom w:val="none" w:sz="0" w:space="0" w:color="auto"/>
        <w:right w:val="none" w:sz="0" w:space="0" w:color="auto"/>
      </w:divBdr>
    </w:div>
    <w:div w:id="327103456">
      <w:bodyDiv w:val="1"/>
      <w:marLeft w:val="0"/>
      <w:marRight w:val="0"/>
      <w:marTop w:val="0"/>
      <w:marBottom w:val="0"/>
      <w:divBdr>
        <w:top w:val="none" w:sz="0" w:space="0" w:color="auto"/>
        <w:left w:val="none" w:sz="0" w:space="0" w:color="auto"/>
        <w:bottom w:val="none" w:sz="0" w:space="0" w:color="auto"/>
        <w:right w:val="none" w:sz="0" w:space="0" w:color="auto"/>
      </w:divBdr>
      <w:divsChild>
        <w:div w:id="1219976659">
          <w:marLeft w:val="0"/>
          <w:marRight w:val="0"/>
          <w:marTop w:val="0"/>
          <w:marBottom w:val="0"/>
          <w:divBdr>
            <w:top w:val="none" w:sz="0" w:space="0" w:color="auto"/>
            <w:left w:val="none" w:sz="0" w:space="0" w:color="auto"/>
            <w:bottom w:val="none" w:sz="0" w:space="0" w:color="auto"/>
            <w:right w:val="none" w:sz="0" w:space="0" w:color="auto"/>
          </w:divBdr>
          <w:divsChild>
            <w:div w:id="1286236349">
              <w:marLeft w:val="0"/>
              <w:marRight w:val="0"/>
              <w:marTop w:val="0"/>
              <w:marBottom w:val="450"/>
              <w:divBdr>
                <w:top w:val="none" w:sz="0" w:space="0" w:color="auto"/>
                <w:left w:val="none" w:sz="0" w:space="0" w:color="auto"/>
                <w:bottom w:val="none" w:sz="0" w:space="0" w:color="auto"/>
                <w:right w:val="none" w:sz="0" w:space="0" w:color="auto"/>
              </w:divBdr>
              <w:divsChild>
                <w:div w:id="1102725663">
                  <w:marLeft w:val="0"/>
                  <w:marRight w:val="0"/>
                  <w:marTop w:val="0"/>
                  <w:marBottom w:val="0"/>
                  <w:divBdr>
                    <w:top w:val="none" w:sz="0" w:space="0" w:color="auto"/>
                    <w:left w:val="none" w:sz="0" w:space="0" w:color="auto"/>
                    <w:bottom w:val="none" w:sz="0" w:space="0" w:color="auto"/>
                    <w:right w:val="none" w:sz="0" w:space="0" w:color="auto"/>
                  </w:divBdr>
                  <w:divsChild>
                    <w:div w:id="492453020">
                      <w:marLeft w:val="-225"/>
                      <w:marRight w:val="-225"/>
                      <w:marTop w:val="0"/>
                      <w:marBottom w:val="0"/>
                      <w:divBdr>
                        <w:top w:val="none" w:sz="0" w:space="0" w:color="auto"/>
                        <w:left w:val="none" w:sz="0" w:space="0" w:color="auto"/>
                        <w:bottom w:val="none" w:sz="0" w:space="0" w:color="auto"/>
                        <w:right w:val="none" w:sz="0" w:space="0" w:color="auto"/>
                      </w:divBdr>
                      <w:divsChild>
                        <w:div w:id="817069839">
                          <w:marLeft w:val="0"/>
                          <w:marRight w:val="0"/>
                          <w:marTop w:val="0"/>
                          <w:marBottom w:val="0"/>
                          <w:divBdr>
                            <w:top w:val="none" w:sz="0" w:space="0" w:color="auto"/>
                            <w:left w:val="none" w:sz="0" w:space="0" w:color="auto"/>
                            <w:bottom w:val="none" w:sz="0" w:space="0" w:color="auto"/>
                            <w:right w:val="none" w:sz="0" w:space="0" w:color="auto"/>
                          </w:divBdr>
                          <w:divsChild>
                            <w:div w:id="1857110989">
                              <w:marLeft w:val="0"/>
                              <w:marRight w:val="0"/>
                              <w:marTop w:val="0"/>
                              <w:marBottom w:val="0"/>
                              <w:divBdr>
                                <w:top w:val="none" w:sz="0" w:space="0" w:color="auto"/>
                                <w:left w:val="none" w:sz="0" w:space="0" w:color="auto"/>
                                <w:bottom w:val="none" w:sz="0" w:space="0" w:color="auto"/>
                                <w:right w:val="none" w:sz="0" w:space="0" w:color="auto"/>
                              </w:divBdr>
                              <w:divsChild>
                                <w:div w:id="1658070739">
                                  <w:marLeft w:val="-225"/>
                                  <w:marRight w:val="-225"/>
                                  <w:marTop w:val="0"/>
                                  <w:marBottom w:val="0"/>
                                  <w:divBdr>
                                    <w:top w:val="none" w:sz="0" w:space="0" w:color="auto"/>
                                    <w:left w:val="none" w:sz="0" w:space="0" w:color="auto"/>
                                    <w:bottom w:val="none" w:sz="0" w:space="0" w:color="auto"/>
                                    <w:right w:val="none" w:sz="0" w:space="0" w:color="auto"/>
                                  </w:divBdr>
                                  <w:divsChild>
                                    <w:div w:id="632828564">
                                      <w:marLeft w:val="0"/>
                                      <w:marRight w:val="0"/>
                                      <w:marTop w:val="0"/>
                                      <w:marBottom w:val="0"/>
                                      <w:divBdr>
                                        <w:top w:val="none" w:sz="0" w:space="0" w:color="auto"/>
                                        <w:left w:val="none" w:sz="0" w:space="0" w:color="auto"/>
                                        <w:bottom w:val="none" w:sz="0" w:space="0" w:color="auto"/>
                                        <w:right w:val="none" w:sz="0" w:space="0" w:color="auto"/>
                                      </w:divBdr>
                                      <w:divsChild>
                                        <w:div w:id="1793862089">
                                          <w:marLeft w:val="0"/>
                                          <w:marRight w:val="0"/>
                                          <w:marTop w:val="0"/>
                                          <w:marBottom w:val="0"/>
                                          <w:divBdr>
                                            <w:top w:val="none" w:sz="0" w:space="0" w:color="auto"/>
                                            <w:left w:val="none" w:sz="0" w:space="0" w:color="auto"/>
                                            <w:bottom w:val="none" w:sz="0" w:space="0" w:color="auto"/>
                                            <w:right w:val="none" w:sz="0" w:space="0" w:color="auto"/>
                                          </w:divBdr>
                                          <w:divsChild>
                                            <w:div w:id="1823083587">
                                              <w:marLeft w:val="0"/>
                                              <w:marRight w:val="0"/>
                                              <w:marTop w:val="0"/>
                                              <w:marBottom w:val="0"/>
                                              <w:divBdr>
                                                <w:top w:val="none" w:sz="0" w:space="0" w:color="auto"/>
                                                <w:left w:val="none" w:sz="0" w:space="0" w:color="auto"/>
                                                <w:bottom w:val="none" w:sz="0" w:space="0" w:color="auto"/>
                                                <w:right w:val="none" w:sz="0" w:space="0" w:color="auto"/>
                                              </w:divBdr>
                                              <w:divsChild>
                                                <w:div w:id="622855164">
                                                  <w:marLeft w:val="0"/>
                                                  <w:marRight w:val="0"/>
                                                  <w:marTop w:val="0"/>
                                                  <w:marBottom w:val="0"/>
                                                  <w:divBdr>
                                                    <w:top w:val="none" w:sz="0" w:space="0" w:color="auto"/>
                                                    <w:left w:val="none" w:sz="0" w:space="0" w:color="auto"/>
                                                    <w:bottom w:val="none" w:sz="0" w:space="0" w:color="auto"/>
                                                    <w:right w:val="none" w:sz="0" w:space="0" w:color="auto"/>
                                                  </w:divBdr>
                                                  <w:divsChild>
                                                    <w:div w:id="1730181533">
                                                      <w:marLeft w:val="0"/>
                                                      <w:marRight w:val="0"/>
                                                      <w:marTop w:val="0"/>
                                                      <w:marBottom w:val="0"/>
                                                      <w:divBdr>
                                                        <w:top w:val="none" w:sz="0" w:space="0" w:color="auto"/>
                                                        <w:left w:val="none" w:sz="0" w:space="0" w:color="auto"/>
                                                        <w:bottom w:val="none" w:sz="0" w:space="0" w:color="auto"/>
                                                        <w:right w:val="none" w:sz="0" w:space="0" w:color="auto"/>
                                                      </w:divBdr>
                                                      <w:divsChild>
                                                        <w:div w:id="712383472">
                                                          <w:marLeft w:val="0"/>
                                                          <w:marRight w:val="0"/>
                                                          <w:marTop w:val="0"/>
                                                          <w:marBottom w:val="0"/>
                                                          <w:divBdr>
                                                            <w:top w:val="none" w:sz="0" w:space="0" w:color="auto"/>
                                                            <w:left w:val="none" w:sz="0" w:space="0" w:color="auto"/>
                                                            <w:bottom w:val="none" w:sz="0" w:space="0" w:color="auto"/>
                                                            <w:right w:val="none" w:sz="0" w:space="0" w:color="auto"/>
                                                          </w:divBdr>
                                                          <w:divsChild>
                                                            <w:div w:id="1738280395">
                                                              <w:marLeft w:val="0"/>
                                                              <w:marRight w:val="0"/>
                                                              <w:marTop w:val="0"/>
                                                              <w:marBottom w:val="0"/>
                                                              <w:divBdr>
                                                                <w:top w:val="none" w:sz="0" w:space="0" w:color="auto"/>
                                                                <w:left w:val="none" w:sz="0" w:space="0" w:color="auto"/>
                                                                <w:bottom w:val="none" w:sz="0" w:space="0" w:color="auto"/>
                                                                <w:right w:val="none" w:sz="0" w:space="0" w:color="auto"/>
                                                              </w:divBdr>
                                                              <w:divsChild>
                                                                <w:div w:id="15791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0081421">
      <w:bodyDiv w:val="1"/>
      <w:marLeft w:val="0"/>
      <w:marRight w:val="0"/>
      <w:marTop w:val="0"/>
      <w:marBottom w:val="0"/>
      <w:divBdr>
        <w:top w:val="none" w:sz="0" w:space="0" w:color="auto"/>
        <w:left w:val="none" w:sz="0" w:space="0" w:color="auto"/>
        <w:bottom w:val="none" w:sz="0" w:space="0" w:color="auto"/>
        <w:right w:val="none" w:sz="0" w:space="0" w:color="auto"/>
      </w:divBdr>
    </w:div>
    <w:div w:id="398675067">
      <w:bodyDiv w:val="1"/>
      <w:marLeft w:val="0"/>
      <w:marRight w:val="0"/>
      <w:marTop w:val="0"/>
      <w:marBottom w:val="0"/>
      <w:divBdr>
        <w:top w:val="none" w:sz="0" w:space="0" w:color="auto"/>
        <w:left w:val="none" w:sz="0" w:space="0" w:color="auto"/>
        <w:bottom w:val="none" w:sz="0" w:space="0" w:color="auto"/>
        <w:right w:val="none" w:sz="0" w:space="0" w:color="auto"/>
      </w:divBdr>
    </w:div>
    <w:div w:id="402527269">
      <w:bodyDiv w:val="1"/>
      <w:marLeft w:val="0"/>
      <w:marRight w:val="0"/>
      <w:marTop w:val="0"/>
      <w:marBottom w:val="0"/>
      <w:divBdr>
        <w:top w:val="none" w:sz="0" w:space="0" w:color="auto"/>
        <w:left w:val="none" w:sz="0" w:space="0" w:color="auto"/>
        <w:bottom w:val="none" w:sz="0" w:space="0" w:color="auto"/>
        <w:right w:val="none" w:sz="0" w:space="0" w:color="auto"/>
      </w:divBdr>
    </w:div>
    <w:div w:id="406001176">
      <w:bodyDiv w:val="1"/>
      <w:marLeft w:val="0"/>
      <w:marRight w:val="0"/>
      <w:marTop w:val="0"/>
      <w:marBottom w:val="0"/>
      <w:divBdr>
        <w:top w:val="none" w:sz="0" w:space="0" w:color="auto"/>
        <w:left w:val="none" w:sz="0" w:space="0" w:color="auto"/>
        <w:bottom w:val="none" w:sz="0" w:space="0" w:color="auto"/>
        <w:right w:val="none" w:sz="0" w:space="0" w:color="auto"/>
      </w:divBdr>
      <w:divsChild>
        <w:div w:id="1330789200">
          <w:marLeft w:val="0"/>
          <w:marRight w:val="0"/>
          <w:marTop w:val="0"/>
          <w:marBottom w:val="0"/>
          <w:divBdr>
            <w:top w:val="none" w:sz="0" w:space="0" w:color="auto"/>
            <w:left w:val="none" w:sz="0" w:space="0" w:color="auto"/>
            <w:bottom w:val="none" w:sz="0" w:space="0" w:color="auto"/>
            <w:right w:val="none" w:sz="0" w:space="0" w:color="auto"/>
          </w:divBdr>
          <w:divsChild>
            <w:div w:id="1993867870">
              <w:marLeft w:val="0"/>
              <w:marRight w:val="0"/>
              <w:marTop w:val="0"/>
              <w:marBottom w:val="450"/>
              <w:divBdr>
                <w:top w:val="none" w:sz="0" w:space="0" w:color="auto"/>
                <w:left w:val="none" w:sz="0" w:space="0" w:color="auto"/>
                <w:bottom w:val="none" w:sz="0" w:space="0" w:color="auto"/>
                <w:right w:val="none" w:sz="0" w:space="0" w:color="auto"/>
              </w:divBdr>
              <w:divsChild>
                <w:div w:id="1210652556">
                  <w:marLeft w:val="0"/>
                  <w:marRight w:val="0"/>
                  <w:marTop w:val="0"/>
                  <w:marBottom w:val="0"/>
                  <w:divBdr>
                    <w:top w:val="none" w:sz="0" w:space="0" w:color="auto"/>
                    <w:left w:val="none" w:sz="0" w:space="0" w:color="auto"/>
                    <w:bottom w:val="none" w:sz="0" w:space="0" w:color="auto"/>
                    <w:right w:val="none" w:sz="0" w:space="0" w:color="auto"/>
                  </w:divBdr>
                  <w:divsChild>
                    <w:div w:id="1061709523">
                      <w:marLeft w:val="-225"/>
                      <w:marRight w:val="-225"/>
                      <w:marTop w:val="0"/>
                      <w:marBottom w:val="0"/>
                      <w:divBdr>
                        <w:top w:val="none" w:sz="0" w:space="0" w:color="auto"/>
                        <w:left w:val="none" w:sz="0" w:space="0" w:color="auto"/>
                        <w:bottom w:val="none" w:sz="0" w:space="0" w:color="auto"/>
                        <w:right w:val="none" w:sz="0" w:space="0" w:color="auto"/>
                      </w:divBdr>
                      <w:divsChild>
                        <w:div w:id="1544710473">
                          <w:marLeft w:val="0"/>
                          <w:marRight w:val="0"/>
                          <w:marTop w:val="0"/>
                          <w:marBottom w:val="0"/>
                          <w:divBdr>
                            <w:top w:val="none" w:sz="0" w:space="0" w:color="auto"/>
                            <w:left w:val="none" w:sz="0" w:space="0" w:color="auto"/>
                            <w:bottom w:val="none" w:sz="0" w:space="0" w:color="auto"/>
                            <w:right w:val="none" w:sz="0" w:space="0" w:color="auto"/>
                          </w:divBdr>
                          <w:divsChild>
                            <w:div w:id="1403791328">
                              <w:marLeft w:val="0"/>
                              <w:marRight w:val="0"/>
                              <w:marTop w:val="0"/>
                              <w:marBottom w:val="0"/>
                              <w:divBdr>
                                <w:top w:val="none" w:sz="0" w:space="0" w:color="auto"/>
                                <w:left w:val="none" w:sz="0" w:space="0" w:color="auto"/>
                                <w:bottom w:val="none" w:sz="0" w:space="0" w:color="auto"/>
                                <w:right w:val="none" w:sz="0" w:space="0" w:color="auto"/>
                              </w:divBdr>
                              <w:divsChild>
                                <w:div w:id="108164079">
                                  <w:marLeft w:val="-225"/>
                                  <w:marRight w:val="-225"/>
                                  <w:marTop w:val="0"/>
                                  <w:marBottom w:val="0"/>
                                  <w:divBdr>
                                    <w:top w:val="none" w:sz="0" w:space="0" w:color="auto"/>
                                    <w:left w:val="none" w:sz="0" w:space="0" w:color="auto"/>
                                    <w:bottom w:val="none" w:sz="0" w:space="0" w:color="auto"/>
                                    <w:right w:val="none" w:sz="0" w:space="0" w:color="auto"/>
                                  </w:divBdr>
                                  <w:divsChild>
                                    <w:div w:id="934050154">
                                      <w:marLeft w:val="0"/>
                                      <w:marRight w:val="0"/>
                                      <w:marTop w:val="0"/>
                                      <w:marBottom w:val="0"/>
                                      <w:divBdr>
                                        <w:top w:val="none" w:sz="0" w:space="0" w:color="auto"/>
                                        <w:left w:val="none" w:sz="0" w:space="0" w:color="auto"/>
                                        <w:bottom w:val="none" w:sz="0" w:space="0" w:color="auto"/>
                                        <w:right w:val="none" w:sz="0" w:space="0" w:color="auto"/>
                                      </w:divBdr>
                                      <w:divsChild>
                                        <w:div w:id="1881091190">
                                          <w:marLeft w:val="0"/>
                                          <w:marRight w:val="0"/>
                                          <w:marTop w:val="0"/>
                                          <w:marBottom w:val="0"/>
                                          <w:divBdr>
                                            <w:top w:val="none" w:sz="0" w:space="0" w:color="auto"/>
                                            <w:left w:val="none" w:sz="0" w:space="0" w:color="auto"/>
                                            <w:bottom w:val="none" w:sz="0" w:space="0" w:color="auto"/>
                                            <w:right w:val="none" w:sz="0" w:space="0" w:color="auto"/>
                                          </w:divBdr>
                                          <w:divsChild>
                                            <w:div w:id="968901760">
                                              <w:marLeft w:val="0"/>
                                              <w:marRight w:val="0"/>
                                              <w:marTop w:val="0"/>
                                              <w:marBottom w:val="0"/>
                                              <w:divBdr>
                                                <w:top w:val="none" w:sz="0" w:space="0" w:color="auto"/>
                                                <w:left w:val="none" w:sz="0" w:space="0" w:color="auto"/>
                                                <w:bottom w:val="none" w:sz="0" w:space="0" w:color="auto"/>
                                                <w:right w:val="none" w:sz="0" w:space="0" w:color="auto"/>
                                              </w:divBdr>
                                              <w:divsChild>
                                                <w:div w:id="1934973303">
                                                  <w:marLeft w:val="0"/>
                                                  <w:marRight w:val="0"/>
                                                  <w:marTop w:val="0"/>
                                                  <w:marBottom w:val="0"/>
                                                  <w:divBdr>
                                                    <w:top w:val="none" w:sz="0" w:space="0" w:color="auto"/>
                                                    <w:left w:val="none" w:sz="0" w:space="0" w:color="auto"/>
                                                    <w:bottom w:val="none" w:sz="0" w:space="0" w:color="auto"/>
                                                    <w:right w:val="none" w:sz="0" w:space="0" w:color="auto"/>
                                                  </w:divBdr>
                                                  <w:divsChild>
                                                    <w:div w:id="2039962073">
                                                      <w:marLeft w:val="0"/>
                                                      <w:marRight w:val="0"/>
                                                      <w:marTop w:val="0"/>
                                                      <w:marBottom w:val="0"/>
                                                      <w:divBdr>
                                                        <w:top w:val="none" w:sz="0" w:space="0" w:color="auto"/>
                                                        <w:left w:val="none" w:sz="0" w:space="0" w:color="auto"/>
                                                        <w:bottom w:val="none" w:sz="0" w:space="0" w:color="auto"/>
                                                        <w:right w:val="none" w:sz="0" w:space="0" w:color="auto"/>
                                                      </w:divBdr>
                                                      <w:divsChild>
                                                        <w:div w:id="1625186627">
                                                          <w:marLeft w:val="0"/>
                                                          <w:marRight w:val="0"/>
                                                          <w:marTop w:val="0"/>
                                                          <w:marBottom w:val="0"/>
                                                          <w:divBdr>
                                                            <w:top w:val="none" w:sz="0" w:space="0" w:color="auto"/>
                                                            <w:left w:val="none" w:sz="0" w:space="0" w:color="auto"/>
                                                            <w:bottom w:val="none" w:sz="0" w:space="0" w:color="auto"/>
                                                            <w:right w:val="none" w:sz="0" w:space="0" w:color="auto"/>
                                                          </w:divBdr>
                                                          <w:divsChild>
                                                            <w:div w:id="685135247">
                                                              <w:marLeft w:val="0"/>
                                                              <w:marRight w:val="0"/>
                                                              <w:marTop w:val="0"/>
                                                              <w:marBottom w:val="0"/>
                                                              <w:divBdr>
                                                                <w:top w:val="none" w:sz="0" w:space="0" w:color="auto"/>
                                                                <w:left w:val="none" w:sz="0" w:space="0" w:color="auto"/>
                                                                <w:bottom w:val="none" w:sz="0" w:space="0" w:color="auto"/>
                                                                <w:right w:val="none" w:sz="0" w:space="0" w:color="auto"/>
                                                              </w:divBdr>
                                                              <w:divsChild>
                                                                <w:div w:id="5817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37718">
      <w:bodyDiv w:val="1"/>
      <w:marLeft w:val="0"/>
      <w:marRight w:val="0"/>
      <w:marTop w:val="0"/>
      <w:marBottom w:val="0"/>
      <w:divBdr>
        <w:top w:val="none" w:sz="0" w:space="0" w:color="auto"/>
        <w:left w:val="none" w:sz="0" w:space="0" w:color="auto"/>
        <w:bottom w:val="none" w:sz="0" w:space="0" w:color="auto"/>
        <w:right w:val="none" w:sz="0" w:space="0" w:color="auto"/>
      </w:divBdr>
      <w:divsChild>
        <w:div w:id="801846721">
          <w:marLeft w:val="0"/>
          <w:marRight w:val="0"/>
          <w:marTop w:val="0"/>
          <w:marBottom w:val="0"/>
          <w:divBdr>
            <w:top w:val="none" w:sz="0" w:space="0" w:color="auto"/>
            <w:left w:val="none" w:sz="0" w:space="0" w:color="auto"/>
            <w:bottom w:val="none" w:sz="0" w:space="0" w:color="auto"/>
            <w:right w:val="none" w:sz="0" w:space="0" w:color="auto"/>
          </w:divBdr>
        </w:div>
        <w:div w:id="853496198">
          <w:marLeft w:val="0"/>
          <w:marRight w:val="0"/>
          <w:marTop w:val="0"/>
          <w:marBottom w:val="0"/>
          <w:divBdr>
            <w:top w:val="none" w:sz="0" w:space="0" w:color="auto"/>
            <w:left w:val="none" w:sz="0" w:space="0" w:color="auto"/>
            <w:bottom w:val="none" w:sz="0" w:space="0" w:color="auto"/>
            <w:right w:val="none" w:sz="0" w:space="0" w:color="auto"/>
          </w:divBdr>
        </w:div>
        <w:div w:id="728384984">
          <w:marLeft w:val="0"/>
          <w:marRight w:val="0"/>
          <w:marTop w:val="0"/>
          <w:marBottom w:val="0"/>
          <w:divBdr>
            <w:top w:val="none" w:sz="0" w:space="0" w:color="auto"/>
            <w:left w:val="none" w:sz="0" w:space="0" w:color="auto"/>
            <w:bottom w:val="none" w:sz="0" w:space="0" w:color="auto"/>
            <w:right w:val="none" w:sz="0" w:space="0" w:color="auto"/>
          </w:divBdr>
        </w:div>
      </w:divsChild>
    </w:div>
    <w:div w:id="446972928">
      <w:bodyDiv w:val="1"/>
      <w:marLeft w:val="0"/>
      <w:marRight w:val="0"/>
      <w:marTop w:val="0"/>
      <w:marBottom w:val="0"/>
      <w:divBdr>
        <w:top w:val="none" w:sz="0" w:space="0" w:color="auto"/>
        <w:left w:val="none" w:sz="0" w:space="0" w:color="auto"/>
        <w:bottom w:val="none" w:sz="0" w:space="0" w:color="auto"/>
        <w:right w:val="none" w:sz="0" w:space="0" w:color="auto"/>
      </w:divBdr>
    </w:div>
    <w:div w:id="470706787">
      <w:bodyDiv w:val="1"/>
      <w:marLeft w:val="0"/>
      <w:marRight w:val="0"/>
      <w:marTop w:val="0"/>
      <w:marBottom w:val="0"/>
      <w:divBdr>
        <w:top w:val="none" w:sz="0" w:space="0" w:color="auto"/>
        <w:left w:val="none" w:sz="0" w:space="0" w:color="auto"/>
        <w:bottom w:val="none" w:sz="0" w:space="0" w:color="auto"/>
        <w:right w:val="none" w:sz="0" w:space="0" w:color="auto"/>
      </w:divBdr>
      <w:divsChild>
        <w:div w:id="1635676539">
          <w:marLeft w:val="0"/>
          <w:marRight w:val="0"/>
          <w:marTop w:val="0"/>
          <w:marBottom w:val="0"/>
          <w:divBdr>
            <w:top w:val="none" w:sz="0" w:space="0" w:color="auto"/>
            <w:left w:val="none" w:sz="0" w:space="0" w:color="auto"/>
            <w:bottom w:val="none" w:sz="0" w:space="0" w:color="auto"/>
            <w:right w:val="none" w:sz="0" w:space="0" w:color="auto"/>
          </w:divBdr>
          <w:divsChild>
            <w:div w:id="725108677">
              <w:marLeft w:val="0"/>
              <w:marRight w:val="0"/>
              <w:marTop w:val="0"/>
              <w:marBottom w:val="150"/>
              <w:divBdr>
                <w:top w:val="none" w:sz="0" w:space="0" w:color="auto"/>
                <w:left w:val="none" w:sz="0" w:space="0" w:color="auto"/>
                <w:bottom w:val="none" w:sz="0" w:space="0" w:color="auto"/>
                <w:right w:val="none" w:sz="0" w:space="0" w:color="auto"/>
              </w:divBdr>
              <w:divsChild>
                <w:div w:id="400179596">
                  <w:marLeft w:val="0"/>
                  <w:marRight w:val="0"/>
                  <w:marTop w:val="0"/>
                  <w:marBottom w:val="0"/>
                  <w:divBdr>
                    <w:top w:val="none" w:sz="0" w:space="0" w:color="auto"/>
                    <w:left w:val="none" w:sz="0" w:space="0" w:color="auto"/>
                    <w:bottom w:val="none" w:sz="0" w:space="0" w:color="auto"/>
                    <w:right w:val="none" w:sz="0" w:space="0" w:color="auto"/>
                  </w:divBdr>
                  <w:divsChild>
                    <w:div w:id="1858618263">
                      <w:marLeft w:val="0"/>
                      <w:marRight w:val="0"/>
                      <w:marTop w:val="0"/>
                      <w:marBottom w:val="0"/>
                      <w:divBdr>
                        <w:top w:val="none" w:sz="0" w:space="0" w:color="auto"/>
                        <w:left w:val="none" w:sz="0" w:space="0" w:color="auto"/>
                        <w:bottom w:val="none" w:sz="0" w:space="0" w:color="auto"/>
                        <w:right w:val="none" w:sz="0" w:space="0" w:color="auto"/>
                      </w:divBdr>
                      <w:divsChild>
                        <w:div w:id="1645886708">
                          <w:marLeft w:val="0"/>
                          <w:marRight w:val="0"/>
                          <w:marTop w:val="0"/>
                          <w:marBottom w:val="0"/>
                          <w:divBdr>
                            <w:top w:val="none" w:sz="0" w:space="0" w:color="auto"/>
                            <w:left w:val="none" w:sz="0" w:space="0" w:color="auto"/>
                            <w:bottom w:val="none" w:sz="0" w:space="0" w:color="auto"/>
                            <w:right w:val="none" w:sz="0" w:space="0" w:color="auto"/>
                          </w:divBdr>
                          <w:divsChild>
                            <w:div w:id="1214198880">
                              <w:marLeft w:val="0"/>
                              <w:marRight w:val="0"/>
                              <w:marTop w:val="0"/>
                              <w:marBottom w:val="0"/>
                              <w:divBdr>
                                <w:top w:val="none" w:sz="0" w:space="0" w:color="auto"/>
                                <w:left w:val="none" w:sz="0" w:space="0" w:color="auto"/>
                                <w:bottom w:val="none" w:sz="0" w:space="0" w:color="auto"/>
                                <w:right w:val="none" w:sz="0" w:space="0" w:color="auto"/>
                              </w:divBdr>
                              <w:divsChild>
                                <w:div w:id="1288849328">
                                  <w:marLeft w:val="0"/>
                                  <w:marRight w:val="-3600"/>
                                  <w:marTop w:val="150"/>
                                  <w:marBottom w:val="0"/>
                                  <w:divBdr>
                                    <w:top w:val="none" w:sz="0" w:space="0" w:color="auto"/>
                                    <w:left w:val="none" w:sz="0" w:space="0" w:color="auto"/>
                                    <w:bottom w:val="none" w:sz="0" w:space="0" w:color="auto"/>
                                    <w:right w:val="none" w:sz="0" w:space="0" w:color="auto"/>
                                  </w:divBdr>
                                  <w:divsChild>
                                    <w:div w:id="1284918493">
                                      <w:marLeft w:val="0"/>
                                      <w:marRight w:val="3600"/>
                                      <w:marTop w:val="0"/>
                                      <w:marBottom w:val="0"/>
                                      <w:divBdr>
                                        <w:top w:val="none" w:sz="0" w:space="0" w:color="auto"/>
                                        <w:left w:val="none" w:sz="0" w:space="0" w:color="auto"/>
                                        <w:bottom w:val="none" w:sz="0" w:space="0" w:color="auto"/>
                                        <w:right w:val="none" w:sz="0" w:space="0" w:color="auto"/>
                                      </w:divBdr>
                                      <w:divsChild>
                                        <w:div w:id="208149641">
                                          <w:marLeft w:val="0"/>
                                          <w:marRight w:val="0"/>
                                          <w:marTop w:val="0"/>
                                          <w:marBottom w:val="0"/>
                                          <w:divBdr>
                                            <w:top w:val="none" w:sz="0" w:space="0" w:color="auto"/>
                                            <w:left w:val="none" w:sz="0" w:space="0" w:color="auto"/>
                                            <w:bottom w:val="none" w:sz="0" w:space="0" w:color="auto"/>
                                            <w:right w:val="none" w:sz="0" w:space="0" w:color="auto"/>
                                          </w:divBdr>
                                          <w:divsChild>
                                            <w:div w:id="362441452">
                                              <w:marLeft w:val="0"/>
                                              <w:marRight w:val="0"/>
                                              <w:marTop w:val="0"/>
                                              <w:marBottom w:val="0"/>
                                              <w:divBdr>
                                                <w:top w:val="none" w:sz="0" w:space="0" w:color="auto"/>
                                                <w:left w:val="none" w:sz="0" w:space="0" w:color="auto"/>
                                                <w:bottom w:val="none" w:sz="0" w:space="0" w:color="auto"/>
                                                <w:right w:val="none" w:sz="0" w:space="0" w:color="auto"/>
                                              </w:divBdr>
                                              <w:divsChild>
                                                <w:div w:id="1610506471">
                                                  <w:marLeft w:val="0"/>
                                                  <w:marRight w:val="0"/>
                                                  <w:marTop w:val="0"/>
                                                  <w:marBottom w:val="0"/>
                                                  <w:divBdr>
                                                    <w:top w:val="none" w:sz="0" w:space="0" w:color="auto"/>
                                                    <w:left w:val="none" w:sz="0" w:space="0" w:color="auto"/>
                                                    <w:bottom w:val="none" w:sz="0" w:space="0" w:color="auto"/>
                                                    <w:right w:val="none" w:sz="0" w:space="0" w:color="auto"/>
                                                  </w:divBdr>
                                                  <w:divsChild>
                                                    <w:div w:id="455493593">
                                                      <w:marLeft w:val="0"/>
                                                      <w:marRight w:val="0"/>
                                                      <w:marTop w:val="0"/>
                                                      <w:marBottom w:val="0"/>
                                                      <w:divBdr>
                                                        <w:top w:val="none" w:sz="0" w:space="0" w:color="auto"/>
                                                        <w:left w:val="none" w:sz="0" w:space="0" w:color="auto"/>
                                                        <w:bottom w:val="none" w:sz="0" w:space="0" w:color="auto"/>
                                                        <w:right w:val="none" w:sz="0" w:space="0" w:color="auto"/>
                                                      </w:divBdr>
                                                      <w:divsChild>
                                                        <w:div w:id="682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514787">
      <w:bodyDiv w:val="1"/>
      <w:marLeft w:val="0"/>
      <w:marRight w:val="0"/>
      <w:marTop w:val="0"/>
      <w:marBottom w:val="0"/>
      <w:divBdr>
        <w:top w:val="none" w:sz="0" w:space="0" w:color="auto"/>
        <w:left w:val="none" w:sz="0" w:space="0" w:color="auto"/>
        <w:bottom w:val="none" w:sz="0" w:space="0" w:color="auto"/>
        <w:right w:val="none" w:sz="0" w:space="0" w:color="auto"/>
      </w:divBdr>
    </w:div>
    <w:div w:id="575744209">
      <w:bodyDiv w:val="1"/>
      <w:marLeft w:val="0"/>
      <w:marRight w:val="0"/>
      <w:marTop w:val="0"/>
      <w:marBottom w:val="0"/>
      <w:divBdr>
        <w:top w:val="none" w:sz="0" w:space="0" w:color="auto"/>
        <w:left w:val="none" w:sz="0" w:space="0" w:color="auto"/>
        <w:bottom w:val="none" w:sz="0" w:space="0" w:color="auto"/>
        <w:right w:val="none" w:sz="0" w:space="0" w:color="auto"/>
      </w:divBdr>
      <w:divsChild>
        <w:div w:id="2019962093">
          <w:marLeft w:val="0"/>
          <w:marRight w:val="0"/>
          <w:marTop w:val="0"/>
          <w:marBottom w:val="0"/>
          <w:divBdr>
            <w:top w:val="none" w:sz="0" w:space="0" w:color="auto"/>
            <w:left w:val="none" w:sz="0" w:space="0" w:color="auto"/>
            <w:bottom w:val="none" w:sz="0" w:space="0" w:color="auto"/>
            <w:right w:val="none" w:sz="0" w:space="0" w:color="auto"/>
          </w:divBdr>
          <w:divsChild>
            <w:div w:id="1858034007">
              <w:marLeft w:val="0"/>
              <w:marRight w:val="0"/>
              <w:marTop w:val="0"/>
              <w:marBottom w:val="0"/>
              <w:divBdr>
                <w:top w:val="none" w:sz="0" w:space="0" w:color="auto"/>
                <w:left w:val="none" w:sz="0" w:space="0" w:color="auto"/>
                <w:bottom w:val="none" w:sz="0" w:space="0" w:color="auto"/>
                <w:right w:val="none" w:sz="0" w:space="0" w:color="auto"/>
              </w:divBdr>
              <w:divsChild>
                <w:div w:id="1388721546">
                  <w:marLeft w:val="0"/>
                  <w:marRight w:val="0"/>
                  <w:marTop w:val="0"/>
                  <w:marBottom w:val="0"/>
                  <w:divBdr>
                    <w:top w:val="none" w:sz="0" w:space="0" w:color="auto"/>
                    <w:left w:val="none" w:sz="0" w:space="0" w:color="auto"/>
                    <w:bottom w:val="none" w:sz="0" w:space="0" w:color="auto"/>
                    <w:right w:val="none" w:sz="0" w:space="0" w:color="auto"/>
                  </w:divBdr>
                  <w:divsChild>
                    <w:div w:id="1406414983">
                      <w:marLeft w:val="0"/>
                      <w:marRight w:val="0"/>
                      <w:marTop w:val="0"/>
                      <w:marBottom w:val="0"/>
                      <w:divBdr>
                        <w:top w:val="none" w:sz="0" w:space="0" w:color="auto"/>
                        <w:left w:val="none" w:sz="0" w:space="0" w:color="auto"/>
                        <w:bottom w:val="none" w:sz="0" w:space="0" w:color="auto"/>
                        <w:right w:val="none" w:sz="0" w:space="0" w:color="auto"/>
                      </w:divBdr>
                    </w:div>
                  </w:divsChild>
                </w:div>
                <w:div w:id="203257890">
                  <w:marLeft w:val="0"/>
                  <w:marRight w:val="0"/>
                  <w:marTop w:val="0"/>
                  <w:marBottom w:val="0"/>
                  <w:divBdr>
                    <w:top w:val="none" w:sz="0" w:space="0" w:color="auto"/>
                    <w:left w:val="none" w:sz="0" w:space="0" w:color="auto"/>
                    <w:bottom w:val="none" w:sz="0" w:space="0" w:color="auto"/>
                    <w:right w:val="none" w:sz="0" w:space="0" w:color="auto"/>
                  </w:divBdr>
                  <w:divsChild>
                    <w:div w:id="2592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1042">
      <w:bodyDiv w:val="1"/>
      <w:marLeft w:val="0"/>
      <w:marRight w:val="0"/>
      <w:marTop w:val="0"/>
      <w:marBottom w:val="0"/>
      <w:divBdr>
        <w:top w:val="none" w:sz="0" w:space="0" w:color="auto"/>
        <w:left w:val="none" w:sz="0" w:space="0" w:color="auto"/>
        <w:bottom w:val="none" w:sz="0" w:space="0" w:color="auto"/>
        <w:right w:val="none" w:sz="0" w:space="0" w:color="auto"/>
      </w:divBdr>
    </w:div>
    <w:div w:id="594946412">
      <w:bodyDiv w:val="1"/>
      <w:marLeft w:val="0"/>
      <w:marRight w:val="0"/>
      <w:marTop w:val="0"/>
      <w:marBottom w:val="0"/>
      <w:divBdr>
        <w:top w:val="none" w:sz="0" w:space="0" w:color="auto"/>
        <w:left w:val="none" w:sz="0" w:space="0" w:color="auto"/>
        <w:bottom w:val="none" w:sz="0" w:space="0" w:color="auto"/>
        <w:right w:val="none" w:sz="0" w:space="0" w:color="auto"/>
      </w:divBdr>
    </w:div>
    <w:div w:id="607274443">
      <w:bodyDiv w:val="1"/>
      <w:marLeft w:val="0"/>
      <w:marRight w:val="0"/>
      <w:marTop w:val="0"/>
      <w:marBottom w:val="0"/>
      <w:divBdr>
        <w:top w:val="none" w:sz="0" w:space="0" w:color="auto"/>
        <w:left w:val="none" w:sz="0" w:space="0" w:color="auto"/>
        <w:bottom w:val="none" w:sz="0" w:space="0" w:color="auto"/>
        <w:right w:val="none" w:sz="0" w:space="0" w:color="auto"/>
      </w:divBdr>
      <w:divsChild>
        <w:div w:id="2083983992">
          <w:marLeft w:val="0"/>
          <w:marRight w:val="0"/>
          <w:marTop w:val="0"/>
          <w:marBottom w:val="0"/>
          <w:divBdr>
            <w:top w:val="none" w:sz="0" w:space="0" w:color="auto"/>
            <w:left w:val="none" w:sz="0" w:space="0" w:color="auto"/>
            <w:bottom w:val="none" w:sz="0" w:space="0" w:color="auto"/>
            <w:right w:val="none" w:sz="0" w:space="0" w:color="auto"/>
          </w:divBdr>
          <w:divsChild>
            <w:div w:id="1921450658">
              <w:marLeft w:val="-150"/>
              <w:marRight w:val="-150"/>
              <w:marTop w:val="0"/>
              <w:marBottom w:val="0"/>
              <w:divBdr>
                <w:top w:val="none" w:sz="0" w:space="0" w:color="auto"/>
                <w:left w:val="none" w:sz="0" w:space="0" w:color="auto"/>
                <w:bottom w:val="none" w:sz="0" w:space="0" w:color="auto"/>
                <w:right w:val="none" w:sz="0" w:space="0" w:color="auto"/>
              </w:divBdr>
              <w:divsChild>
                <w:div w:id="1905487686">
                  <w:marLeft w:val="0"/>
                  <w:marRight w:val="0"/>
                  <w:marTop w:val="0"/>
                  <w:marBottom w:val="0"/>
                  <w:divBdr>
                    <w:top w:val="none" w:sz="0" w:space="0" w:color="auto"/>
                    <w:left w:val="none" w:sz="0" w:space="0" w:color="auto"/>
                    <w:bottom w:val="none" w:sz="0" w:space="0" w:color="auto"/>
                    <w:right w:val="none" w:sz="0" w:space="0" w:color="auto"/>
                  </w:divBdr>
                  <w:divsChild>
                    <w:div w:id="186724288">
                      <w:marLeft w:val="0"/>
                      <w:marRight w:val="0"/>
                      <w:marTop w:val="0"/>
                      <w:marBottom w:val="0"/>
                      <w:divBdr>
                        <w:top w:val="none" w:sz="0" w:space="0" w:color="auto"/>
                        <w:left w:val="none" w:sz="0" w:space="0" w:color="auto"/>
                        <w:bottom w:val="none" w:sz="0" w:space="0" w:color="auto"/>
                        <w:right w:val="none" w:sz="0" w:space="0" w:color="auto"/>
                      </w:divBdr>
                      <w:divsChild>
                        <w:div w:id="621807750">
                          <w:marLeft w:val="0"/>
                          <w:marRight w:val="0"/>
                          <w:marTop w:val="0"/>
                          <w:marBottom w:val="0"/>
                          <w:divBdr>
                            <w:top w:val="none" w:sz="0" w:space="0" w:color="auto"/>
                            <w:left w:val="none" w:sz="0" w:space="0" w:color="auto"/>
                            <w:bottom w:val="none" w:sz="0" w:space="0" w:color="auto"/>
                            <w:right w:val="none" w:sz="0" w:space="0" w:color="auto"/>
                          </w:divBdr>
                          <w:divsChild>
                            <w:div w:id="522479951">
                              <w:marLeft w:val="0"/>
                              <w:marRight w:val="0"/>
                              <w:marTop w:val="0"/>
                              <w:marBottom w:val="0"/>
                              <w:divBdr>
                                <w:top w:val="none" w:sz="0" w:space="0" w:color="auto"/>
                                <w:left w:val="none" w:sz="0" w:space="0" w:color="auto"/>
                                <w:bottom w:val="none" w:sz="0" w:space="0" w:color="auto"/>
                                <w:right w:val="none" w:sz="0" w:space="0" w:color="auto"/>
                              </w:divBdr>
                              <w:divsChild>
                                <w:div w:id="908225234">
                                  <w:marLeft w:val="0"/>
                                  <w:marRight w:val="0"/>
                                  <w:marTop w:val="0"/>
                                  <w:marBottom w:val="0"/>
                                  <w:divBdr>
                                    <w:top w:val="none" w:sz="0" w:space="0" w:color="auto"/>
                                    <w:left w:val="none" w:sz="0" w:space="0" w:color="auto"/>
                                    <w:bottom w:val="none" w:sz="0" w:space="0" w:color="auto"/>
                                    <w:right w:val="none" w:sz="0" w:space="0" w:color="auto"/>
                                  </w:divBdr>
                                  <w:divsChild>
                                    <w:div w:id="992217417">
                                      <w:marLeft w:val="0"/>
                                      <w:marRight w:val="0"/>
                                      <w:marTop w:val="0"/>
                                      <w:marBottom w:val="0"/>
                                      <w:divBdr>
                                        <w:top w:val="none" w:sz="0" w:space="0" w:color="auto"/>
                                        <w:left w:val="none" w:sz="0" w:space="0" w:color="auto"/>
                                        <w:bottom w:val="none" w:sz="0" w:space="0" w:color="auto"/>
                                        <w:right w:val="none" w:sz="0" w:space="0" w:color="auto"/>
                                      </w:divBdr>
                                      <w:divsChild>
                                        <w:div w:id="1117874248">
                                          <w:marLeft w:val="0"/>
                                          <w:marRight w:val="0"/>
                                          <w:marTop w:val="0"/>
                                          <w:marBottom w:val="0"/>
                                          <w:divBdr>
                                            <w:top w:val="none" w:sz="0" w:space="0" w:color="auto"/>
                                            <w:left w:val="none" w:sz="0" w:space="0" w:color="auto"/>
                                            <w:bottom w:val="none" w:sz="0" w:space="0" w:color="auto"/>
                                            <w:right w:val="none" w:sz="0" w:space="0" w:color="auto"/>
                                          </w:divBdr>
                                          <w:divsChild>
                                            <w:div w:id="2097357004">
                                              <w:marLeft w:val="0"/>
                                              <w:marRight w:val="0"/>
                                              <w:marTop w:val="0"/>
                                              <w:marBottom w:val="0"/>
                                              <w:divBdr>
                                                <w:top w:val="none" w:sz="0" w:space="0" w:color="auto"/>
                                                <w:left w:val="none" w:sz="0" w:space="0" w:color="auto"/>
                                                <w:bottom w:val="none" w:sz="0" w:space="0" w:color="auto"/>
                                                <w:right w:val="none" w:sz="0" w:space="0" w:color="auto"/>
                                              </w:divBdr>
                                              <w:divsChild>
                                                <w:div w:id="749429997">
                                                  <w:marLeft w:val="0"/>
                                                  <w:marRight w:val="0"/>
                                                  <w:marTop w:val="0"/>
                                                  <w:marBottom w:val="0"/>
                                                  <w:divBdr>
                                                    <w:top w:val="none" w:sz="0" w:space="0" w:color="auto"/>
                                                    <w:left w:val="none" w:sz="0" w:space="0" w:color="auto"/>
                                                    <w:bottom w:val="none" w:sz="0" w:space="0" w:color="auto"/>
                                                    <w:right w:val="none" w:sz="0" w:space="0" w:color="auto"/>
                                                  </w:divBdr>
                                                  <w:divsChild>
                                                    <w:div w:id="445082472">
                                                      <w:marLeft w:val="0"/>
                                                      <w:marRight w:val="0"/>
                                                      <w:marTop w:val="0"/>
                                                      <w:marBottom w:val="0"/>
                                                      <w:divBdr>
                                                        <w:top w:val="none" w:sz="0" w:space="0" w:color="auto"/>
                                                        <w:left w:val="none" w:sz="0" w:space="0" w:color="auto"/>
                                                        <w:bottom w:val="none" w:sz="0" w:space="0" w:color="auto"/>
                                                        <w:right w:val="none" w:sz="0" w:space="0" w:color="auto"/>
                                                      </w:divBdr>
                                                      <w:divsChild>
                                                        <w:div w:id="15920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3219852">
      <w:bodyDiv w:val="1"/>
      <w:marLeft w:val="0"/>
      <w:marRight w:val="0"/>
      <w:marTop w:val="0"/>
      <w:marBottom w:val="0"/>
      <w:divBdr>
        <w:top w:val="none" w:sz="0" w:space="0" w:color="auto"/>
        <w:left w:val="none" w:sz="0" w:space="0" w:color="auto"/>
        <w:bottom w:val="none" w:sz="0" w:space="0" w:color="auto"/>
        <w:right w:val="none" w:sz="0" w:space="0" w:color="auto"/>
      </w:divBdr>
    </w:div>
    <w:div w:id="640429995">
      <w:bodyDiv w:val="1"/>
      <w:marLeft w:val="0"/>
      <w:marRight w:val="0"/>
      <w:marTop w:val="0"/>
      <w:marBottom w:val="0"/>
      <w:divBdr>
        <w:top w:val="none" w:sz="0" w:space="0" w:color="auto"/>
        <w:left w:val="none" w:sz="0" w:space="0" w:color="auto"/>
        <w:bottom w:val="none" w:sz="0" w:space="0" w:color="auto"/>
        <w:right w:val="none" w:sz="0" w:space="0" w:color="auto"/>
      </w:divBdr>
      <w:divsChild>
        <w:div w:id="465854368">
          <w:marLeft w:val="0"/>
          <w:marRight w:val="0"/>
          <w:marTop w:val="0"/>
          <w:marBottom w:val="0"/>
          <w:divBdr>
            <w:top w:val="none" w:sz="0" w:space="0" w:color="auto"/>
            <w:left w:val="none" w:sz="0" w:space="0" w:color="auto"/>
            <w:bottom w:val="none" w:sz="0" w:space="0" w:color="auto"/>
            <w:right w:val="none" w:sz="0" w:space="0" w:color="auto"/>
          </w:divBdr>
          <w:divsChild>
            <w:div w:id="8652287">
              <w:marLeft w:val="0"/>
              <w:marRight w:val="0"/>
              <w:marTop w:val="0"/>
              <w:marBottom w:val="0"/>
              <w:divBdr>
                <w:top w:val="none" w:sz="0" w:space="0" w:color="auto"/>
                <w:left w:val="none" w:sz="0" w:space="0" w:color="auto"/>
                <w:bottom w:val="none" w:sz="0" w:space="0" w:color="auto"/>
                <w:right w:val="none" w:sz="0" w:space="0" w:color="auto"/>
              </w:divBdr>
              <w:divsChild>
                <w:div w:id="1850944922">
                  <w:marLeft w:val="0"/>
                  <w:marRight w:val="0"/>
                  <w:marTop w:val="0"/>
                  <w:marBottom w:val="0"/>
                  <w:divBdr>
                    <w:top w:val="none" w:sz="0" w:space="0" w:color="auto"/>
                    <w:left w:val="none" w:sz="0" w:space="0" w:color="auto"/>
                    <w:bottom w:val="none" w:sz="0" w:space="0" w:color="auto"/>
                    <w:right w:val="none" w:sz="0" w:space="0" w:color="auto"/>
                  </w:divBdr>
                  <w:divsChild>
                    <w:div w:id="1993487066">
                      <w:marLeft w:val="0"/>
                      <w:marRight w:val="0"/>
                      <w:marTop w:val="0"/>
                      <w:marBottom w:val="0"/>
                      <w:divBdr>
                        <w:top w:val="none" w:sz="0" w:space="0" w:color="auto"/>
                        <w:left w:val="none" w:sz="0" w:space="0" w:color="auto"/>
                        <w:bottom w:val="none" w:sz="0" w:space="0" w:color="auto"/>
                        <w:right w:val="none" w:sz="0" w:space="0" w:color="auto"/>
                      </w:divBdr>
                      <w:divsChild>
                        <w:div w:id="1603612705">
                          <w:marLeft w:val="0"/>
                          <w:marRight w:val="0"/>
                          <w:marTop w:val="0"/>
                          <w:marBottom w:val="0"/>
                          <w:divBdr>
                            <w:top w:val="none" w:sz="0" w:space="0" w:color="auto"/>
                            <w:left w:val="none" w:sz="0" w:space="0" w:color="auto"/>
                            <w:bottom w:val="none" w:sz="0" w:space="0" w:color="auto"/>
                            <w:right w:val="none" w:sz="0" w:space="0" w:color="auto"/>
                          </w:divBdr>
                          <w:divsChild>
                            <w:div w:id="485050522">
                              <w:marLeft w:val="0"/>
                              <w:marRight w:val="0"/>
                              <w:marTop w:val="100"/>
                              <w:marBottom w:val="100"/>
                              <w:divBdr>
                                <w:top w:val="none" w:sz="0" w:space="0" w:color="auto"/>
                                <w:left w:val="none" w:sz="0" w:space="0" w:color="auto"/>
                                <w:bottom w:val="none" w:sz="0" w:space="0" w:color="auto"/>
                                <w:right w:val="none" w:sz="0" w:space="0" w:color="auto"/>
                              </w:divBdr>
                              <w:divsChild>
                                <w:div w:id="1590431092">
                                  <w:marLeft w:val="0"/>
                                  <w:marRight w:val="0"/>
                                  <w:marTop w:val="0"/>
                                  <w:marBottom w:val="0"/>
                                  <w:divBdr>
                                    <w:top w:val="none" w:sz="0" w:space="0" w:color="auto"/>
                                    <w:left w:val="none" w:sz="0" w:space="0" w:color="auto"/>
                                    <w:bottom w:val="none" w:sz="0" w:space="0" w:color="auto"/>
                                    <w:right w:val="none" w:sz="0" w:space="0" w:color="auto"/>
                                  </w:divBdr>
                                  <w:divsChild>
                                    <w:div w:id="673454731">
                                      <w:marLeft w:val="0"/>
                                      <w:marRight w:val="0"/>
                                      <w:marTop w:val="0"/>
                                      <w:marBottom w:val="0"/>
                                      <w:divBdr>
                                        <w:top w:val="none" w:sz="0" w:space="0" w:color="auto"/>
                                        <w:left w:val="none" w:sz="0" w:space="0" w:color="auto"/>
                                        <w:bottom w:val="none" w:sz="0" w:space="0" w:color="auto"/>
                                        <w:right w:val="none" w:sz="0" w:space="0" w:color="auto"/>
                                      </w:divBdr>
                                      <w:divsChild>
                                        <w:div w:id="7224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245274">
      <w:bodyDiv w:val="1"/>
      <w:marLeft w:val="0"/>
      <w:marRight w:val="0"/>
      <w:marTop w:val="0"/>
      <w:marBottom w:val="0"/>
      <w:divBdr>
        <w:top w:val="none" w:sz="0" w:space="0" w:color="auto"/>
        <w:left w:val="none" w:sz="0" w:space="0" w:color="auto"/>
        <w:bottom w:val="none" w:sz="0" w:space="0" w:color="auto"/>
        <w:right w:val="none" w:sz="0" w:space="0" w:color="auto"/>
      </w:divBdr>
    </w:div>
    <w:div w:id="654650119">
      <w:bodyDiv w:val="1"/>
      <w:marLeft w:val="0"/>
      <w:marRight w:val="0"/>
      <w:marTop w:val="0"/>
      <w:marBottom w:val="0"/>
      <w:divBdr>
        <w:top w:val="none" w:sz="0" w:space="0" w:color="auto"/>
        <w:left w:val="none" w:sz="0" w:space="0" w:color="auto"/>
        <w:bottom w:val="none" w:sz="0" w:space="0" w:color="auto"/>
        <w:right w:val="none" w:sz="0" w:space="0" w:color="auto"/>
      </w:divBdr>
    </w:div>
    <w:div w:id="681321880">
      <w:bodyDiv w:val="1"/>
      <w:marLeft w:val="0"/>
      <w:marRight w:val="0"/>
      <w:marTop w:val="0"/>
      <w:marBottom w:val="0"/>
      <w:divBdr>
        <w:top w:val="none" w:sz="0" w:space="0" w:color="auto"/>
        <w:left w:val="none" w:sz="0" w:space="0" w:color="auto"/>
        <w:bottom w:val="none" w:sz="0" w:space="0" w:color="auto"/>
        <w:right w:val="none" w:sz="0" w:space="0" w:color="auto"/>
      </w:divBdr>
      <w:divsChild>
        <w:div w:id="1407990612">
          <w:marLeft w:val="0"/>
          <w:marRight w:val="0"/>
          <w:marTop w:val="0"/>
          <w:marBottom w:val="0"/>
          <w:divBdr>
            <w:top w:val="none" w:sz="0" w:space="0" w:color="auto"/>
            <w:left w:val="none" w:sz="0" w:space="0" w:color="auto"/>
            <w:bottom w:val="none" w:sz="0" w:space="0" w:color="auto"/>
            <w:right w:val="none" w:sz="0" w:space="0" w:color="auto"/>
          </w:divBdr>
          <w:divsChild>
            <w:div w:id="1925646909">
              <w:marLeft w:val="0"/>
              <w:marRight w:val="0"/>
              <w:marTop w:val="0"/>
              <w:marBottom w:val="150"/>
              <w:divBdr>
                <w:top w:val="none" w:sz="0" w:space="0" w:color="auto"/>
                <w:left w:val="none" w:sz="0" w:space="0" w:color="auto"/>
                <w:bottom w:val="none" w:sz="0" w:space="0" w:color="auto"/>
                <w:right w:val="none" w:sz="0" w:space="0" w:color="auto"/>
              </w:divBdr>
              <w:divsChild>
                <w:div w:id="1573925180">
                  <w:marLeft w:val="0"/>
                  <w:marRight w:val="0"/>
                  <w:marTop w:val="0"/>
                  <w:marBottom w:val="0"/>
                  <w:divBdr>
                    <w:top w:val="none" w:sz="0" w:space="0" w:color="auto"/>
                    <w:left w:val="none" w:sz="0" w:space="0" w:color="auto"/>
                    <w:bottom w:val="none" w:sz="0" w:space="0" w:color="auto"/>
                    <w:right w:val="none" w:sz="0" w:space="0" w:color="auto"/>
                  </w:divBdr>
                  <w:divsChild>
                    <w:div w:id="24715122">
                      <w:marLeft w:val="0"/>
                      <w:marRight w:val="0"/>
                      <w:marTop w:val="0"/>
                      <w:marBottom w:val="0"/>
                      <w:divBdr>
                        <w:top w:val="none" w:sz="0" w:space="0" w:color="auto"/>
                        <w:left w:val="none" w:sz="0" w:space="0" w:color="auto"/>
                        <w:bottom w:val="none" w:sz="0" w:space="0" w:color="auto"/>
                        <w:right w:val="none" w:sz="0" w:space="0" w:color="auto"/>
                      </w:divBdr>
                      <w:divsChild>
                        <w:div w:id="959068070">
                          <w:marLeft w:val="0"/>
                          <w:marRight w:val="0"/>
                          <w:marTop w:val="0"/>
                          <w:marBottom w:val="0"/>
                          <w:divBdr>
                            <w:top w:val="none" w:sz="0" w:space="0" w:color="auto"/>
                            <w:left w:val="none" w:sz="0" w:space="0" w:color="auto"/>
                            <w:bottom w:val="none" w:sz="0" w:space="0" w:color="auto"/>
                            <w:right w:val="none" w:sz="0" w:space="0" w:color="auto"/>
                          </w:divBdr>
                          <w:divsChild>
                            <w:div w:id="1691562623">
                              <w:marLeft w:val="0"/>
                              <w:marRight w:val="0"/>
                              <w:marTop w:val="0"/>
                              <w:marBottom w:val="0"/>
                              <w:divBdr>
                                <w:top w:val="none" w:sz="0" w:space="0" w:color="auto"/>
                                <w:left w:val="none" w:sz="0" w:space="0" w:color="auto"/>
                                <w:bottom w:val="none" w:sz="0" w:space="0" w:color="auto"/>
                                <w:right w:val="none" w:sz="0" w:space="0" w:color="auto"/>
                              </w:divBdr>
                              <w:divsChild>
                                <w:div w:id="310597644">
                                  <w:marLeft w:val="0"/>
                                  <w:marRight w:val="-3600"/>
                                  <w:marTop w:val="150"/>
                                  <w:marBottom w:val="0"/>
                                  <w:divBdr>
                                    <w:top w:val="none" w:sz="0" w:space="0" w:color="auto"/>
                                    <w:left w:val="none" w:sz="0" w:space="0" w:color="auto"/>
                                    <w:bottom w:val="none" w:sz="0" w:space="0" w:color="auto"/>
                                    <w:right w:val="none" w:sz="0" w:space="0" w:color="auto"/>
                                  </w:divBdr>
                                  <w:divsChild>
                                    <w:div w:id="1005978821">
                                      <w:marLeft w:val="0"/>
                                      <w:marRight w:val="3600"/>
                                      <w:marTop w:val="0"/>
                                      <w:marBottom w:val="0"/>
                                      <w:divBdr>
                                        <w:top w:val="none" w:sz="0" w:space="0" w:color="auto"/>
                                        <w:left w:val="none" w:sz="0" w:space="0" w:color="auto"/>
                                        <w:bottom w:val="none" w:sz="0" w:space="0" w:color="auto"/>
                                        <w:right w:val="none" w:sz="0" w:space="0" w:color="auto"/>
                                      </w:divBdr>
                                      <w:divsChild>
                                        <w:div w:id="581527604">
                                          <w:marLeft w:val="0"/>
                                          <w:marRight w:val="0"/>
                                          <w:marTop w:val="0"/>
                                          <w:marBottom w:val="0"/>
                                          <w:divBdr>
                                            <w:top w:val="none" w:sz="0" w:space="0" w:color="auto"/>
                                            <w:left w:val="none" w:sz="0" w:space="0" w:color="auto"/>
                                            <w:bottom w:val="none" w:sz="0" w:space="0" w:color="auto"/>
                                            <w:right w:val="none" w:sz="0" w:space="0" w:color="auto"/>
                                          </w:divBdr>
                                          <w:divsChild>
                                            <w:div w:id="1922905122">
                                              <w:marLeft w:val="0"/>
                                              <w:marRight w:val="0"/>
                                              <w:marTop w:val="0"/>
                                              <w:marBottom w:val="0"/>
                                              <w:divBdr>
                                                <w:top w:val="none" w:sz="0" w:space="0" w:color="auto"/>
                                                <w:left w:val="none" w:sz="0" w:space="0" w:color="auto"/>
                                                <w:bottom w:val="none" w:sz="0" w:space="0" w:color="auto"/>
                                                <w:right w:val="none" w:sz="0" w:space="0" w:color="auto"/>
                                              </w:divBdr>
                                              <w:divsChild>
                                                <w:div w:id="2061590267">
                                                  <w:marLeft w:val="0"/>
                                                  <w:marRight w:val="0"/>
                                                  <w:marTop w:val="0"/>
                                                  <w:marBottom w:val="0"/>
                                                  <w:divBdr>
                                                    <w:top w:val="none" w:sz="0" w:space="0" w:color="auto"/>
                                                    <w:left w:val="none" w:sz="0" w:space="0" w:color="auto"/>
                                                    <w:bottom w:val="none" w:sz="0" w:space="0" w:color="auto"/>
                                                    <w:right w:val="none" w:sz="0" w:space="0" w:color="auto"/>
                                                  </w:divBdr>
                                                  <w:divsChild>
                                                    <w:div w:id="1323394398">
                                                      <w:marLeft w:val="0"/>
                                                      <w:marRight w:val="0"/>
                                                      <w:marTop w:val="0"/>
                                                      <w:marBottom w:val="0"/>
                                                      <w:divBdr>
                                                        <w:top w:val="none" w:sz="0" w:space="0" w:color="auto"/>
                                                        <w:left w:val="none" w:sz="0" w:space="0" w:color="auto"/>
                                                        <w:bottom w:val="none" w:sz="0" w:space="0" w:color="auto"/>
                                                        <w:right w:val="none" w:sz="0" w:space="0" w:color="auto"/>
                                                      </w:divBdr>
                                                      <w:divsChild>
                                                        <w:div w:id="160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237161">
      <w:bodyDiv w:val="1"/>
      <w:marLeft w:val="0"/>
      <w:marRight w:val="0"/>
      <w:marTop w:val="0"/>
      <w:marBottom w:val="0"/>
      <w:divBdr>
        <w:top w:val="none" w:sz="0" w:space="0" w:color="auto"/>
        <w:left w:val="none" w:sz="0" w:space="0" w:color="auto"/>
        <w:bottom w:val="none" w:sz="0" w:space="0" w:color="auto"/>
        <w:right w:val="none" w:sz="0" w:space="0" w:color="auto"/>
      </w:divBdr>
    </w:div>
    <w:div w:id="698362258">
      <w:bodyDiv w:val="1"/>
      <w:marLeft w:val="0"/>
      <w:marRight w:val="0"/>
      <w:marTop w:val="0"/>
      <w:marBottom w:val="0"/>
      <w:divBdr>
        <w:top w:val="none" w:sz="0" w:space="0" w:color="auto"/>
        <w:left w:val="none" w:sz="0" w:space="0" w:color="auto"/>
        <w:bottom w:val="none" w:sz="0" w:space="0" w:color="auto"/>
        <w:right w:val="none" w:sz="0" w:space="0" w:color="auto"/>
      </w:divBdr>
      <w:divsChild>
        <w:div w:id="1337808473">
          <w:marLeft w:val="0"/>
          <w:marRight w:val="0"/>
          <w:marTop w:val="0"/>
          <w:marBottom w:val="0"/>
          <w:divBdr>
            <w:top w:val="none" w:sz="0" w:space="0" w:color="auto"/>
            <w:left w:val="none" w:sz="0" w:space="0" w:color="auto"/>
            <w:bottom w:val="none" w:sz="0" w:space="0" w:color="auto"/>
            <w:right w:val="none" w:sz="0" w:space="0" w:color="auto"/>
          </w:divBdr>
        </w:div>
        <w:div w:id="773129781">
          <w:marLeft w:val="0"/>
          <w:marRight w:val="0"/>
          <w:marTop w:val="0"/>
          <w:marBottom w:val="0"/>
          <w:divBdr>
            <w:top w:val="none" w:sz="0" w:space="0" w:color="auto"/>
            <w:left w:val="none" w:sz="0" w:space="0" w:color="auto"/>
            <w:bottom w:val="none" w:sz="0" w:space="0" w:color="auto"/>
            <w:right w:val="none" w:sz="0" w:space="0" w:color="auto"/>
          </w:divBdr>
        </w:div>
        <w:div w:id="444539427">
          <w:marLeft w:val="0"/>
          <w:marRight w:val="0"/>
          <w:marTop w:val="0"/>
          <w:marBottom w:val="0"/>
          <w:divBdr>
            <w:top w:val="none" w:sz="0" w:space="0" w:color="auto"/>
            <w:left w:val="none" w:sz="0" w:space="0" w:color="auto"/>
            <w:bottom w:val="none" w:sz="0" w:space="0" w:color="auto"/>
            <w:right w:val="none" w:sz="0" w:space="0" w:color="auto"/>
          </w:divBdr>
        </w:div>
        <w:div w:id="907151056">
          <w:marLeft w:val="0"/>
          <w:marRight w:val="0"/>
          <w:marTop w:val="0"/>
          <w:marBottom w:val="0"/>
          <w:divBdr>
            <w:top w:val="none" w:sz="0" w:space="0" w:color="auto"/>
            <w:left w:val="none" w:sz="0" w:space="0" w:color="auto"/>
            <w:bottom w:val="none" w:sz="0" w:space="0" w:color="auto"/>
            <w:right w:val="none" w:sz="0" w:space="0" w:color="auto"/>
          </w:divBdr>
        </w:div>
        <w:div w:id="1989093321">
          <w:marLeft w:val="0"/>
          <w:marRight w:val="0"/>
          <w:marTop w:val="0"/>
          <w:marBottom w:val="0"/>
          <w:divBdr>
            <w:top w:val="none" w:sz="0" w:space="0" w:color="auto"/>
            <w:left w:val="none" w:sz="0" w:space="0" w:color="auto"/>
            <w:bottom w:val="none" w:sz="0" w:space="0" w:color="auto"/>
            <w:right w:val="none" w:sz="0" w:space="0" w:color="auto"/>
          </w:divBdr>
        </w:div>
        <w:div w:id="1632830122">
          <w:marLeft w:val="0"/>
          <w:marRight w:val="0"/>
          <w:marTop w:val="0"/>
          <w:marBottom w:val="0"/>
          <w:divBdr>
            <w:top w:val="none" w:sz="0" w:space="0" w:color="auto"/>
            <w:left w:val="none" w:sz="0" w:space="0" w:color="auto"/>
            <w:bottom w:val="none" w:sz="0" w:space="0" w:color="auto"/>
            <w:right w:val="none" w:sz="0" w:space="0" w:color="auto"/>
          </w:divBdr>
        </w:div>
        <w:div w:id="1136949038">
          <w:marLeft w:val="0"/>
          <w:marRight w:val="0"/>
          <w:marTop w:val="0"/>
          <w:marBottom w:val="0"/>
          <w:divBdr>
            <w:top w:val="none" w:sz="0" w:space="0" w:color="auto"/>
            <w:left w:val="none" w:sz="0" w:space="0" w:color="auto"/>
            <w:bottom w:val="none" w:sz="0" w:space="0" w:color="auto"/>
            <w:right w:val="none" w:sz="0" w:space="0" w:color="auto"/>
          </w:divBdr>
        </w:div>
        <w:div w:id="1336762181">
          <w:marLeft w:val="0"/>
          <w:marRight w:val="0"/>
          <w:marTop w:val="0"/>
          <w:marBottom w:val="0"/>
          <w:divBdr>
            <w:top w:val="none" w:sz="0" w:space="0" w:color="auto"/>
            <w:left w:val="none" w:sz="0" w:space="0" w:color="auto"/>
            <w:bottom w:val="none" w:sz="0" w:space="0" w:color="auto"/>
            <w:right w:val="none" w:sz="0" w:space="0" w:color="auto"/>
          </w:divBdr>
        </w:div>
        <w:div w:id="218055331">
          <w:marLeft w:val="0"/>
          <w:marRight w:val="0"/>
          <w:marTop w:val="0"/>
          <w:marBottom w:val="0"/>
          <w:divBdr>
            <w:top w:val="none" w:sz="0" w:space="0" w:color="auto"/>
            <w:left w:val="none" w:sz="0" w:space="0" w:color="auto"/>
            <w:bottom w:val="none" w:sz="0" w:space="0" w:color="auto"/>
            <w:right w:val="none" w:sz="0" w:space="0" w:color="auto"/>
          </w:divBdr>
        </w:div>
        <w:div w:id="61145249">
          <w:marLeft w:val="0"/>
          <w:marRight w:val="0"/>
          <w:marTop w:val="0"/>
          <w:marBottom w:val="0"/>
          <w:divBdr>
            <w:top w:val="none" w:sz="0" w:space="0" w:color="auto"/>
            <w:left w:val="none" w:sz="0" w:space="0" w:color="auto"/>
            <w:bottom w:val="none" w:sz="0" w:space="0" w:color="auto"/>
            <w:right w:val="none" w:sz="0" w:space="0" w:color="auto"/>
          </w:divBdr>
        </w:div>
      </w:divsChild>
    </w:div>
    <w:div w:id="706491860">
      <w:bodyDiv w:val="1"/>
      <w:marLeft w:val="0"/>
      <w:marRight w:val="0"/>
      <w:marTop w:val="0"/>
      <w:marBottom w:val="0"/>
      <w:divBdr>
        <w:top w:val="none" w:sz="0" w:space="0" w:color="auto"/>
        <w:left w:val="none" w:sz="0" w:space="0" w:color="auto"/>
        <w:bottom w:val="none" w:sz="0" w:space="0" w:color="auto"/>
        <w:right w:val="none" w:sz="0" w:space="0" w:color="auto"/>
      </w:divBdr>
    </w:div>
    <w:div w:id="751243422">
      <w:bodyDiv w:val="1"/>
      <w:marLeft w:val="0"/>
      <w:marRight w:val="0"/>
      <w:marTop w:val="0"/>
      <w:marBottom w:val="0"/>
      <w:divBdr>
        <w:top w:val="none" w:sz="0" w:space="0" w:color="auto"/>
        <w:left w:val="none" w:sz="0" w:space="0" w:color="auto"/>
        <w:bottom w:val="none" w:sz="0" w:space="0" w:color="auto"/>
        <w:right w:val="none" w:sz="0" w:space="0" w:color="auto"/>
      </w:divBdr>
      <w:divsChild>
        <w:div w:id="1662392197">
          <w:marLeft w:val="0"/>
          <w:marRight w:val="0"/>
          <w:marTop w:val="0"/>
          <w:marBottom w:val="0"/>
          <w:divBdr>
            <w:top w:val="none" w:sz="0" w:space="0" w:color="auto"/>
            <w:left w:val="none" w:sz="0" w:space="0" w:color="auto"/>
            <w:bottom w:val="none" w:sz="0" w:space="0" w:color="auto"/>
            <w:right w:val="none" w:sz="0" w:space="0" w:color="auto"/>
          </w:divBdr>
        </w:div>
        <w:div w:id="1243220182">
          <w:marLeft w:val="0"/>
          <w:marRight w:val="0"/>
          <w:marTop w:val="0"/>
          <w:marBottom w:val="0"/>
          <w:divBdr>
            <w:top w:val="none" w:sz="0" w:space="0" w:color="auto"/>
            <w:left w:val="none" w:sz="0" w:space="0" w:color="auto"/>
            <w:bottom w:val="none" w:sz="0" w:space="0" w:color="auto"/>
            <w:right w:val="none" w:sz="0" w:space="0" w:color="auto"/>
          </w:divBdr>
        </w:div>
        <w:div w:id="94911385">
          <w:marLeft w:val="0"/>
          <w:marRight w:val="0"/>
          <w:marTop w:val="0"/>
          <w:marBottom w:val="0"/>
          <w:divBdr>
            <w:top w:val="none" w:sz="0" w:space="0" w:color="auto"/>
            <w:left w:val="none" w:sz="0" w:space="0" w:color="auto"/>
            <w:bottom w:val="none" w:sz="0" w:space="0" w:color="auto"/>
            <w:right w:val="none" w:sz="0" w:space="0" w:color="auto"/>
          </w:divBdr>
        </w:div>
        <w:div w:id="2114397304">
          <w:marLeft w:val="0"/>
          <w:marRight w:val="0"/>
          <w:marTop w:val="0"/>
          <w:marBottom w:val="0"/>
          <w:divBdr>
            <w:top w:val="none" w:sz="0" w:space="0" w:color="auto"/>
            <w:left w:val="none" w:sz="0" w:space="0" w:color="auto"/>
            <w:bottom w:val="none" w:sz="0" w:space="0" w:color="auto"/>
            <w:right w:val="none" w:sz="0" w:space="0" w:color="auto"/>
          </w:divBdr>
        </w:div>
        <w:div w:id="274410344">
          <w:marLeft w:val="0"/>
          <w:marRight w:val="0"/>
          <w:marTop w:val="0"/>
          <w:marBottom w:val="0"/>
          <w:divBdr>
            <w:top w:val="none" w:sz="0" w:space="0" w:color="auto"/>
            <w:left w:val="none" w:sz="0" w:space="0" w:color="auto"/>
            <w:bottom w:val="none" w:sz="0" w:space="0" w:color="auto"/>
            <w:right w:val="none" w:sz="0" w:space="0" w:color="auto"/>
          </w:divBdr>
        </w:div>
        <w:div w:id="1013192958">
          <w:marLeft w:val="0"/>
          <w:marRight w:val="0"/>
          <w:marTop w:val="0"/>
          <w:marBottom w:val="0"/>
          <w:divBdr>
            <w:top w:val="none" w:sz="0" w:space="0" w:color="auto"/>
            <w:left w:val="none" w:sz="0" w:space="0" w:color="auto"/>
            <w:bottom w:val="none" w:sz="0" w:space="0" w:color="auto"/>
            <w:right w:val="none" w:sz="0" w:space="0" w:color="auto"/>
          </w:divBdr>
        </w:div>
        <w:div w:id="1331368381">
          <w:marLeft w:val="0"/>
          <w:marRight w:val="0"/>
          <w:marTop w:val="0"/>
          <w:marBottom w:val="0"/>
          <w:divBdr>
            <w:top w:val="none" w:sz="0" w:space="0" w:color="auto"/>
            <w:left w:val="none" w:sz="0" w:space="0" w:color="auto"/>
            <w:bottom w:val="none" w:sz="0" w:space="0" w:color="auto"/>
            <w:right w:val="none" w:sz="0" w:space="0" w:color="auto"/>
          </w:divBdr>
        </w:div>
        <w:div w:id="2069761194">
          <w:marLeft w:val="0"/>
          <w:marRight w:val="0"/>
          <w:marTop w:val="0"/>
          <w:marBottom w:val="0"/>
          <w:divBdr>
            <w:top w:val="none" w:sz="0" w:space="0" w:color="auto"/>
            <w:left w:val="none" w:sz="0" w:space="0" w:color="auto"/>
            <w:bottom w:val="none" w:sz="0" w:space="0" w:color="auto"/>
            <w:right w:val="none" w:sz="0" w:space="0" w:color="auto"/>
          </w:divBdr>
        </w:div>
        <w:div w:id="1570000672">
          <w:marLeft w:val="0"/>
          <w:marRight w:val="0"/>
          <w:marTop w:val="0"/>
          <w:marBottom w:val="0"/>
          <w:divBdr>
            <w:top w:val="none" w:sz="0" w:space="0" w:color="auto"/>
            <w:left w:val="none" w:sz="0" w:space="0" w:color="auto"/>
            <w:bottom w:val="none" w:sz="0" w:space="0" w:color="auto"/>
            <w:right w:val="none" w:sz="0" w:space="0" w:color="auto"/>
          </w:divBdr>
        </w:div>
        <w:div w:id="546259750">
          <w:marLeft w:val="0"/>
          <w:marRight w:val="0"/>
          <w:marTop w:val="0"/>
          <w:marBottom w:val="0"/>
          <w:divBdr>
            <w:top w:val="none" w:sz="0" w:space="0" w:color="auto"/>
            <w:left w:val="none" w:sz="0" w:space="0" w:color="auto"/>
            <w:bottom w:val="none" w:sz="0" w:space="0" w:color="auto"/>
            <w:right w:val="none" w:sz="0" w:space="0" w:color="auto"/>
          </w:divBdr>
        </w:div>
      </w:divsChild>
    </w:div>
    <w:div w:id="765808952">
      <w:bodyDiv w:val="1"/>
      <w:marLeft w:val="0"/>
      <w:marRight w:val="0"/>
      <w:marTop w:val="0"/>
      <w:marBottom w:val="0"/>
      <w:divBdr>
        <w:top w:val="none" w:sz="0" w:space="0" w:color="auto"/>
        <w:left w:val="none" w:sz="0" w:space="0" w:color="auto"/>
        <w:bottom w:val="none" w:sz="0" w:space="0" w:color="auto"/>
        <w:right w:val="none" w:sz="0" w:space="0" w:color="auto"/>
      </w:divBdr>
      <w:divsChild>
        <w:div w:id="68381614">
          <w:marLeft w:val="0"/>
          <w:marRight w:val="0"/>
          <w:marTop w:val="0"/>
          <w:marBottom w:val="0"/>
          <w:divBdr>
            <w:top w:val="none" w:sz="0" w:space="0" w:color="auto"/>
            <w:left w:val="none" w:sz="0" w:space="0" w:color="auto"/>
            <w:bottom w:val="none" w:sz="0" w:space="0" w:color="auto"/>
            <w:right w:val="none" w:sz="0" w:space="0" w:color="auto"/>
          </w:divBdr>
        </w:div>
        <w:div w:id="445344947">
          <w:marLeft w:val="0"/>
          <w:marRight w:val="0"/>
          <w:marTop w:val="0"/>
          <w:marBottom w:val="0"/>
          <w:divBdr>
            <w:top w:val="none" w:sz="0" w:space="0" w:color="auto"/>
            <w:left w:val="none" w:sz="0" w:space="0" w:color="auto"/>
            <w:bottom w:val="none" w:sz="0" w:space="0" w:color="auto"/>
            <w:right w:val="none" w:sz="0" w:space="0" w:color="auto"/>
          </w:divBdr>
        </w:div>
        <w:div w:id="1173956681">
          <w:marLeft w:val="0"/>
          <w:marRight w:val="0"/>
          <w:marTop w:val="0"/>
          <w:marBottom w:val="0"/>
          <w:divBdr>
            <w:top w:val="none" w:sz="0" w:space="0" w:color="auto"/>
            <w:left w:val="none" w:sz="0" w:space="0" w:color="auto"/>
            <w:bottom w:val="none" w:sz="0" w:space="0" w:color="auto"/>
            <w:right w:val="none" w:sz="0" w:space="0" w:color="auto"/>
          </w:divBdr>
        </w:div>
        <w:div w:id="2112626544">
          <w:marLeft w:val="0"/>
          <w:marRight w:val="0"/>
          <w:marTop w:val="0"/>
          <w:marBottom w:val="0"/>
          <w:divBdr>
            <w:top w:val="none" w:sz="0" w:space="0" w:color="auto"/>
            <w:left w:val="none" w:sz="0" w:space="0" w:color="auto"/>
            <w:bottom w:val="none" w:sz="0" w:space="0" w:color="auto"/>
            <w:right w:val="none" w:sz="0" w:space="0" w:color="auto"/>
          </w:divBdr>
        </w:div>
      </w:divsChild>
    </w:div>
    <w:div w:id="796530388">
      <w:bodyDiv w:val="1"/>
      <w:marLeft w:val="0"/>
      <w:marRight w:val="0"/>
      <w:marTop w:val="0"/>
      <w:marBottom w:val="0"/>
      <w:divBdr>
        <w:top w:val="none" w:sz="0" w:space="0" w:color="auto"/>
        <w:left w:val="none" w:sz="0" w:space="0" w:color="auto"/>
        <w:bottom w:val="none" w:sz="0" w:space="0" w:color="auto"/>
        <w:right w:val="none" w:sz="0" w:space="0" w:color="auto"/>
      </w:divBdr>
      <w:divsChild>
        <w:div w:id="2096003046">
          <w:marLeft w:val="0"/>
          <w:marRight w:val="0"/>
          <w:marTop w:val="0"/>
          <w:marBottom w:val="0"/>
          <w:divBdr>
            <w:top w:val="none" w:sz="0" w:space="0" w:color="auto"/>
            <w:left w:val="none" w:sz="0" w:space="0" w:color="auto"/>
            <w:bottom w:val="none" w:sz="0" w:space="0" w:color="auto"/>
            <w:right w:val="none" w:sz="0" w:space="0" w:color="auto"/>
          </w:divBdr>
        </w:div>
        <w:div w:id="1322469225">
          <w:marLeft w:val="0"/>
          <w:marRight w:val="0"/>
          <w:marTop w:val="0"/>
          <w:marBottom w:val="0"/>
          <w:divBdr>
            <w:top w:val="none" w:sz="0" w:space="0" w:color="auto"/>
            <w:left w:val="none" w:sz="0" w:space="0" w:color="auto"/>
            <w:bottom w:val="none" w:sz="0" w:space="0" w:color="auto"/>
            <w:right w:val="none" w:sz="0" w:space="0" w:color="auto"/>
          </w:divBdr>
        </w:div>
      </w:divsChild>
    </w:div>
    <w:div w:id="822238047">
      <w:bodyDiv w:val="1"/>
      <w:marLeft w:val="0"/>
      <w:marRight w:val="0"/>
      <w:marTop w:val="0"/>
      <w:marBottom w:val="0"/>
      <w:divBdr>
        <w:top w:val="none" w:sz="0" w:space="0" w:color="auto"/>
        <w:left w:val="none" w:sz="0" w:space="0" w:color="auto"/>
        <w:bottom w:val="none" w:sz="0" w:space="0" w:color="auto"/>
        <w:right w:val="none" w:sz="0" w:space="0" w:color="auto"/>
      </w:divBdr>
      <w:divsChild>
        <w:div w:id="1707171147">
          <w:marLeft w:val="0"/>
          <w:marRight w:val="0"/>
          <w:marTop w:val="0"/>
          <w:marBottom w:val="0"/>
          <w:divBdr>
            <w:top w:val="none" w:sz="0" w:space="0" w:color="auto"/>
            <w:left w:val="none" w:sz="0" w:space="0" w:color="auto"/>
            <w:bottom w:val="none" w:sz="0" w:space="0" w:color="auto"/>
            <w:right w:val="none" w:sz="0" w:space="0" w:color="auto"/>
          </w:divBdr>
        </w:div>
        <w:div w:id="858005025">
          <w:marLeft w:val="0"/>
          <w:marRight w:val="0"/>
          <w:marTop w:val="0"/>
          <w:marBottom w:val="0"/>
          <w:divBdr>
            <w:top w:val="none" w:sz="0" w:space="0" w:color="auto"/>
            <w:left w:val="none" w:sz="0" w:space="0" w:color="auto"/>
            <w:bottom w:val="none" w:sz="0" w:space="0" w:color="auto"/>
            <w:right w:val="none" w:sz="0" w:space="0" w:color="auto"/>
          </w:divBdr>
        </w:div>
        <w:div w:id="1757170293">
          <w:marLeft w:val="0"/>
          <w:marRight w:val="0"/>
          <w:marTop w:val="0"/>
          <w:marBottom w:val="0"/>
          <w:divBdr>
            <w:top w:val="none" w:sz="0" w:space="0" w:color="auto"/>
            <w:left w:val="none" w:sz="0" w:space="0" w:color="auto"/>
            <w:bottom w:val="none" w:sz="0" w:space="0" w:color="auto"/>
            <w:right w:val="none" w:sz="0" w:space="0" w:color="auto"/>
          </w:divBdr>
        </w:div>
        <w:div w:id="337125610">
          <w:marLeft w:val="0"/>
          <w:marRight w:val="0"/>
          <w:marTop w:val="0"/>
          <w:marBottom w:val="0"/>
          <w:divBdr>
            <w:top w:val="none" w:sz="0" w:space="0" w:color="auto"/>
            <w:left w:val="none" w:sz="0" w:space="0" w:color="auto"/>
            <w:bottom w:val="none" w:sz="0" w:space="0" w:color="auto"/>
            <w:right w:val="none" w:sz="0" w:space="0" w:color="auto"/>
          </w:divBdr>
        </w:div>
        <w:div w:id="1023244184">
          <w:marLeft w:val="0"/>
          <w:marRight w:val="0"/>
          <w:marTop w:val="0"/>
          <w:marBottom w:val="0"/>
          <w:divBdr>
            <w:top w:val="none" w:sz="0" w:space="0" w:color="auto"/>
            <w:left w:val="none" w:sz="0" w:space="0" w:color="auto"/>
            <w:bottom w:val="none" w:sz="0" w:space="0" w:color="auto"/>
            <w:right w:val="none" w:sz="0" w:space="0" w:color="auto"/>
          </w:divBdr>
        </w:div>
      </w:divsChild>
    </w:div>
    <w:div w:id="848177212">
      <w:bodyDiv w:val="1"/>
      <w:marLeft w:val="0"/>
      <w:marRight w:val="0"/>
      <w:marTop w:val="0"/>
      <w:marBottom w:val="0"/>
      <w:divBdr>
        <w:top w:val="none" w:sz="0" w:space="0" w:color="auto"/>
        <w:left w:val="none" w:sz="0" w:space="0" w:color="auto"/>
        <w:bottom w:val="none" w:sz="0" w:space="0" w:color="auto"/>
        <w:right w:val="none" w:sz="0" w:space="0" w:color="auto"/>
      </w:divBdr>
    </w:div>
    <w:div w:id="868686056">
      <w:bodyDiv w:val="1"/>
      <w:marLeft w:val="0"/>
      <w:marRight w:val="0"/>
      <w:marTop w:val="0"/>
      <w:marBottom w:val="0"/>
      <w:divBdr>
        <w:top w:val="none" w:sz="0" w:space="0" w:color="auto"/>
        <w:left w:val="none" w:sz="0" w:space="0" w:color="auto"/>
        <w:bottom w:val="none" w:sz="0" w:space="0" w:color="auto"/>
        <w:right w:val="none" w:sz="0" w:space="0" w:color="auto"/>
      </w:divBdr>
    </w:div>
    <w:div w:id="959266040">
      <w:bodyDiv w:val="1"/>
      <w:marLeft w:val="0"/>
      <w:marRight w:val="0"/>
      <w:marTop w:val="0"/>
      <w:marBottom w:val="0"/>
      <w:divBdr>
        <w:top w:val="none" w:sz="0" w:space="0" w:color="auto"/>
        <w:left w:val="none" w:sz="0" w:space="0" w:color="auto"/>
        <w:bottom w:val="none" w:sz="0" w:space="0" w:color="auto"/>
        <w:right w:val="none" w:sz="0" w:space="0" w:color="auto"/>
      </w:divBdr>
      <w:divsChild>
        <w:div w:id="920529124">
          <w:marLeft w:val="0"/>
          <w:marRight w:val="0"/>
          <w:marTop w:val="0"/>
          <w:marBottom w:val="0"/>
          <w:divBdr>
            <w:top w:val="none" w:sz="0" w:space="0" w:color="auto"/>
            <w:left w:val="none" w:sz="0" w:space="0" w:color="auto"/>
            <w:bottom w:val="none" w:sz="0" w:space="0" w:color="auto"/>
            <w:right w:val="none" w:sz="0" w:space="0" w:color="auto"/>
          </w:divBdr>
          <w:divsChild>
            <w:div w:id="599341582">
              <w:marLeft w:val="0"/>
              <w:marRight w:val="0"/>
              <w:marTop w:val="0"/>
              <w:marBottom w:val="150"/>
              <w:divBdr>
                <w:top w:val="none" w:sz="0" w:space="0" w:color="auto"/>
                <w:left w:val="none" w:sz="0" w:space="0" w:color="auto"/>
                <w:bottom w:val="none" w:sz="0" w:space="0" w:color="auto"/>
                <w:right w:val="none" w:sz="0" w:space="0" w:color="auto"/>
              </w:divBdr>
              <w:divsChild>
                <w:div w:id="612905384">
                  <w:marLeft w:val="0"/>
                  <w:marRight w:val="0"/>
                  <w:marTop w:val="0"/>
                  <w:marBottom w:val="0"/>
                  <w:divBdr>
                    <w:top w:val="none" w:sz="0" w:space="0" w:color="auto"/>
                    <w:left w:val="none" w:sz="0" w:space="0" w:color="auto"/>
                    <w:bottom w:val="none" w:sz="0" w:space="0" w:color="auto"/>
                    <w:right w:val="none" w:sz="0" w:space="0" w:color="auto"/>
                  </w:divBdr>
                  <w:divsChild>
                    <w:div w:id="410011030">
                      <w:marLeft w:val="0"/>
                      <w:marRight w:val="0"/>
                      <w:marTop w:val="0"/>
                      <w:marBottom w:val="0"/>
                      <w:divBdr>
                        <w:top w:val="none" w:sz="0" w:space="0" w:color="auto"/>
                        <w:left w:val="none" w:sz="0" w:space="0" w:color="auto"/>
                        <w:bottom w:val="none" w:sz="0" w:space="0" w:color="auto"/>
                        <w:right w:val="none" w:sz="0" w:space="0" w:color="auto"/>
                      </w:divBdr>
                      <w:divsChild>
                        <w:div w:id="896934221">
                          <w:marLeft w:val="0"/>
                          <w:marRight w:val="0"/>
                          <w:marTop w:val="0"/>
                          <w:marBottom w:val="0"/>
                          <w:divBdr>
                            <w:top w:val="none" w:sz="0" w:space="0" w:color="auto"/>
                            <w:left w:val="none" w:sz="0" w:space="0" w:color="auto"/>
                            <w:bottom w:val="none" w:sz="0" w:space="0" w:color="auto"/>
                            <w:right w:val="none" w:sz="0" w:space="0" w:color="auto"/>
                          </w:divBdr>
                          <w:divsChild>
                            <w:div w:id="52238683">
                              <w:marLeft w:val="0"/>
                              <w:marRight w:val="0"/>
                              <w:marTop w:val="0"/>
                              <w:marBottom w:val="0"/>
                              <w:divBdr>
                                <w:top w:val="none" w:sz="0" w:space="0" w:color="auto"/>
                                <w:left w:val="none" w:sz="0" w:space="0" w:color="auto"/>
                                <w:bottom w:val="none" w:sz="0" w:space="0" w:color="auto"/>
                                <w:right w:val="none" w:sz="0" w:space="0" w:color="auto"/>
                              </w:divBdr>
                              <w:divsChild>
                                <w:div w:id="1871340271">
                                  <w:marLeft w:val="0"/>
                                  <w:marRight w:val="-3600"/>
                                  <w:marTop w:val="150"/>
                                  <w:marBottom w:val="0"/>
                                  <w:divBdr>
                                    <w:top w:val="none" w:sz="0" w:space="0" w:color="auto"/>
                                    <w:left w:val="none" w:sz="0" w:space="0" w:color="auto"/>
                                    <w:bottom w:val="none" w:sz="0" w:space="0" w:color="auto"/>
                                    <w:right w:val="none" w:sz="0" w:space="0" w:color="auto"/>
                                  </w:divBdr>
                                  <w:divsChild>
                                    <w:div w:id="1766415202">
                                      <w:marLeft w:val="0"/>
                                      <w:marRight w:val="3600"/>
                                      <w:marTop w:val="0"/>
                                      <w:marBottom w:val="0"/>
                                      <w:divBdr>
                                        <w:top w:val="none" w:sz="0" w:space="0" w:color="auto"/>
                                        <w:left w:val="none" w:sz="0" w:space="0" w:color="auto"/>
                                        <w:bottom w:val="none" w:sz="0" w:space="0" w:color="auto"/>
                                        <w:right w:val="none" w:sz="0" w:space="0" w:color="auto"/>
                                      </w:divBdr>
                                      <w:divsChild>
                                        <w:div w:id="1501383708">
                                          <w:marLeft w:val="0"/>
                                          <w:marRight w:val="0"/>
                                          <w:marTop w:val="0"/>
                                          <w:marBottom w:val="0"/>
                                          <w:divBdr>
                                            <w:top w:val="none" w:sz="0" w:space="0" w:color="auto"/>
                                            <w:left w:val="none" w:sz="0" w:space="0" w:color="auto"/>
                                            <w:bottom w:val="none" w:sz="0" w:space="0" w:color="auto"/>
                                            <w:right w:val="none" w:sz="0" w:space="0" w:color="auto"/>
                                          </w:divBdr>
                                          <w:divsChild>
                                            <w:div w:id="1364743813">
                                              <w:marLeft w:val="0"/>
                                              <w:marRight w:val="0"/>
                                              <w:marTop w:val="0"/>
                                              <w:marBottom w:val="0"/>
                                              <w:divBdr>
                                                <w:top w:val="none" w:sz="0" w:space="0" w:color="auto"/>
                                                <w:left w:val="none" w:sz="0" w:space="0" w:color="auto"/>
                                                <w:bottom w:val="none" w:sz="0" w:space="0" w:color="auto"/>
                                                <w:right w:val="none" w:sz="0" w:space="0" w:color="auto"/>
                                              </w:divBdr>
                                              <w:divsChild>
                                                <w:div w:id="2064061644">
                                                  <w:marLeft w:val="0"/>
                                                  <w:marRight w:val="0"/>
                                                  <w:marTop w:val="0"/>
                                                  <w:marBottom w:val="0"/>
                                                  <w:divBdr>
                                                    <w:top w:val="none" w:sz="0" w:space="0" w:color="auto"/>
                                                    <w:left w:val="none" w:sz="0" w:space="0" w:color="auto"/>
                                                    <w:bottom w:val="none" w:sz="0" w:space="0" w:color="auto"/>
                                                    <w:right w:val="none" w:sz="0" w:space="0" w:color="auto"/>
                                                  </w:divBdr>
                                                  <w:divsChild>
                                                    <w:div w:id="131825566">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656744">
      <w:bodyDiv w:val="1"/>
      <w:marLeft w:val="0"/>
      <w:marRight w:val="0"/>
      <w:marTop w:val="0"/>
      <w:marBottom w:val="0"/>
      <w:divBdr>
        <w:top w:val="none" w:sz="0" w:space="0" w:color="auto"/>
        <w:left w:val="none" w:sz="0" w:space="0" w:color="auto"/>
        <w:bottom w:val="none" w:sz="0" w:space="0" w:color="auto"/>
        <w:right w:val="none" w:sz="0" w:space="0" w:color="auto"/>
      </w:divBdr>
    </w:div>
    <w:div w:id="990059531">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
        <w:div w:id="507721947">
          <w:marLeft w:val="0"/>
          <w:marRight w:val="0"/>
          <w:marTop w:val="0"/>
          <w:marBottom w:val="0"/>
          <w:divBdr>
            <w:top w:val="none" w:sz="0" w:space="0" w:color="auto"/>
            <w:left w:val="none" w:sz="0" w:space="0" w:color="auto"/>
            <w:bottom w:val="none" w:sz="0" w:space="0" w:color="auto"/>
            <w:right w:val="none" w:sz="0" w:space="0" w:color="auto"/>
          </w:divBdr>
        </w:div>
        <w:div w:id="1116950539">
          <w:marLeft w:val="0"/>
          <w:marRight w:val="0"/>
          <w:marTop w:val="0"/>
          <w:marBottom w:val="0"/>
          <w:divBdr>
            <w:top w:val="none" w:sz="0" w:space="0" w:color="auto"/>
            <w:left w:val="none" w:sz="0" w:space="0" w:color="auto"/>
            <w:bottom w:val="none" w:sz="0" w:space="0" w:color="auto"/>
            <w:right w:val="none" w:sz="0" w:space="0" w:color="auto"/>
          </w:divBdr>
        </w:div>
        <w:div w:id="1141118886">
          <w:marLeft w:val="0"/>
          <w:marRight w:val="0"/>
          <w:marTop w:val="0"/>
          <w:marBottom w:val="0"/>
          <w:divBdr>
            <w:top w:val="none" w:sz="0" w:space="0" w:color="auto"/>
            <w:left w:val="none" w:sz="0" w:space="0" w:color="auto"/>
            <w:bottom w:val="none" w:sz="0" w:space="0" w:color="auto"/>
            <w:right w:val="none" w:sz="0" w:space="0" w:color="auto"/>
          </w:divBdr>
        </w:div>
      </w:divsChild>
    </w:div>
    <w:div w:id="1035735617">
      <w:bodyDiv w:val="1"/>
      <w:marLeft w:val="0"/>
      <w:marRight w:val="0"/>
      <w:marTop w:val="0"/>
      <w:marBottom w:val="0"/>
      <w:divBdr>
        <w:top w:val="none" w:sz="0" w:space="0" w:color="auto"/>
        <w:left w:val="none" w:sz="0" w:space="0" w:color="auto"/>
        <w:bottom w:val="none" w:sz="0" w:space="0" w:color="auto"/>
        <w:right w:val="none" w:sz="0" w:space="0" w:color="auto"/>
      </w:divBdr>
    </w:div>
    <w:div w:id="1051421216">
      <w:bodyDiv w:val="1"/>
      <w:marLeft w:val="0"/>
      <w:marRight w:val="0"/>
      <w:marTop w:val="0"/>
      <w:marBottom w:val="0"/>
      <w:divBdr>
        <w:top w:val="none" w:sz="0" w:space="0" w:color="auto"/>
        <w:left w:val="none" w:sz="0" w:space="0" w:color="auto"/>
        <w:bottom w:val="none" w:sz="0" w:space="0" w:color="auto"/>
        <w:right w:val="none" w:sz="0" w:space="0" w:color="auto"/>
      </w:divBdr>
      <w:divsChild>
        <w:div w:id="326641923">
          <w:marLeft w:val="0"/>
          <w:marRight w:val="0"/>
          <w:marTop w:val="0"/>
          <w:marBottom w:val="0"/>
          <w:divBdr>
            <w:top w:val="none" w:sz="0" w:space="0" w:color="auto"/>
            <w:left w:val="none" w:sz="0" w:space="0" w:color="auto"/>
            <w:bottom w:val="none" w:sz="0" w:space="0" w:color="auto"/>
            <w:right w:val="none" w:sz="0" w:space="0" w:color="auto"/>
          </w:divBdr>
        </w:div>
        <w:div w:id="1593659921">
          <w:marLeft w:val="0"/>
          <w:marRight w:val="0"/>
          <w:marTop w:val="0"/>
          <w:marBottom w:val="0"/>
          <w:divBdr>
            <w:top w:val="none" w:sz="0" w:space="0" w:color="auto"/>
            <w:left w:val="none" w:sz="0" w:space="0" w:color="auto"/>
            <w:bottom w:val="none" w:sz="0" w:space="0" w:color="auto"/>
            <w:right w:val="none" w:sz="0" w:space="0" w:color="auto"/>
          </w:divBdr>
        </w:div>
        <w:div w:id="2050571">
          <w:marLeft w:val="0"/>
          <w:marRight w:val="0"/>
          <w:marTop w:val="0"/>
          <w:marBottom w:val="0"/>
          <w:divBdr>
            <w:top w:val="none" w:sz="0" w:space="0" w:color="auto"/>
            <w:left w:val="none" w:sz="0" w:space="0" w:color="auto"/>
            <w:bottom w:val="none" w:sz="0" w:space="0" w:color="auto"/>
            <w:right w:val="none" w:sz="0" w:space="0" w:color="auto"/>
          </w:divBdr>
        </w:div>
        <w:div w:id="478571794">
          <w:marLeft w:val="0"/>
          <w:marRight w:val="0"/>
          <w:marTop w:val="0"/>
          <w:marBottom w:val="0"/>
          <w:divBdr>
            <w:top w:val="none" w:sz="0" w:space="0" w:color="auto"/>
            <w:left w:val="none" w:sz="0" w:space="0" w:color="auto"/>
            <w:bottom w:val="none" w:sz="0" w:space="0" w:color="auto"/>
            <w:right w:val="none" w:sz="0" w:space="0" w:color="auto"/>
          </w:divBdr>
        </w:div>
        <w:div w:id="1673600191">
          <w:marLeft w:val="0"/>
          <w:marRight w:val="0"/>
          <w:marTop w:val="0"/>
          <w:marBottom w:val="0"/>
          <w:divBdr>
            <w:top w:val="none" w:sz="0" w:space="0" w:color="auto"/>
            <w:left w:val="none" w:sz="0" w:space="0" w:color="auto"/>
            <w:bottom w:val="none" w:sz="0" w:space="0" w:color="auto"/>
            <w:right w:val="none" w:sz="0" w:space="0" w:color="auto"/>
          </w:divBdr>
        </w:div>
        <w:div w:id="1515606147">
          <w:marLeft w:val="0"/>
          <w:marRight w:val="0"/>
          <w:marTop w:val="0"/>
          <w:marBottom w:val="0"/>
          <w:divBdr>
            <w:top w:val="none" w:sz="0" w:space="0" w:color="auto"/>
            <w:left w:val="none" w:sz="0" w:space="0" w:color="auto"/>
            <w:bottom w:val="none" w:sz="0" w:space="0" w:color="auto"/>
            <w:right w:val="none" w:sz="0" w:space="0" w:color="auto"/>
          </w:divBdr>
        </w:div>
        <w:div w:id="1557201961">
          <w:marLeft w:val="0"/>
          <w:marRight w:val="0"/>
          <w:marTop w:val="0"/>
          <w:marBottom w:val="0"/>
          <w:divBdr>
            <w:top w:val="none" w:sz="0" w:space="0" w:color="auto"/>
            <w:left w:val="none" w:sz="0" w:space="0" w:color="auto"/>
            <w:bottom w:val="none" w:sz="0" w:space="0" w:color="auto"/>
            <w:right w:val="none" w:sz="0" w:space="0" w:color="auto"/>
          </w:divBdr>
        </w:div>
        <w:div w:id="355624218">
          <w:marLeft w:val="0"/>
          <w:marRight w:val="0"/>
          <w:marTop w:val="0"/>
          <w:marBottom w:val="0"/>
          <w:divBdr>
            <w:top w:val="none" w:sz="0" w:space="0" w:color="auto"/>
            <w:left w:val="none" w:sz="0" w:space="0" w:color="auto"/>
            <w:bottom w:val="none" w:sz="0" w:space="0" w:color="auto"/>
            <w:right w:val="none" w:sz="0" w:space="0" w:color="auto"/>
          </w:divBdr>
        </w:div>
      </w:divsChild>
    </w:div>
    <w:div w:id="1056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778677">
          <w:marLeft w:val="0"/>
          <w:marRight w:val="0"/>
          <w:marTop w:val="0"/>
          <w:marBottom w:val="0"/>
          <w:divBdr>
            <w:top w:val="none" w:sz="0" w:space="0" w:color="auto"/>
            <w:left w:val="none" w:sz="0" w:space="0" w:color="auto"/>
            <w:bottom w:val="none" w:sz="0" w:space="0" w:color="auto"/>
            <w:right w:val="none" w:sz="0" w:space="0" w:color="auto"/>
          </w:divBdr>
          <w:divsChild>
            <w:div w:id="895704631">
              <w:marLeft w:val="0"/>
              <w:marRight w:val="0"/>
              <w:marTop w:val="0"/>
              <w:marBottom w:val="0"/>
              <w:divBdr>
                <w:top w:val="none" w:sz="0" w:space="0" w:color="auto"/>
                <w:left w:val="none" w:sz="0" w:space="0" w:color="auto"/>
                <w:bottom w:val="none" w:sz="0" w:space="0" w:color="auto"/>
                <w:right w:val="none" w:sz="0" w:space="0" w:color="auto"/>
              </w:divBdr>
              <w:divsChild>
                <w:div w:id="281302904">
                  <w:marLeft w:val="0"/>
                  <w:marRight w:val="0"/>
                  <w:marTop w:val="0"/>
                  <w:marBottom w:val="0"/>
                  <w:divBdr>
                    <w:top w:val="none" w:sz="0" w:space="0" w:color="auto"/>
                    <w:left w:val="none" w:sz="0" w:space="0" w:color="auto"/>
                    <w:bottom w:val="none" w:sz="0" w:space="0" w:color="auto"/>
                    <w:right w:val="none" w:sz="0" w:space="0" w:color="auto"/>
                  </w:divBdr>
                  <w:divsChild>
                    <w:div w:id="636569158">
                      <w:marLeft w:val="0"/>
                      <w:marRight w:val="0"/>
                      <w:marTop w:val="45"/>
                      <w:marBottom w:val="0"/>
                      <w:divBdr>
                        <w:top w:val="none" w:sz="0" w:space="0" w:color="auto"/>
                        <w:left w:val="none" w:sz="0" w:space="0" w:color="auto"/>
                        <w:bottom w:val="none" w:sz="0" w:space="0" w:color="auto"/>
                        <w:right w:val="none" w:sz="0" w:space="0" w:color="auto"/>
                      </w:divBdr>
                      <w:divsChild>
                        <w:div w:id="1683581340">
                          <w:marLeft w:val="0"/>
                          <w:marRight w:val="0"/>
                          <w:marTop w:val="0"/>
                          <w:marBottom w:val="0"/>
                          <w:divBdr>
                            <w:top w:val="none" w:sz="0" w:space="0" w:color="auto"/>
                            <w:left w:val="none" w:sz="0" w:space="0" w:color="auto"/>
                            <w:bottom w:val="none" w:sz="0" w:space="0" w:color="auto"/>
                            <w:right w:val="none" w:sz="0" w:space="0" w:color="auto"/>
                          </w:divBdr>
                          <w:divsChild>
                            <w:div w:id="377708740">
                              <w:marLeft w:val="12300"/>
                              <w:marRight w:val="0"/>
                              <w:marTop w:val="0"/>
                              <w:marBottom w:val="0"/>
                              <w:divBdr>
                                <w:top w:val="none" w:sz="0" w:space="0" w:color="auto"/>
                                <w:left w:val="none" w:sz="0" w:space="0" w:color="auto"/>
                                <w:bottom w:val="none" w:sz="0" w:space="0" w:color="auto"/>
                                <w:right w:val="none" w:sz="0" w:space="0" w:color="auto"/>
                              </w:divBdr>
                              <w:divsChild>
                                <w:div w:id="325977309">
                                  <w:marLeft w:val="0"/>
                                  <w:marRight w:val="0"/>
                                  <w:marTop w:val="0"/>
                                  <w:marBottom w:val="0"/>
                                  <w:divBdr>
                                    <w:top w:val="none" w:sz="0" w:space="0" w:color="auto"/>
                                    <w:left w:val="none" w:sz="0" w:space="0" w:color="auto"/>
                                    <w:bottom w:val="none" w:sz="0" w:space="0" w:color="auto"/>
                                    <w:right w:val="none" w:sz="0" w:space="0" w:color="auto"/>
                                  </w:divBdr>
                                  <w:divsChild>
                                    <w:div w:id="1215504313">
                                      <w:marLeft w:val="0"/>
                                      <w:marRight w:val="0"/>
                                      <w:marTop w:val="0"/>
                                      <w:marBottom w:val="390"/>
                                      <w:divBdr>
                                        <w:top w:val="none" w:sz="0" w:space="0" w:color="auto"/>
                                        <w:left w:val="none" w:sz="0" w:space="0" w:color="auto"/>
                                        <w:bottom w:val="none" w:sz="0" w:space="0" w:color="auto"/>
                                        <w:right w:val="none" w:sz="0" w:space="0" w:color="auto"/>
                                      </w:divBdr>
                                      <w:divsChild>
                                        <w:div w:id="1156916842">
                                          <w:marLeft w:val="0"/>
                                          <w:marRight w:val="0"/>
                                          <w:marTop w:val="0"/>
                                          <w:marBottom w:val="0"/>
                                          <w:divBdr>
                                            <w:top w:val="none" w:sz="0" w:space="0" w:color="auto"/>
                                            <w:left w:val="none" w:sz="0" w:space="0" w:color="auto"/>
                                            <w:bottom w:val="none" w:sz="0" w:space="0" w:color="auto"/>
                                            <w:right w:val="none" w:sz="0" w:space="0" w:color="auto"/>
                                          </w:divBdr>
                                          <w:divsChild>
                                            <w:div w:id="401753992">
                                              <w:marLeft w:val="0"/>
                                              <w:marRight w:val="0"/>
                                              <w:marTop w:val="0"/>
                                              <w:marBottom w:val="0"/>
                                              <w:divBdr>
                                                <w:top w:val="none" w:sz="0" w:space="0" w:color="auto"/>
                                                <w:left w:val="none" w:sz="0" w:space="0" w:color="auto"/>
                                                <w:bottom w:val="none" w:sz="0" w:space="0" w:color="auto"/>
                                                <w:right w:val="none" w:sz="0" w:space="0" w:color="auto"/>
                                              </w:divBdr>
                                              <w:divsChild>
                                                <w:div w:id="602306495">
                                                  <w:marLeft w:val="0"/>
                                                  <w:marRight w:val="0"/>
                                                  <w:marTop w:val="0"/>
                                                  <w:marBottom w:val="0"/>
                                                  <w:divBdr>
                                                    <w:top w:val="none" w:sz="0" w:space="0" w:color="auto"/>
                                                    <w:left w:val="none" w:sz="0" w:space="0" w:color="auto"/>
                                                    <w:bottom w:val="none" w:sz="0" w:space="0" w:color="auto"/>
                                                    <w:right w:val="none" w:sz="0" w:space="0" w:color="auto"/>
                                                  </w:divBdr>
                                                  <w:divsChild>
                                                    <w:div w:id="644430306">
                                                      <w:marLeft w:val="0"/>
                                                      <w:marRight w:val="0"/>
                                                      <w:marTop w:val="0"/>
                                                      <w:marBottom w:val="0"/>
                                                      <w:divBdr>
                                                        <w:top w:val="none" w:sz="0" w:space="0" w:color="auto"/>
                                                        <w:left w:val="none" w:sz="0" w:space="0" w:color="auto"/>
                                                        <w:bottom w:val="none" w:sz="0" w:space="0" w:color="auto"/>
                                                        <w:right w:val="none" w:sz="0" w:space="0" w:color="auto"/>
                                                      </w:divBdr>
                                                      <w:divsChild>
                                                        <w:div w:id="490297021">
                                                          <w:marLeft w:val="0"/>
                                                          <w:marRight w:val="0"/>
                                                          <w:marTop w:val="0"/>
                                                          <w:marBottom w:val="0"/>
                                                          <w:divBdr>
                                                            <w:top w:val="none" w:sz="0" w:space="0" w:color="auto"/>
                                                            <w:left w:val="none" w:sz="0" w:space="0" w:color="auto"/>
                                                            <w:bottom w:val="none" w:sz="0" w:space="0" w:color="auto"/>
                                                            <w:right w:val="none" w:sz="0" w:space="0" w:color="auto"/>
                                                          </w:divBdr>
                                                          <w:divsChild>
                                                            <w:div w:id="560604647">
                                                              <w:marLeft w:val="0"/>
                                                              <w:marRight w:val="0"/>
                                                              <w:marTop w:val="0"/>
                                                              <w:marBottom w:val="0"/>
                                                              <w:divBdr>
                                                                <w:top w:val="none" w:sz="0" w:space="0" w:color="auto"/>
                                                                <w:left w:val="none" w:sz="0" w:space="0" w:color="auto"/>
                                                                <w:bottom w:val="none" w:sz="0" w:space="0" w:color="auto"/>
                                                                <w:right w:val="none" w:sz="0" w:space="0" w:color="auto"/>
                                                              </w:divBdr>
                                                              <w:divsChild>
                                                                <w:div w:id="1408528699">
                                                                  <w:marLeft w:val="0"/>
                                                                  <w:marRight w:val="0"/>
                                                                  <w:marTop w:val="0"/>
                                                                  <w:marBottom w:val="0"/>
                                                                  <w:divBdr>
                                                                    <w:top w:val="none" w:sz="0" w:space="0" w:color="auto"/>
                                                                    <w:left w:val="none" w:sz="0" w:space="0" w:color="auto"/>
                                                                    <w:bottom w:val="none" w:sz="0" w:space="0" w:color="auto"/>
                                                                    <w:right w:val="none" w:sz="0" w:space="0" w:color="auto"/>
                                                                  </w:divBdr>
                                                                  <w:divsChild>
                                                                    <w:div w:id="2037655110">
                                                                      <w:marLeft w:val="0"/>
                                                                      <w:marRight w:val="0"/>
                                                                      <w:marTop w:val="0"/>
                                                                      <w:marBottom w:val="0"/>
                                                                      <w:divBdr>
                                                                        <w:top w:val="none" w:sz="0" w:space="0" w:color="auto"/>
                                                                        <w:left w:val="none" w:sz="0" w:space="0" w:color="auto"/>
                                                                        <w:bottom w:val="none" w:sz="0" w:space="0" w:color="auto"/>
                                                                        <w:right w:val="none" w:sz="0" w:space="0" w:color="auto"/>
                                                                      </w:divBdr>
                                                                      <w:divsChild>
                                                                        <w:div w:id="1553924489">
                                                                          <w:marLeft w:val="0"/>
                                                                          <w:marRight w:val="0"/>
                                                                          <w:marTop w:val="0"/>
                                                                          <w:marBottom w:val="0"/>
                                                                          <w:divBdr>
                                                                            <w:top w:val="none" w:sz="0" w:space="0" w:color="auto"/>
                                                                            <w:left w:val="none" w:sz="0" w:space="0" w:color="auto"/>
                                                                            <w:bottom w:val="none" w:sz="0" w:space="0" w:color="auto"/>
                                                                            <w:right w:val="none" w:sz="0" w:space="0" w:color="auto"/>
                                                                          </w:divBdr>
                                                                          <w:divsChild>
                                                                            <w:div w:id="13132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294470">
      <w:bodyDiv w:val="1"/>
      <w:marLeft w:val="0"/>
      <w:marRight w:val="0"/>
      <w:marTop w:val="0"/>
      <w:marBottom w:val="0"/>
      <w:divBdr>
        <w:top w:val="none" w:sz="0" w:space="0" w:color="auto"/>
        <w:left w:val="none" w:sz="0" w:space="0" w:color="auto"/>
        <w:bottom w:val="none" w:sz="0" w:space="0" w:color="auto"/>
        <w:right w:val="none" w:sz="0" w:space="0" w:color="auto"/>
      </w:divBdr>
      <w:divsChild>
        <w:div w:id="2030250820">
          <w:marLeft w:val="0"/>
          <w:marRight w:val="0"/>
          <w:marTop w:val="0"/>
          <w:marBottom w:val="0"/>
          <w:divBdr>
            <w:top w:val="none" w:sz="0" w:space="0" w:color="auto"/>
            <w:left w:val="none" w:sz="0" w:space="0" w:color="auto"/>
            <w:bottom w:val="none" w:sz="0" w:space="0" w:color="auto"/>
            <w:right w:val="none" w:sz="0" w:space="0" w:color="auto"/>
          </w:divBdr>
        </w:div>
        <w:div w:id="1551306593">
          <w:marLeft w:val="0"/>
          <w:marRight w:val="0"/>
          <w:marTop w:val="0"/>
          <w:marBottom w:val="0"/>
          <w:divBdr>
            <w:top w:val="none" w:sz="0" w:space="0" w:color="auto"/>
            <w:left w:val="none" w:sz="0" w:space="0" w:color="auto"/>
            <w:bottom w:val="none" w:sz="0" w:space="0" w:color="auto"/>
            <w:right w:val="none" w:sz="0" w:space="0" w:color="auto"/>
          </w:divBdr>
        </w:div>
        <w:div w:id="393816732">
          <w:marLeft w:val="0"/>
          <w:marRight w:val="0"/>
          <w:marTop w:val="0"/>
          <w:marBottom w:val="0"/>
          <w:divBdr>
            <w:top w:val="none" w:sz="0" w:space="0" w:color="auto"/>
            <w:left w:val="none" w:sz="0" w:space="0" w:color="auto"/>
            <w:bottom w:val="none" w:sz="0" w:space="0" w:color="auto"/>
            <w:right w:val="none" w:sz="0" w:space="0" w:color="auto"/>
          </w:divBdr>
        </w:div>
        <w:div w:id="652103014">
          <w:marLeft w:val="0"/>
          <w:marRight w:val="0"/>
          <w:marTop w:val="0"/>
          <w:marBottom w:val="0"/>
          <w:divBdr>
            <w:top w:val="none" w:sz="0" w:space="0" w:color="auto"/>
            <w:left w:val="none" w:sz="0" w:space="0" w:color="auto"/>
            <w:bottom w:val="none" w:sz="0" w:space="0" w:color="auto"/>
            <w:right w:val="none" w:sz="0" w:space="0" w:color="auto"/>
          </w:divBdr>
        </w:div>
        <w:div w:id="1874268697">
          <w:marLeft w:val="0"/>
          <w:marRight w:val="0"/>
          <w:marTop w:val="0"/>
          <w:marBottom w:val="0"/>
          <w:divBdr>
            <w:top w:val="none" w:sz="0" w:space="0" w:color="auto"/>
            <w:left w:val="none" w:sz="0" w:space="0" w:color="auto"/>
            <w:bottom w:val="none" w:sz="0" w:space="0" w:color="auto"/>
            <w:right w:val="none" w:sz="0" w:space="0" w:color="auto"/>
          </w:divBdr>
        </w:div>
        <w:div w:id="1500467978">
          <w:marLeft w:val="0"/>
          <w:marRight w:val="0"/>
          <w:marTop w:val="0"/>
          <w:marBottom w:val="0"/>
          <w:divBdr>
            <w:top w:val="none" w:sz="0" w:space="0" w:color="auto"/>
            <w:left w:val="none" w:sz="0" w:space="0" w:color="auto"/>
            <w:bottom w:val="none" w:sz="0" w:space="0" w:color="auto"/>
            <w:right w:val="none" w:sz="0" w:space="0" w:color="auto"/>
          </w:divBdr>
        </w:div>
        <w:div w:id="1233732839">
          <w:marLeft w:val="0"/>
          <w:marRight w:val="0"/>
          <w:marTop w:val="0"/>
          <w:marBottom w:val="0"/>
          <w:divBdr>
            <w:top w:val="none" w:sz="0" w:space="0" w:color="auto"/>
            <w:left w:val="none" w:sz="0" w:space="0" w:color="auto"/>
            <w:bottom w:val="none" w:sz="0" w:space="0" w:color="auto"/>
            <w:right w:val="none" w:sz="0" w:space="0" w:color="auto"/>
          </w:divBdr>
        </w:div>
        <w:div w:id="1701932195">
          <w:marLeft w:val="0"/>
          <w:marRight w:val="0"/>
          <w:marTop w:val="0"/>
          <w:marBottom w:val="0"/>
          <w:divBdr>
            <w:top w:val="none" w:sz="0" w:space="0" w:color="auto"/>
            <w:left w:val="none" w:sz="0" w:space="0" w:color="auto"/>
            <w:bottom w:val="none" w:sz="0" w:space="0" w:color="auto"/>
            <w:right w:val="none" w:sz="0" w:space="0" w:color="auto"/>
          </w:divBdr>
        </w:div>
      </w:divsChild>
    </w:div>
    <w:div w:id="1080371286">
      <w:bodyDiv w:val="1"/>
      <w:marLeft w:val="0"/>
      <w:marRight w:val="0"/>
      <w:marTop w:val="0"/>
      <w:marBottom w:val="0"/>
      <w:divBdr>
        <w:top w:val="none" w:sz="0" w:space="0" w:color="auto"/>
        <w:left w:val="none" w:sz="0" w:space="0" w:color="auto"/>
        <w:bottom w:val="none" w:sz="0" w:space="0" w:color="auto"/>
        <w:right w:val="none" w:sz="0" w:space="0" w:color="auto"/>
      </w:divBdr>
    </w:div>
    <w:div w:id="1101099893">
      <w:bodyDiv w:val="1"/>
      <w:marLeft w:val="0"/>
      <w:marRight w:val="0"/>
      <w:marTop w:val="0"/>
      <w:marBottom w:val="0"/>
      <w:divBdr>
        <w:top w:val="none" w:sz="0" w:space="0" w:color="auto"/>
        <w:left w:val="none" w:sz="0" w:space="0" w:color="auto"/>
        <w:bottom w:val="none" w:sz="0" w:space="0" w:color="auto"/>
        <w:right w:val="none" w:sz="0" w:space="0" w:color="auto"/>
      </w:divBdr>
      <w:divsChild>
        <w:div w:id="201134622">
          <w:marLeft w:val="0"/>
          <w:marRight w:val="0"/>
          <w:marTop w:val="0"/>
          <w:marBottom w:val="0"/>
          <w:divBdr>
            <w:top w:val="none" w:sz="0" w:space="0" w:color="auto"/>
            <w:left w:val="none" w:sz="0" w:space="0" w:color="auto"/>
            <w:bottom w:val="none" w:sz="0" w:space="0" w:color="auto"/>
            <w:right w:val="none" w:sz="0" w:space="0" w:color="auto"/>
          </w:divBdr>
        </w:div>
        <w:div w:id="418870352">
          <w:marLeft w:val="0"/>
          <w:marRight w:val="0"/>
          <w:marTop w:val="0"/>
          <w:marBottom w:val="0"/>
          <w:divBdr>
            <w:top w:val="none" w:sz="0" w:space="0" w:color="auto"/>
            <w:left w:val="none" w:sz="0" w:space="0" w:color="auto"/>
            <w:bottom w:val="none" w:sz="0" w:space="0" w:color="auto"/>
            <w:right w:val="none" w:sz="0" w:space="0" w:color="auto"/>
          </w:divBdr>
        </w:div>
        <w:div w:id="1552614519">
          <w:marLeft w:val="0"/>
          <w:marRight w:val="0"/>
          <w:marTop w:val="0"/>
          <w:marBottom w:val="0"/>
          <w:divBdr>
            <w:top w:val="none" w:sz="0" w:space="0" w:color="auto"/>
            <w:left w:val="none" w:sz="0" w:space="0" w:color="auto"/>
            <w:bottom w:val="none" w:sz="0" w:space="0" w:color="auto"/>
            <w:right w:val="none" w:sz="0" w:space="0" w:color="auto"/>
          </w:divBdr>
        </w:div>
        <w:div w:id="1599484559">
          <w:marLeft w:val="0"/>
          <w:marRight w:val="0"/>
          <w:marTop w:val="0"/>
          <w:marBottom w:val="0"/>
          <w:divBdr>
            <w:top w:val="none" w:sz="0" w:space="0" w:color="auto"/>
            <w:left w:val="none" w:sz="0" w:space="0" w:color="auto"/>
            <w:bottom w:val="none" w:sz="0" w:space="0" w:color="auto"/>
            <w:right w:val="none" w:sz="0" w:space="0" w:color="auto"/>
          </w:divBdr>
        </w:div>
      </w:divsChild>
    </w:div>
    <w:div w:id="1104108862">
      <w:bodyDiv w:val="1"/>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sChild>
            <w:div w:id="831021937">
              <w:marLeft w:val="0"/>
              <w:marRight w:val="0"/>
              <w:marTop w:val="0"/>
              <w:marBottom w:val="0"/>
              <w:divBdr>
                <w:top w:val="none" w:sz="0" w:space="0" w:color="auto"/>
                <w:left w:val="none" w:sz="0" w:space="0" w:color="auto"/>
                <w:bottom w:val="none" w:sz="0" w:space="0" w:color="auto"/>
                <w:right w:val="none" w:sz="0" w:space="0" w:color="auto"/>
              </w:divBdr>
              <w:divsChild>
                <w:div w:id="440993817">
                  <w:marLeft w:val="0"/>
                  <w:marRight w:val="0"/>
                  <w:marTop w:val="0"/>
                  <w:marBottom w:val="0"/>
                  <w:divBdr>
                    <w:top w:val="none" w:sz="0" w:space="0" w:color="auto"/>
                    <w:left w:val="none" w:sz="0" w:space="0" w:color="auto"/>
                    <w:bottom w:val="none" w:sz="0" w:space="0" w:color="auto"/>
                    <w:right w:val="none" w:sz="0" w:space="0" w:color="auto"/>
                  </w:divBdr>
                  <w:divsChild>
                    <w:div w:id="839582551">
                      <w:marLeft w:val="0"/>
                      <w:marRight w:val="0"/>
                      <w:marTop w:val="0"/>
                      <w:marBottom w:val="0"/>
                      <w:divBdr>
                        <w:top w:val="none" w:sz="0" w:space="0" w:color="auto"/>
                        <w:left w:val="none" w:sz="0" w:space="0" w:color="auto"/>
                        <w:bottom w:val="none" w:sz="0" w:space="0" w:color="auto"/>
                        <w:right w:val="none" w:sz="0" w:space="0" w:color="auto"/>
                      </w:divBdr>
                      <w:divsChild>
                        <w:div w:id="1496072234">
                          <w:marLeft w:val="0"/>
                          <w:marRight w:val="0"/>
                          <w:marTop w:val="0"/>
                          <w:marBottom w:val="0"/>
                          <w:divBdr>
                            <w:top w:val="none" w:sz="0" w:space="0" w:color="auto"/>
                            <w:left w:val="none" w:sz="0" w:space="0" w:color="auto"/>
                            <w:bottom w:val="none" w:sz="0" w:space="0" w:color="auto"/>
                            <w:right w:val="none" w:sz="0" w:space="0" w:color="auto"/>
                          </w:divBdr>
                          <w:divsChild>
                            <w:div w:id="534923958">
                              <w:marLeft w:val="0"/>
                              <w:marRight w:val="0"/>
                              <w:marTop w:val="100"/>
                              <w:marBottom w:val="100"/>
                              <w:divBdr>
                                <w:top w:val="none" w:sz="0" w:space="0" w:color="auto"/>
                                <w:left w:val="none" w:sz="0" w:space="0" w:color="auto"/>
                                <w:bottom w:val="none" w:sz="0" w:space="0" w:color="auto"/>
                                <w:right w:val="none" w:sz="0" w:space="0" w:color="auto"/>
                              </w:divBdr>
                              <w:divsChild>
                                <w:div w:id="2080781220">
                                  <w:marLeft w:val="0"/>
                                  <w:marRight w:val="0"/>
                                  <w:marTop w:val="0"/>
                                  <w:marBottom w:val="0"/>
                                  <w:divBdr>
                                    <w:top w:val="none" w:sz="0" w:space="0" w:color="auto"/>
                                    <w:left w:val="none" w:sz="0" w:space="0" w:color="auto"/>
                                    <w:bottom w:val="none" w:sz="0" w:space="0" w:color="auto"/>
                                    <w:right w:val="none" w:sz="0" w:space="0" w:color="auto"/>
                                  </w:divBdr>
                                  <w:divsChild>
                                    <w:div w:id="1646665580">
                                      <w:marLeft w:val="0"/>
                                      <w:marRight w:val="0"/>
                                      <w:marTop w:val="0"/>
                                      <w:marBottom w:val="0"/>
                                      <w:divBdr>
                                        <w:top w:val="none" w:sz="0" w:space="0" w:color="auto"/>
                                        <w:left w:val="none" w:sz="0" w:space="0" w:color="auto"/>
                                        <w:bottom w:val="none" w:sz="0" w:space="0" w:color="auto"/>
                                        <w:right w:val="none" w:sz="0" w:space="0" w:color="auto"/>
                                      </w:divBdr>
                                      <w:divsChild>
                                        <w:div w:id="13584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855098">
      <w:bodyDiv w:val="1"/>
      <w:marLeft w:val="0"/>
      <w:marRight w:val="0"/>
      <w:marTop w:val="0"/>
      <w:marBottom w:val="0"/>
      <w:divBdr>
        <w:top w:val="none" w:sz="0" w:space="0" w:color="auto"/>
        <w:left w:val="none" w:sz="0" w:space="0" w:color="auto"/>
        <w:bottom w:val="none" w:sz="0" w:space="0" w:color="auto"/>
        <w:right w:val="none" w:sz="0" w:space="0" w:color="auto"/>
      </w:divBdr>
      <w:divsChild>
        <w:div w:id="1392655803">
          <w:marLeft w:val="0"/>
          <w:marRight w:val="0"/>
          <w:marTop w:val="0"/>
          <w:marBottom w:val="0"/>
          <w:divBdr>
            <w:top w:val="none" w:sz="0" w:space="0" w:color="auto"/>
            <w:left w:val="none" w:sz="0" w:space="0" w:color="auto"/>
            <w:bottom w:val="none" w:sz="0" w:space="0" w:color="auto"/>
            <w:right w:val="none" w:sz="0" w:space="0" w:color="auto"/>
          </w:divBdr>
        </w:div>
        <w:div w:id="1462072224">
          <w:marLeft w:val="0"/>
          <w:marRight w:val="0"/>
          <w:marTop w:val="0"/>
          <w:marBottom w:val="0"/>
          <w:divBdr>
            <w:top w:val="none" w:sz="0" w:space="0" w:color="auto"/>
            <w:left w:val="none" w:sz="0" w:space="0" w:color="auto"/>
            <w:bottom w:val="none" w:sz="0" w:space="0" w:color="auto"/>
            <w:right w:val="none" w:sz="0" w:space="0" w:color="auto"/>
          </w:divBdr>
        </w:div>
        <w:div w:id="2096047741">
          <w:marLeft w:val="0"/>
          <w:marRight w:val="0"/>
          <w:marTop w:val="0"/>
          <w:marBottom w:val="0"/>
          <w:divBdr>
            <w:top w:val="none" w:sz="0" w:space="0" w:color="auto"/>
            <w:left w:val="none" w:sz="0" w:space="0" w:color="auto"/>
            <w:bottom w:val="none" w:sz="0" w:space="0" w:color="auto"/>
            <w:right w:val="none" w:sz="0" w:space="0" w:color="auto"/>
          </w:divBdr>
        </w:div>
        <w:div w:id="253901407">
          <w:marLeft w:val="0"/>
          <w:marRight w:val="0"/>
          <w:marTop w:val="0"/>
          <w:marBottom w:val="0"/>
          <w:divBdr>
            <w:top w:val="none" w:sz="0" w:space="0" w:color="auto"/>
            <w:left w:val="none" w:sz="0" w:space="0" w:color="auto"/>
            <w:bottom w:val="none" w:sz="0" w:space="0" w:color="auto"/>
            <w:right w:val="none" w:sz="0" w:space="0" w:color="auto"/>
          </w:divBdr>
        </w:div>
        <w:div w:id="2027704774">
          <w:marLeft w:val="0"/>
          <w:marRight w:val="0"/>
          <w:marTop w:val="0"/>
          <w:marBottom w:val="0"/>
          <w:divBdr>
            <w:top w:val="none" w:sz="0" w:space="0" w:color="auto"/>
            <w:left w:val="none" w:sz="0" w:space="0" w:color="auto"/>
            <w:bottom w:val="none" w:sz="0" w:space="0" w:color="auto"/>
            <w:right w:val="none" w:sz="0" w:space="0" w:color="auto"/>
          </w:divBdr>
        </w:div>
      </w:divsChild>
    </w:div>
    <w:div w:id="1121192107">
      <w:bodyDiv w:val="1"/>
      <w:marLeft w:val="0"/>
      <w:marRight w:val="0"/>
      <w:marTop w:val="0"/>
      <w:marBottom w:val="0"/>
      <w:divBdr>
        <w:top w:val="none" w:sz="0" w:space="0" w:color="auto"/>
        <w:left w:val="none" w:sz="0" w:space="0" w:color="auto"/>
        <w:bottom w:val="none" w:sz="0" w:space="0" w:color="auto"/>
        <w:right w:val="none" w:sz="0" w:space="0" w:color="auto"/>
      </w:divBdr>
    </w:div>
    <w:div w:id="1180316032">
      <w:bodyDiv w:val="1"/>
      <w:marLeft w:val="0"/>
      <w:marRight w:val="0"/>
      <w:marTop w:val="0"/>
      <w:marBottom w:val="0"/>
      <w:divBdr>
        <w:top w:val="none" w:sz="0" w:space="0" w:color="auto"/>
        <w:left w:val="none" w:sz="0" w:space="0" w:color="auto"/>
        <w:bottom w:val="none" w:sz="0" w:space="0" w:color="auto"/>
        <w:right w:val="none" w:sz="0" w:space="0" w:color="auto"/>
      </w:divBdr>
      <w:divsChild>
        <w:div w:id="1461412099">
          <w:marLeft w:val="0"/>
          <w:marRight w:val="0"/>
          <w:marTop w:val="100"/>
          <w:marBottom w:val="100"/>
          <w:divBdr>
            <w:top w:val="none" w:sz="0" w:space="0" w:color="auto"/>
            <w:left w:val="none" w:sz="0" w:space="0" w:color="auto"/>
            <w:bottom w:val="none" w:sz="0" w:space="0" w:color="auto"/>
            <w:right w:val="none" w:sz="0" w:space="0" w:color="auto"/>
          </w:divBdr>
          <w:divsChild>
            <w:div w:id="478888830">
              <w:marLeft w:val="0"/>
              <w:marRight w:val="0"/>
              <w:marTop w:val="0"/>
              <w:marBottom w:val="0"/>
              <w:divBdr>
                <w:top w:val="none" w:sz="0" w:space="0" w:color="auto"/>
                <w:left w:val="none" w:sz="0" w:space="0" w:color="auto"/>
                <w:bottom w:val="none" w:sz="0" w:space="0" w:color="auto"/>
                <w:right w:val="none" w:sz="0" w:space="0" w:color="auto"/>
              </w:divBdr>
              <w:divsChild>
                <w:div w:id="1118836188">
                  <w:marLeft w:val="105"/>
                  <w:marRight w:val="105"/>
                  <w:marTop w:val="105"/>
                  <w:marBottom w:val="105"/>
                  <w:divBdr>
                    <w:top w:val="none" w:sz="0" w:space="0" w:color="auto"/>
                    <w:left w:val="none" w:sz="0" w:space="0" w:color="auto"/>
                    <w:bottom w:val="none" w:sz="0" w:space="0" w:color="auto"/>
                    <w:right w:val="none" w:sz="0" w:space="0" w:color="auto"/>
                  </w:divBdr>
                  <w:divsChild>
                    <w:div w:id="87507030">
                      <w:marLeft w:val="0"/>
                      <w:marRight w:val="0"/>
                      <w:marTop w:val="0"/>
                      <w:marBottom w:val="0"/>
                      <w:divBdr>
                        <w:top w:val="none" w:sz="0" w:space="0" w:color="auto"/>
                        <w:left w:val="none" w:sz="0" w:space="0" w:color="auto"/>
                        <w:bottom w:val="none" w:sz="0" w:space="0" w:color="auto"/>
                        <w:right w:val="none" w:sz="0" w:space="0" w:color="auto"/>
                      </w:divBdr>
                      <w:divsChild>
                        <w:div w:id="1827748178">
                          <w:marLeft w:val="0"/>
                          <w:marRight w:val="0"/>
                          <w:marTop w:val="0"/>
                          <w:marBottom w:val="0"/>
                          <w:divBdr>
                            <w:top w:val="none" w:sz="0" w:space="0" w:color="auto"/>
                            <w:left w:val="none" w:sz="0" w:space="0" w:color="auto"/>
                            <w:bottom w:val="none" w:sz="0" w:space="0" w:color="auto"/>
                            <w:right w:val="none" w:sz="0" w:space="0" w:color="auto"/>
                          </w:divBdr>
                          <w:divsChild>
                            <w:div w:id="74471950">
                              <w:marLeft w:val="105"/>
                              <w:marRight w:val="105"/>
                              <w:marTop w:val="105"/>
                              <w:marBottom w:val="105"/>
                              <w:divBdr>
                                <w:top w:val="none" w:sz="0" w:space="0" w:color="auto"/>
                                <w:left w:val="none" w:sz="0" w:space="0" w:color="auto"/>
                                <w:bottom w:val="none" w:sz="0" w:space="0" w:color="auto"/>
                                <w:right w:val="none" w:sz="0" w:space="0" w:color="auto"/>
                              </w:divBdr>
                              <w:divsChild>
                                <w:div w:id="1201429664">
                                  <w:marLeft w:val="0"/>
                                  <w:marRight w:val="0"/>
                                  <w:marTop w:val="0"/>
                                  <w:marBottom w:val="0"/>
                                  <w:divBdr>
                                    <w:top w:val="none" w:sz="0" w:space="0" w:color="auto"/>
                                    <w:left w:val="none" w:sz="0" w:space="0" w:color="auto"/>
                                    <w:bottom w:val="none" w:sz="0" w:space="0" w:color="auto"/>
                                    <w:right w:val="none" w:sz="0" w:space="0" w:color="auto"/>
                                  </w:divBdr>
                                  <w:divsChild>
                                    <w:div w:id="1287859482">
                                      <w:marLeft w:val="0"/>
                                      <w:marRight w:val="0"/>
                                      <w:marTop w:val="0"/>
                                      <w:marBottom w:val="0"/>
                                      <w:divBdr>
                                        <w:top w:val="none" w:sz="0" w:space="0" w:color="auto"/>
                                        <w:left w:val="none" w:sz="0" w:space="0" w:color="auto"/>
                                        <w:bottom w:val="none" w:sz="0" w:space="0" w:color="auto"/>
                                        <w:right w:val="none" w:sz="0" w:space="0" w:color="auto"/>
                                      </w:divBdr>
                                      <w:divsChild>
                                        <w:div w:id="1254360440">
                                          <w:marLeft w:val="0"/>
                                          <w:marRight w:val="0"/>
                                          <w:marTop w:val="0"/>
                                          <w:marBottom w:val="0"/>
                                          <w:divBdr>
                                            <w:top w:val="none" w:sz="0" w:space="0" w:color="auto"/>
                                            <w:left w:val="none" w:sz="0" w:space="0" w:color="auto"/>
                                            <w:bottom w:val="none" w:sz="0" w:space="0" w:color="auto"/>
                                            <w:right w:val="none" w:sz="0" w:space="0" w:color="auto"/>
                                          </w:divBdr>
                                          <w:divsChild>
                                            <w:div w:id="176162114">
                                              <w:marLeft w:val="0"/>
                                              <w:marRight w:val="0"/>
                                              <w:marTop w:val="0"/>
                                              <w:marBottom w:val="0"/>
                                              <w:divBdr>
                                                <w:top w:val="none" w:sz="0" w:space="0" w:color="auto"/>
                                                <w:left w:val="none" w:sz="0" w:space="0" w:color="auto"/>
                                                <w:bottom w:val="none" w:sz="0" w:space="0" w:color="auto"/>
                                                <w:right w:val="none" w:sz="0" w:space="0" w:color="auto"/>
                                              </w:divBdr>
                                              <w:divsChild>
                                                <w:div w:id="824663043">
                                                  <w:marLeft w:val="105"/>
                                                  <w:marRight w:val="105"/>
                                                  <w:marTop w:val="105"/>
                                                  <w:marBottom w:val="105"/>
                                                  <w:divBdr>
                                                    <w:top w:val="none" w:sz="0" w:space="0" w:color="auto"/>
                                                    <w:left w:val="none" w:sz="0" w:space="0" w:color="auto"/>
                                                    <w:bottom w:val="none" w:sz="0" w:space="0" w:color="auto"/>
                                                    <w:right w:val="none" w:sz="0" w:space="0" w:color="auto"/>
                                                  </w:divBdr>
                                                  <w:divsChild>
                                                    <w:div w:id="1538006289">
                                                      <w:marLeft w:val="0"/>
                                                      <w:marRight w:val="0"/>
                                                      <w:marTop w:val="0"/>
                                                      <w:marBottom w:val="0"/>
                                                      <w:divBdr>
                                                        <w:top w:val="none" w:sz="0" w:space="0" w:color="auto"/>
                                                        <w:left w:val="none" w:sz="0" w:space="0" w:color="auto"/>
                                                        <w:bottom w:val="none" w:sz="0" w:space="0" w:color="auto"/>
                                                        <w:right w:val="none" w:sz="0" w:space="0" w:color="auto"/>
                                                      </w:divBdr>
                                                      <w:divsChild>
                                                        <w:div w:id="688337712">
                                                          <w:marLeft w:val="0"/>
                                                          <w:marRight w:val="0"/>
                                                          <w:marTop w:val="0"/>
                                                          <w:marBottom w:val="0"/>
                                                          <w:divBdr>
                                                            <w:top w:val="none" w:sz="0" w:space="0" w:color="auto"/>
                                                            <w:left w:val="none" w:sz="0" w:space="0" w:color="auto"/>
                                                            <w:bottom w:val="none" w:sz="0" w:space="0" w:color="auto"/>
                                                            <w:right w:val="none" w:sz="0" w:space="0" w:color="auto"/>
                                                          </w:divBdr>
                                                          <w:divsChild>
                                                            <w:div w:id="1581863269">
                                                              <w:marLeft w:val="0"/>
                                                              <w:marRight w:val="0"/>
                                                              <w:marTop w:val="0"/>
                                                              <w:marBottom w:val="0"/>
                                                              <w:divBdr>
                                                                <w:top w:val="none" w:sz="0" w:space="0" w:color="auto"/>
                                                                <w:left w:val="none" w:sz="0" w:space="0" w:color="auto"/>
                                                                <w:bottom w:val="none" w:sz="0" w:space="0" w:color="auto"/>
                                                                <w:right w:val="none" w:sz="0" w:space="0" w:color="auto"/>
                                                              </w:divBdr>
                                                              <w:divsChild>
                                                                <w:div w:id="1501889909">
                                                                  <w:marLeft w:val="0"/>
                                                                  <w:marRight w:val="0"/>
                                                                  <w:marTop w:val="0"/>
                                                                  <w:marBottom w:val="0"/>
                                                                  <w:divBdr>
                                                                    <w:top w:val="none" w:sz="0" w:space="0" w:color="auto"/>
                                                                    <w:left w:val="none" w:sz="0" w:space="0" w:color="auto"/>
                                                                    <w:bottom w:val="none" w:sz="0" w:space="0" w:color="auto"/>
                                                                    <w:right w:val="none" w:sz="0" w:space="0" w:color="auto"/>
                                                                  </w:divBdr>
                                                                  <w:divsChild>
                                                                    <w:div w:id="338429938">
                                                                      <w:marLeft w:val="0"/>
                                                                      <w:marRight w:val="0"/>
                                                                      <w:marTop w:val="0"/>
                                                                      <w:marBottom w:val="0"/>
                                                                      <w:divBdr>
                                                                        <w:top w:val="none" w:sz="0" w:space="0" w:color="auto"/>
                                                                        <w:left w:val="none" w:sz="0" w:space="0" w:color="auto"/>
                                                                        <w:bottom w:val="none" w:sz="0" w:space="0" w:color="auto"/>
                                                                        <w:right w:val="none" w:sz="0" w:space="0" w:color="auto"/>
                                                                      </w:divBdr>
                                                                      <w:divsChild>
                                                                        <w:div w:id="1387988032">
                                                                          <w:marLeft w:val="105"/>
                                                                          <w:marRight w:val="105"/>
                                                                          <w:marTop w:val="105"/>
                                                                          <w:marBottom w:val="105"/>
                                                                          <w:divBdr>
                                                                            <w:top w:val="none" w:sz="0" w:space="0" w:color="auto"/>
                                                                            <w:left w:val="none" w:sz="0" w:space="0" w:color="auto"/>
                                                                            <w:bottom w:val="none" w:sz="0" w:space="0" w:color="auto"/>
                                                                            <w:right w:val="none" w:sz="0" w:space="0" w:color="auto"/>
                                                                          </w:divBdr>
                                                                          <w:divsChild>
                                                                            <w:div w:id="1523545785">
                                                                              <w:marLeft w:val="0"/>
                                                                              <w:marRight w:val="0"/>
                                                                              <w:marTop w:val="0"/>
                                                                              <w:marBottom w:val="0"/>
                                                                              <w:divBdr>
                                                                                <w:top w:val="none" w:sz="0" w:space="0" w:color="auto"/>
                                                                                <w:left w:val="none" w:sz="0" w:space="0" w:color="auto"/>
                                                                                <w:bottom w:val="none" w:sz="0" w:space="0" w:color="auto"/>
                                                                                <w:right w:val="none" w:sz="0" w:space="0" w:color="auto"/>
                                                                              </w:divBdr>
                                                                              <w:divsChild>
                                                                                <w:div w:id="1549756065">
                                                                                  <w:marLeft w:val="0"/>
                                                                                  <w:marRight w:val="0"/>
                                                                                  <w:marTop w:val="0"/>
                                                                                  <w:marBottom w:val="0"/>
                                                                                  <w:divBdr>
                                                                                    <w:top w:val="none" w:sz="0" w:space="0" w:color="auto"/>
                                                                                    <w:left w:val="none" w:sz="0" w:space="0" w:color="auto"/>
                                                                                    <w:bottom w:val="none" w:sz="0" w:space="0" w:color="auto"/>
                                                                                    <w:right w:val="none" w:sz="0" w:space="0" w:color="auto"/>
                                                                                  </w:divBdr>
                                                                                  <w:divsChild>
                                                                                    <w:div w:id="891964273">
                                                                                      <w:marLeft w:val="0"/>
                                                                                      <w:marRight w:val="0"/>
                                                                                      <w:marTop w:val="0"/>
                                                                                      <w:marBottom w:val="0"/>
                                                                                      <w:divBdr>
                                                                                        <w:top w:val="none" w:sz="0" w:space="0" w:color="auto"/>
                                                                                        <w:left w:val="none" w:sz="0" w:space="0" w:color="auto"/>
                                                                                        <w:bottom w:val="none" w:sz="0" w:space="0" w:color="auto"/>
                                                                                        <w:right w:val="none" w:sz="0" w:space="0" w:color="auto"/>
                                                                                      </w:divBdr>
                                                                                      <w:divsChild>
                                                                                        <w:div w:id="2118866891">
                                                                                          <w:marLeft w:val="0"/>
                                                                                          <w:marRight w:val="0"/>
                                                                                          <w:marTop w:val="0"/>
                                                                                          <w:marBottom w:val="0"/>
                                                                                          <w:divBdr>
                                                                                            <w:top w:val="none" w:sz="0" w:space="0" w:color="auto"/>
                                                                                            <w:left w:val="none" w:sz="0" w:space="0" w:color="auto"/>
                                                                                            <w:bottom w:val="none" w:sz="0" w:space="0" w:color="auto"/>
                                                                                            <w:right w:val="none" w:sz="0" w:space="0" w:color="auto"/>
                                                                                          </w:divBdr>
                                                                                          <w:divsChild>
                                                                                            <w:div w:id="928082548">
                                                                                              <w:marLeft w:val="0"/>
                                                                                              <w:marRight w:val="0"/>
                                                                                              <w:marTop w:val="0"/>
                                                                                              <w:marBottom w:val="0"/>
                                                                                              <w:divBdr>
                                                                                                <w:top w:val="none" w:sz="0" w:space="0" w:color="auto"/>
                                                                                                <w:left w:val="none" w:sz="0" w:space="0" w:color="auto"/>
                                                                                                <w:bottom w:val="none" w:sz="0" w:space="0" w:color="auto"/>
                                                                                                <w:right w:val="none" w:sz="0" w:space="0" w:color="auto"/>
                                                                                              </w:divBdr>
                                                                                              <w:divsChild>
                                                                                                <w:div w:id="1699433889">
                                                                                                  <w:marLeft w:val="0"/>
                                                                                                  <w:marRight w:val="0"/>
                                                                                                  <w:marTop w:val="0"/>
                                                                                                  <w:marBottom w:val="0"/>
                                                                                                  <w:divBdr>
                                                                                                    <w:top w:val="none" w:sz="0" w:space="0" w:color="auto"/>
                                                                                                    <w:left w:val="none" w:sz="0" w:space="0" w:color="auto"/>
                                                                                                    <w:bottom w:val="none" w:sz="0" w:space="0" w:color="auto"/>
                                                                                                    <w:right w:val="none" w:sz="0" w:space="0" w:color="auto"/>
                                                                                                  </w:divBdr>
                                                                                                  <w:divsChild>
                                                                                                    <w:div w:id="1381981026">
                                                                                                      <w:marLeft w:val="105"/>
                                                                                                      <w:marRight w:val="105"/>
                                                                                                      <w:marTop w:val="105"/>
                                                                                                      <w:marBottom w:val="105"/>
                                                                                                      <w:divBdr>
                                                                                                        <w:top w:val="none" w:sz="0" w:space="0" w:color="auto"/>
                                                                                                        <w:left w:val="none" w:sz="0" w:space="0" w:color="auto"/>
                                                                                                        <w:bottom w:val="none" w:sz="0" w:space="0" w:color="auto"/>
                                                                                                        <w:right w:val="none" w:sz="0" w:space="0" w:color="auto"/>
                                                                                                      </w:divBdr>
                                                                                                      <w:divsChild>
                                                                                                        <w:div w:id="239406643">
                                                                                                          <w:marLeft w:val="0"/>
                                                                                                          <w:marRight w:val="0"/>
                                                                                                          <w:marTop w:val="0"/>
                                                                                                          <w:marBottom w:val="0"/>
                                                                                                          <w:divBdr>
                                                                                                            <w:top w:val="none" w:sz="0" w:space="0" w:color="auto"/>
                                                                                                            <w:left w:val="none" w:sz="0" w:space="0" w:color="auto"/>
                                                                                                            <w:bottom w:val="none" w:sz="0" w:space="0" w:color="auto"/>
                                                                                                            <w:right w:val="none" w:sz="0" w:space="0" w:color="auto"/>
                                                                                                          </w:divBdr>
                                                                                                          <w:divsChild>
                                                                                                            <w:div w:id="2004433124">
                                                                                                              <w:marLeft w:val="0"/>
                                                                                                              <w:marRight w:val="0"/>
                                                                                                              <w:marTop w:val="0"/>
                                                                                                              <w:marBottom w:val="0"/>
                                                                                                              <w:divBdr>
                                                                                                                <w:top w:val="none" w:sz="0" w:space="0" w:color="auto"/>
                                                                                                                <w:left w:val="none" w:sz="0" w:space="0" w:color="auto"/>
                                                                                                                <w:bottom w:val="none" w:sz="0" w:space="0" w:color="auto"/>
                                                                                                                <w:right w:val="none" w:sz="0" w:space="0" w:color="auto"/>
                                                                                                              </w:divBdr>
                                                                                                              <w:divsChild>
                                                                                                                <w:div w:id="1852454745">
                                                                                                                  <w:marLeft w:val="0"/>
                                                                                                                  <w:marRight w:val="0"/>
                                                                                                                  <w:marTop w:val="0"/>
                                                                                                                  <w:marBottom w:val="0"/>
                                                                                                                  <w:divBdr>
                                                                                                                    <w:top w:val="none" w:sz="0" w:space="0" w:color="auto"/>
                                                                                                                    <w:left w:val="none" w:sz="0" w:space="0" w:color="auto"/>
                                                                                                                    <w:bottom w:val="none" w:sz="0" w:space="0" w:color="auto"/>
                                                                                                                    <w:right w:val="none" w:sz="0" w:space="0" w:color="auto"/>
                                                                                                                  </w:divBdr>
                                                                                                                  <w:divsChild>
                                                                                                                    <w:div w:id="1161846793">
                                                                                                                      <w:marLeft w:val="0"/>
                                                                                                                      <w:marRight w:val="0"/>
                                                                                                                      <w:marTop w:val="0"/>
                                                                                                                      <w:marBottom w:val="0"/>
                                                                                                                      <w:divBdr>
                                                                                                                        <w:top w:val="none" w:sz="0" w:space="0" w:color="auto"/>
                                                                                                                        <w:left w:val="none" w:sz="0" w:space="0" w:color="auto"/>
                                                                                                                        <w:bottom w:val="none" w:sz="0" w:space="0" w:color="auto"/>
                                                                                                                        <w:right w:val="none" w:sz="0" w:space="0" w:color="auto"/>
                                                                                                                      </w:divBdr>
                                                                                                                      <w:divsChild>
                                                                                                                        <w:div w:id="580408311">
                                                                                                                          <w:marLeft w:val="0"/>
                                                                                                                          <w:marRight w:val="0"/>
                                                                                                                          <w:marTop w:val="0"/>
                                                                                                                          <w:marBottom w:val="0"/>
                                                                                                                          <w:divBdr>
                                                                                                                            <w:top w:val="none" w:sz="0" w:space="0" w:color="auto"/>
                                                                                                                            <w:left w:val="none" w:sz="0" w:space="0" w:color="auto"/>
                                                                                                                            <w:bottom w:val="none" w:sz="0" w:space="0" w:color="auto"/>
                                                                                                                            <w:right w:val="none" w:sz="0" w:space="0" w:color="auto"/>
                                                                                                                          </w:divBdr>
                                                                                                                          <w:divsChild>
                                                                                                                            <w:div w:id="10665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227288">
      <w:bodyDiv w:val="1"/>
      <w:marLeft w:val="0"/>
      <w:marRight w:val="0"/>
      <w:marTop w:val="0"/>
      <w:marBottom w:val="0"/>
      <w:divBdr>
        <w:top w:val="none" w:sz="0" w:space="0" w:color="auto"/>
        <w:left w:val="none" w:sz="0" w:space="0" w:color="auto"/>
        <w:bottom w:val="none" w:sz="0" w:space="0" w:color="auto"/>
        <w:right w:val="none" w:sz="0" w:space="0" w:color="auto"/>
      </w:divBdr>
      <w:divsChild>
        <w:div w:id="1266958737">
          <w:marLeft w:val="0"/>
          <w:marRight w:val="0"/>
          <w:marTop w:val="0"/>
          <w:marBottom w:val="0"/>
          <w:divBdr>
            <w:top w:val="none" w:sz="0" w:space="0" w:color="auto"/>
            <w:left w:val="none" w:sz="0" w:space="0" w:color="auto"/>
            <w:bottom w:val="none" w:sz="0" w:space="0" w:color="auto"/>
            <w:right w:val="none" w:sz="0" w:space="0" w:color="auto"/>
          </w:divBdr>
        </w:div>
        <w:div w:id="2092700033">
          <w:marLeft w:val="0"/>
          <w:marRight w:val="0"/>
          <w:marTop w:val="0"/>
          <w:marBottom w:val="0"/>
          <w:divBdr>
            <w:top w:val="none" w:sz="0" w:space="0" w:color="auto"/>
            <w:left w:val="none" w:sz="0" w:space="0" w:color="auto"/>
            <w:bottom w:val="none" w:sz="0" w:space="0" w:color="auto"/>
            <w:right w:val="none" w:sz="0" w:space="0" w:color="auto"/>
          </w:divBdr>
        </w:div>
        <w:div w:id="447359581">
          <w:marLeft w:val="0"/>
          <w:marRight w:val="0"/>
          <w:marTop w:val="0"/>
          <w:marBottom w:val="0"/>
          <w:divBdr>
            <w:top w:val="none" w:sz="0" w:space="0" w:color="auto"/>
            <w:left w:val="none" w:sz="0" w:space="0" w:color="auto"/>
            <w:bottom w:val="none" w:sz="0" w:space="0" w:color="auto"/>
            <w:right w:val="none" w:sz="0" w:space="0" w:color="auto"/>
          </w:divBdr>
        </w:div>
      </w:divsChild>
    </w:div>
    <w:div w:id="1253930091">
      <w:bodyDiv w:val="1"/>
      <w:marLeft w:val="0"/>
      <w:marRight w:val="0"/>
      <w:marTop w:val="0"/>
      <w:marBottom w:val="0"/>
      <w:divBdr>
        <w:top w:val="none" w:sz="0" w:space="0" w:color="auto"/>
        <w:left w:val="none" w:sz="0" w:space="0" w:color="auto"/>
        <w:bottom w:val="none" w:sz="0" w:space="0" w:color="auto"/>
        <w:right w:val="none" w:sz="0" w:space="0" w:color="auto"/>
      </w:divBdr>
    </w:div>
    <w:div w:id="1254432166">
      <w:bodyDiv w:val="1"/>
      <w:marLeft w:val="0"/>
      <w:marRight w:val="0"/>
      <w:marTop w:val="0"/>
      <w:marBottom w:val="0"/>
      <w:divBdr>
        <w:top w:val="none" w:sz="0" w:space="0" w:color="auto"/>
        <w:left w:val="none" w:sz="0" w:space="0" w:color="auto"/>
        <w:bottom w:val="none" w:sz="0" w:space="0" w:color="auto"/>
        <w:right w:val="none" w:sz="0" w:space="0" w:color="auto"/>
      </w:divBdr>
      <w:divsChild>
        <w:div w:id="266500814">
          <w:marLeft w:val="0"/>
          <w:marRight w:val="0"/>
          <w:marTop w:val="0"/>
          <w:marBottom w:val="0"/>
          <w:divBdr>
            <w:top w:val="none" w:sz="0" w:space="0" w:color="auto"/>
            <w:left w:val="none" w:sz="0" w:space="0" w:color="auto"/>
            <w:bottom w:val="none" w:sz="0" w:space="0" w:color="auto"/>
            <w:right w:val="none" w:sz="0" w:space="0" w:color="auto"/>
          </w:divBdr>
          <w:divsChild>
            <w:div w:id="23096028">
              <w:marLeft w:val="0"/>
              <w:marRight w:val="0"/>
              <w:marTop w:val="0"/>
              <w:marBottom w:val="450"/>
              <w:divBdr>
                <w:top w:val="none" w:sz="0" w:space="0" w:color="auto"/>
                <w:left w:val="none" w:sz="0" w:space="0" w:color="auto"/>
                <w:bottom w:val="none" w:sz="0" w:space="0" w:color="auto"/>
                <w:right w:val="none" w:sz="0" w:space="0" w:color="auto"/>
              </w:divBdr>
              <w:divsChild>
                <w:div w:id="2126730760">
                  <w:marLeft w:val="0"/>
                  <w:marRight w:val="0"/>
                  <w:marTop w:val="0"/>
                  <w:marBottom w:val="0"/>
                  <w:divBdr>
                    <w:top w:val="none" w:sz="0" w:space="0" w:color="auto"/>
                    <w:left w:val="none" w:sz="0" w:space="0" w:color="auto"/>
                    <w:bottom w:val="none" w:sz="0" w:space="0" w:color="auto"/>
                    <w:right w:val="none" w:sz="0" w:space="0" w:color="auto"/>
                  </w:divBdr>
                  <w:divsChild>
                    <w:div w:id="1383361850">
                      <w:marLeft w:val="-225"/>
                      <w:marRight w:val="-225"/>
                      <w:marTop w:val="0"/>
                      <w:marBottom w:val="0"/>
                      <w:divBdr>
                        <w:top w:val="none" w:sz="0" w:space="0" w:color="auto"/>
                        <w:left w:val="none" w:sz="0" w:space="0" w:color="auto"/>
                        <w:bottom w:val="none" w:sz="0" w:space="0" w:color="auto"/>
                        <w:right w:val="none" w:sz="0" w:space="0" w:color="auto"/>
                      </w:divBdr>
                      <w:divsChild>
                        <w:div w:id="1963147551">
                          <w:marLeft w:val="0"/>
                          <w:marRight w:val="0"/>
                          <w:marTop w:val="0"/>
                          <w:marBottom w:val="0"/>
                          <w:divBdr>
                            <w:top w:val="none" w:sz="0" w:space="0" w:color="auto"/>
                            <w:left w:val="none" w:sz="0" w:space="0" w:color="auto"/>
                            <w:bottom w:val="none" w:sz="0" w:space="0" w:color="auto"/>
                            <w:right w:val="none" w:sz="0" w:space="0" w:color="auto"/>
                          </w:divBdr>
                          <w:divsChild>
                            <w:div w:id="694891136">
                              <w:marLeft w:val="0"/>
                              <w:marRight w:val="0"/>
                              <w:marTop w:val="0"/>
                              <w:marBottom w:val="0"/>
                              <w:divBdr>
                                <w:top w:val="none" w:sz="0" w:space="0" w:color="auto"/>
                                <w:left w:val="none" w:sz="0" w:space="0" w:color="auto"/>
                                <w:bottom w:val="none" w:sz="0" w:space="0" w:color="auto"/>
                                <w:right w:val="none" w:sz="0" w:space="0" w:color="auto"/>
                              </w:divBdr>
                              <w:divsChild>
                                <w:div w:id="1549951084">
                                  <w:marLeft w:val="-225"/>
                                  <w:marRight w:val="-225"/>
                                  <w:marTop w:val="0"/>
                                  <w:marBottom w:val="0"/>
                                  <w:divBdr>
                                    <w:top w:val="none" w:sz="0" w:space="0" w:color="auto"/>
                                    <w:left w:val="none" w:sz="0" w:space="0" w:color="auto"/>
                                    <w:bottom w:val="none" w:sz="0" w:space="0" w:color="auto"/>
                                    <w:right w:val="none" w:sz="0" w:space="0" w:color="auto"/>
                                  </w:divBdr>
                                  <w:divsChild>
                                    <w:div w:id="492532336">
                                      <w:marLeft w:val="0"/>
                                      <w:marRight w:val="0"/>
                                      <w:marTop w:val="0"/>
                                      <w:marBottom w:val="0"/>
                                      <w:divBdr>
                                        <w:top w:val="none" w:sz="0" w:space="0" w:color="auto"/>
                                        <w:left w:val="none" w:sz="0" w:space="0" w:color="auto"/>
                                        <w:bottom w:val="none" w:sz="0" w:space="0" w:color="auto"/>
                                        <w:right w:val="none" w:sz="0" w:space="0" w:color="auto"/>
                                      </w:divBdr>
                                      <w:divsChild>
                                        <w:div w:id="1948851890">
                                          <w:marLeft w:val="0"/>
                                          <w:marRight w:val="0"/>
                                          <w:marTop w:val="0"/>
                                          <w:marBottom w:val="0"/>
                                          <w:divBdr>
                                            <w:top w:val="none" w:sz="0" w:space="0" w:color="auto"/>
                                            <w:left w:val="none" w:sz="0" w:space="0" w:color="auto"/>
                                            <w:bottom w:val="none" w:sz="0" w:space="0" w:color="auto"/>
                                            <w:right w:val="none" w:sz="0" w:space="0" w:color="auto"/>
                                          </w:divBdr>
                                          <w:divsChild>
                                            <w:div w:id="1154880913">
                                              <w:marLeft w:val="0"/>
                                              <w:marRight w:val="0"/>
                                              <w:marTop w:val="0"/>
                                              <w:marBottom w:val="0"/>
                                              <w:divBdr>
                                                <w:top w:val="none" w:sz="0" w:space="0" w:color="auto"/>
                                                <w:left w:val="none" w:sz="0" w:space="0" w:color="auto"/>
                                                <w:bottom w:val="none" w:sz="0" w:space="0" w:color="auto"/>
                                                <w:right w:val="none" w:sz="0" w:space="0" w:color="auto"/>
                                              </w:divBdr>
                                              <w:divsChild>
                                                <w:div w:id="124353006">
                                                  <w:marLeft w:val="0"/>
                                                  <w:marRight w:val="0"/>
                                                  <w:marTop w:val="0"/>
                                                  <w:marBottom w:val="0"/>
                                                  <w:divBdr>
                                                    <w:top w:val="none" w:sz="0" w:space="0" w:color="auto"/>
                                                    <w:left w:val="none" w:sz="0" w:space="0" w:color="auto"/>
                                                    <w:bottom w:val="none" w:sz="0" w:space="0" w:color="auto"/>
                                                    <w:right w:val="none" w:sz="0" w:space="0" w:color="auto"/>
                                                  </w:divBdr>
                                                  <w:divsChild>
                                                    <w:div w:id="684215401">
                                                      <w:marLeft w:val="0"/>
                                                      <w:marRight w:val="0"/>
                                                      <w:marTop w:val="0"/>
                                                      <w:marBottom w:val="0"/>
                                                      <w:divBdr>
                                                        <w:top w:val="none" w:sz="0" w:space="0" w:color="auto"/>
                                                        <w:left w:val="none" w:sz="0" w:space="0" w:color="auto"/>
                                                        <w:bottom w:val="none" w:sz="0" w:space="0" w:color="auto"/>
                                                        <w:right w:val="none" w:sz="0" w:space="0" w:color="auto"/>
                                                      </w:divBdr>
                                                      <w:divsChild>
                                                        <w:div w:id="1976327933">
                                                          <w:marLeft w:val="0"/>
                                                          <w:marRight w:val="0"/>
                                                          <w:marTop w:val="0"/>
                                                          <w:marBottom w:val="0"/>
                                                          <w:divBdr>
                                                            <w:top w:val="none" w:sz="0" w:space="0" w:color="auto"/>
                                                            <w:left w:val="none" w:sz="0" w:space="0" w:color="auto"/>
                                                            <w:bottom w:val="none" w:sz="0" w:space="0" w:color="auto"/>
                                                            <w:right w:val="none" w:sz="0" w:space="0" w:color="auto"/>
                                                          </w:divBdr>
                                                          <w:divsChild>
                                                            <w:div w:id="1677684170">
                                                              <w:marLeft w:val="0"/>
                                                              <w:marRight w:val="0"/>
                                                              <w:marTop w:val="0"/>
                                                              <w:marBottom w:val="0"/>
                                                              <w:divBdr>
                                                                <w:top w:val="none" w:sz="0" w:space="0" w:color="auto"/>
                                                                <w:left w:val="none" w:sz="0" w:space="0" w:color="auto"/>
                                                                <w:bottom w:val="none" w:sz="0" w:space="0" w:color="auto"/>
                                                                <w:right w:val="none" w:sz="0" w:space="0" w:color="auto"/>
                                                              </w:divBdr>
                                                              <w:divsChild>
                                                                <w:div w:id="13346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2105147">
      <w:bodyDiv w:val="1"/>
      <w:marLeft w:val="0"/>
      <w:marRight w:val="0"/>
      <w:marTop w:val="0"/>
      <w:marBottom w:val="0"/>
      <w:divBdr>
        <w:top w:val="none" w:sz="0" w:space="0" w:color="auto"/>
        <w:left w:val="none" w:sz="0" w:space="0" w:color="auto"/>
        <w:bottom w:val="none" w:sz="0" w:space="0" w:color="auto"/>
        <w:right w:val="none" w:sz="0" w:space="0" w:color="auto"/>
      </w:divBdr>
    </w:div>
    <w:div w:id="1264412497">
      <w:bodyDiv w:val="1"/>
      <w:marLeft w:val="0"/>
      <w:marRight w:val="0"/>
      <w:marTop w:val="0"/>
      <w:marBottom w:val="0"/>
      <w:divBdr>
        <w:top w:val="none" w:sz="0" w:space="0" w:color="auto"/>
        <w:left w:val="none" w:sz="0" w:space="0" w:color="auto"/>
        <w:bottom w:val="none" w:sz="0" w:space="0" w:color="auto"/>
        <w:right w:val="none" w:sz="0" w:space="0" w:color="auto"/>
      </w:divBdr>
      <w:divsChild>
        <w:div w:id="229929073">
          <w:marLeft w:val="0"/>
          <w:marRight w:val="0"/>
          <w:marTop w:val="0"/>
          <w:marBottom w:val="0"/>
          <w:divBdr>
            <w:top w:val="none" w:sz="0" w:space="0" w:color="auto"/>
            <w:left w:val="none" w:sz="0" w:space="0" w:color="auto"/>
            <w:bottom w:val="none" w:sz="0" w:space="0" w:color="auto"/>
            <w:right w:val="none" w:sz="0" w:space="0" w:color="auto"/>
          </w:divBdr>
        </w:div>
        <w:div w:id="902906276">
          <w:marLeft w:val="0"/>
          <w:marRight w:val="0"/>
          <w:marTop w:val="0"/>
          <w:marBottom w:val="0"/>
          <w:divBdr>
            <w:top w:val="none" w:sz="0" w:space="0" w:color="auto"/>
            <w:left w:val="none" w:sz="0" w:space="0" w:color="auto"/>
            <w:bottom w:val="none" w:sz="0" w:space="0" w:color="auto"/>
            <w:right w:val="none" w:sz="0" w:space="0" w:color="auto"/>
          </w:divBdr>
        </w:div>
        <w:div w:id="1201437640">
          <w:marLeft w:val="0"/>
          <w:marRight w:val="0"/>
          <w:marTop w:val="0"/>
          <w:marBottom w:val="0"/>
          <w:divBdr>
            <w:top w:val="none" w:sz="0" w:space="0" w:color="auto"/>
            <w:left w:val="none" w:sz="0" w:space="0" w:color="auto"/>
            <w:bottom w:val="none" w:sz="0" w:space="0" w:color="auto"/>
            <w:right w:val="none" w:sz="0" w:space="0" w:color="auto"/>
          </w:divBdr>
        </w:div>
        <w:div w:id="1215582639">
          <w:marLeft w:val="0"/>
          <w:marRight w:val="0"/>
          <w:marTop w:val="0"/>
          <w:marBottom w:val="0"/>
          <w:divBdr>
            <w:top w:val="none" w:sz="0" w:space="0" w:color="auto"/>
            <w:left w:val="none" w:sz="0" w:space="0" w:color="auto"/>
            <w:bottom w:val="none" w:sz="0" w:space="0" w:color="auto"/>
            <w:right w:val="none" w:sz="0" w:space="0" w:color="auto"/>
          </w:divBdr>
        </w:div>
        <w:div w:id="1292126925">
          <w:marLeft w:val="0"/>
          <w:marRight w:val="0"/>
          <w:marTop w:val="0"/>
          <w:marBottom w:val="0"/>
          <w:divBdr>
            <w:top w:val="none" w:sz="0" w:space="0" w:color="auto"/>
            <w:left w:val="none" w:sz="0" w:space="0" w:color="auto"/>
            <w:bottom w:val="none" w:sz="0" w:space="0" w:color="auto"/>
            <w:right w:val="none" w:sz="0" w:space="0" w:color="auto"/>
          </w:divBdr>
        </w:div>
        <w:div w:id="683941363">
          <w:marLeft w:val="0"/>
          <w:marRight w:val="0"/>
          <w:marTop w:val="0"/>
          <w:marBottom w:val="0"/>
          <w:divBdr>
            <w:top w:val="none" w:sz="0" w:space="0" w:color="auto"/>
            <w:left w:val="none" w:sz="0" w:space="0" w:color="auto"/>
            <w:bottom w:val="none" w:sz="0" w:space="0" w:color="auto"/>
            <w:right w:val="none" w:sz="0" w:space="0" w:color="auto"/>
          </w:divBdr>
        </w:div>
        <w:div w:id="2125610502">
          <w:marLeft w:val="0"/>
          <w:marRight w:val="0"/>
          <w:marTop w:val="0"/>
          <w:marBottom w:val="0"/>
          <w:divBdr>
            <w:top w:val="none" w:sz="0" w:space="0" w:color="auto"/>
            <w:left w:val="none" w:sz="0" w:space="0" w:color="auto"/>
            <w:bottom w:val="none" w:sz="0" w:space="0" w:color="auto"/>
            <w:right w:val="none" w:sz="0" w:space="0" w:color="auto"/>
          </w:divBdr>
        </w:div>
        <w:div w:id="2106343108">
          <w:marLeft w:val="0"/>
          <w:marRight w:val="0"/>
          <w:marTop w:val="0"/>
          <w:marBottom w:val="0"/>
          <w:divBdr>
            <w:top w:val="none" w:sz="0" w:space="0" w:color="auto"/>
            <w:left w:val="none" w:sz="0" w:space="0" w:color="auto"/>
            <w:bottom w:val="none" w:sz="0" w:space="0" w:color="auto"/>
            <w:right w:val="none" w:sz="0" w:space="0" w:color="auto"/>
          </w:divBdr>
        </w:div>
        <w:div w:id="2140301531">
          <w:marLeft w:val="0"/>
          <w:marRight w:val="0"/>
          <w:marTop w:val="0"/>
          <w:marBottom w:val="0"/>
          <w:divBdr>
            <w:top w:val="none" w:sz="0" w:space="0" w:color="auto"/>
            <w:left w:val="none" w:sz="0" w:space="0" w:color="auto"/>
            <w:bottom w:val="none" w:sz="0" w:space="0" w:color="auto"/>
            <w:right w:val="none" w:sz="0" w:space="0" w:color="auto"/>
          </w:divBdr>
        </w:div>
      </w:divsChild>
    </w:div>
    <w:div w:id="1272323796">
      <w:bodyDiv w:val="1"/>
      <w:marLeft w:val="0"/>
      <w:marRight w:val="0"/>
      <w:marTop w:val="0"/>
      <w:marBottom w:val="0"/>
      <w:divBdr>
        <w:top w:val="none" w:sz="0" w:space="0" w:color="auto"/>
        <w:left w:val="none" w:sz="0" w:space="0" w:color="auto"/>
        <w:bottom w:val="none" w:sz="0" w:space="0" w:color="auto"/>
        <w:right w:val="none" w:sz="0" w:space="0" w:color="auto"/>
      </w:divBdr>
      <w:divsChild>
        <w:div w:id="885607780">
          <w:marLeft w:val="0"/>
          <w:marRight w:val="0"/>
          <w:marTop w:val="0"/>
          <w:marBottom w:val="0"/>
          <w:divBdr>
            <w:top w:val="none" w:sz="0" w:space="0" w:color="auto"/>
            <w:left w:val="none" w:sz="0" w:space="0" w:color="auto"/>
            <w:bottom w:val="none" w:sz="0" w:space="0" w:color="auto"/>
            <w:right w:val="none" w:sz="0" w:space="0" w:color="auto"/>
          </w:divBdr>
        </w:div>
        <w:div w:id="76632295">
          <w:marLeft w:val="0"/>
          <w:marRight w:val="0"/>
          <w:marTop w:val="0"/>
          <w:marBottom w:val="0"/>
          <w:divBdr>
            <w:top w:val="none" w:sz="0" w:space="0" w:color="auto"/>
            <w:left w:val="none" w:sz="0" w:space="0" w:color="auto"/>
            <w:bottom w:val="none" w:sz="0" w:space="0" w:color="auto"/>
            <w:right w:val="none" w:sz="0" w:space="0" w:color="auto"/>
          </w:divBdr>
        </w:div>
      </w:divsChild>
    </w:div>
    <w:div w:id="1376657043">
      <w:bodyDiv w:val="1"/>
      <w:marLeft w:val="0"/>
      <w:marRight w:val="0"/>
      <w:marTop w:val="0"/>
      <w:marBottom w:val="0"/>
      <w:divBdr>
        <w:top w:val="none" w:sz="0" w:space="0" w:color="auto"/>
        <w:left w:val="none" w:sz="0" w:space="0" w:color="auto"/>
        <w:bottom w:val="none" w:sz="0" w:space="0" w:color="auto"/>
        <w:right w:val="none" w:sz="0" w:space="0" w:color="auto"/>
      </w:divBdr>
    </w:div>
    <w:div w:id="1404331759">
      <w:bodyDiv w:val="1"/>
      <w:marLeft w:val="0"/>
      <w:marRight w:val="0"/>
      <w:marTop w:val="0"/>
      <w:marBottom w:val="0"/>
      <w:divBdr>
        <w:top w:val="none" w:sz="0" w:space="0" w:color="auto"/>
        <w:left w:val="none" w:sz="0" w:space="0" w:color="auto"/>
        <w:bottom w:val="none" w:sz="0" w:space="0" w:color="auto"/>
        <w:right w:val="none" w:sz="0" w:space="0" w:color="auto"/>
      </w:divBdr>
      <w:divsChild>
        <w:div w:id="294676463">
          <w:marLeft w:val="0"/>
          <w:marRight w:val="0"/>
          <w:marTop w:val="0"/>
          <w:marBottom w:val="0"/>
          <w:divBdr>
            <w:top w:val="none" w:sz="0" w:space="0" w:color="auto"/>
            <w:left w:val="none" w:sz="0" w:space="0" w:color="auto"/>
            <w:bottom w:val="none" w:sz="0" w:space="0" w:color="auto"/>
            <w:right w:val="none" w:sz="0" w:space="0" w:color="auto"/>
          </w:divBdr>
        </w:div>
        <w:div w:id="1714816191">
          <w:marLeft w:val="0"/>
          <w:marRight w:val="0"/>
          <w:marTop w:val="0"/>
          <w:marBottom w:val="0"/>
          <w:divBdr>
            <w:top w:val="none" w:sz="0" w:space="0" w:color="auto"/>
            <w:left w:val="none" w:sz="0" w:space="0" w:color="auto"/>
            <w:bottom w:val="none" w:sz="0" w:space="0" w:color="auto"/>
            <w:right w:val="none" w:sz="0" w:space="0" w:color="auto"/>
          </w:divBdr>
        </w:div>
        <w:div w:id="243298054">
          <w:marLeft w:val="0"/>
          <w:marRight w:val="0"/>
          <w:marTop w:val="0"/>
          <w:marBottom w:val="0"/>
          <w:divBdr>
            <w:top w:val="none" w:sz="0" w:space="0" w:color="auto"/>
            <w:left w:val="none" w:sz="0" w:space="0" w:color="auto"/>
            <w:bottom w:val="none" w:sz="0" w:space="0" w:color="auto"/>
            <w:right w:val="none" w:sz="0" w:space="0" w:color="auto"/>
          </w:divBdr>
        </w:div>
        <w:div w:id="1592931202">
          <w:marLeft w:val="0"/>
          <w:marRight w:val="0"/>
          <w:marTop w:val="0"/>
          <w:marBottom w:val="0"/>
          <w:divBdr>
            <w:top w:val="none" w:sz="0" w:space="0" w:color="auto"/>
            <w:left w:val="none" w:sz="0" w:space="0" w:color="auto"/>
            <w:bottom w:val="none" w:sz="0" w:space="0" w:color="auto"/>
            <w:right w:val="none" w:sz="0" w:space="0" w:color="auto"/>
          </w:divBdr>
        </w:div>
        <w:div w:id="162166528">
          <w:marLeft w:val="0"/>
          <w:marRight w:val="0"/>
          <w:marTop w:val="0"/>
          <w:marBottom w:val="0"/>
          <w:divBdr>
            <w:top w:val="none" w:sz="0" w:space="0" w:color="auto"/>
            <w:left w:val="none" w:sz="0" w:space="0" w:color="auto"/>
            <w:bottom w:val="none" w:sz="0" w:space="0" w:color="auto"/>
            <w:right w:val="none" w:sz="0" w:space="0" w:color="auto"/>
          </w:divBdr>
        </w:div>
        <w:div w:id="1860002919">
          <w:marLeft w:val="0"/>
          <w:marRight w:val="0"/>
          <w:marTop w:val="0"/>
          <w:marBottom w:val="0"/>
          <w:divBdr>
            <w:top w:val="none" w:sz="0" w:space="0" w:color="auto"/>
            <w:left w:val="none" w:sz="0" w:space="0" w:color="auto"/>
            <w:bottom w:val="none" w:sz="0" w:space="0" w:color="auto"/>
            <w:right w:val="none" w:sz="0" w:space="0" w:color="auto"/>
          </w:divBdr>
        </w:div>
        <w:div w:id="1956935630">
          <w:marLeft w:val="0"/>
          <w:marRight w:val="0"/>
          <w:marTop w:val="0"/>
          <w:marBottom w:val="0"/>
          <w:divBdr>
            <w:top w:val="none" w:sz="0" w:space="0" w:color="auto"/>
            <w:left w:val="none" w:sz="0" w:space="0" w:color="auto"/>
            <w:bottom w:val="none" w:sz="0" w:space="0" w:color="auto"/>
            <w:right w:val="none" w:sz="0" w:space="0" w:color="auto"/>
          </w:divBdr>
        </w:div>
        <w:div w:id="1331834249">
          <w:marLeft w:val="0"/>
          <w:marRight w:val="0"/>
          <w:marTop w:val="0"/>
          <w:marBottom w:val="0"/>
          <w:divBdr>
            <w:top w:val="none" w:sz="0" w:space="0" w:color="auto"/>
            <w:left w:val="none" w:sz="0" w:space="0" w:color="auto"/>
            <w:bottom w:val="none" w:sz="0" w:space="0" w:color="auto"/>
            <w:right w:val="none" w:sz="0" w:space="0" w:color="auto"/>
          </w:divBdr>
        </w:div>
        <w:div w:id="111752295">
          <w:marLeft w:val="0"/>
          <w:marRight w:val="0"/>
          <w:marTop w:val="0"/>
          <w:marBottom w:val="0"/>
          <w:divBdr>
            <w:top w:val="none" w:sz="0" w:space="0" w:color="auto"/>
            <w:left w:val="none" w:sz="0" w:space="0" w:color="auto"/>
            <w:bottom w:val="none" w:sz="0" w:space="0" w:color="auto"/>
            <w:right w:val="none" w:sz="0" w:space="0" w:color="auto"/>
          </w:divBdr>
        </w:div>
        <w:div w:id="2029016298">
          <w:marLeft w:val="0"/>
          <w:marRight w:val="0"/>
          <w:marTop w:val="0"/>
          <w:marBottom w:val="0"/>
          <w:divBdr>
            <w:top w:val="none" w:sz="0" w:space="0" w:color="auto"/>
            <w:left w:val="none" w:sz="0" w:space="0" w:color="auto"/>
            <w:bottom w:val="none" w:sz="0" w:space="0" w:color="auto"/>
            <w:right w:val="none" w:sz="0" w:space="0" w:color="auto"/>
          </w:divBdr>
        </w:div>
        <w:div w:id="903030038">
          <w:marLeft w:val="0"/>
          <w:marRight w:val="0"/>
          <w:marTop w:val="0"/>
          <w:marBottom w:val="0"/>
          <w:divBdr>
            <w:top w:val="none" w:sz="0" w:space="0" w:color="auto"/>
            <w:left w:val="none" w:sz="0" w:space="0" w:color="auto"/>
            <w:bottom w:val="none" w:sz="0" w:space="0" w:color="auto"/>
            <w:right w:val="none" w:sz="0" w:space="0" w:color="auto"/>
          </w:divBdr>
        </w:div>
      </w:divsChild>
    </w:div>
    <w:div w:id="1437139808">
      <w:bodyDiv w:val="1"/>
      <w:marLeft w:val="0"/>
      <w:marRight w:val="0"/>
      <w:marTop w:val="0"/>
      <w:marBottom w:val="0"/>
      <w:divBdr>
        <w:top w:val="none" w:sz="0" w:space="0" w:color="auto"/>
        <w:left w:val="none" w:sz="0" w:space="0" w:color="auto"/>
        <w:bottom w:val="none" w:sz="0" w:space="0" w:color="auto"/>
        <w:right w:val="none" w:sz="0" w:space="0" w:color="auto"/>
      </w:divBdr>
    </w:div>
    <w:div w:id="1499732831">
      <w:bodyDiv w:val="1"/>
      <w:marLeft w:val="0"/>
      <w:marRight w:val="0"/>
      <w:marTop w:val="0"/>
      <w:marBottom w:val="0"/>
      <w:divBdr>
        <w:top w:val="none" w:sz="0" w:space="0" w:color="auto"/>
        <w:left w:val="none" w:sz="0" w:space="0" w:color="auto"/>
        <w:bottom w:val="none" w:sz="0" w:space="0" w:color="auto"/>
        <w:right w:val="none" w:sz="0" w:space="0" w:color="auto"/>
      </w:divBdr>
      <w:divsChild>
        <w:div w:id="912546787">
          <w:marLeft w:val="0"/>
          <w:marRight w:val="0"/>
          <w:marTop w:val="0"/>
          <w:marBottom w:val="0"/>
          <w:divBdr>
            <w:top w:val="none" w:sz="0" w:space="0" w:color="auto"/>
            <w:left w:val="none" w:sz="0" w:space="0" w:color="auto"/>
            <w:bottom w:val="none" w:sz="0" w:space="0" w:color="auto"/>
            <w:right w:val="none" w:sz="0" w:space="0" w:color="auto"/>
          </w:divBdr>
        </w:div>
        <w:div w:id="628051065">
          <w:marLeft w:val="0"/>
          <w:marRight w:val="0"/>
          <w:marTop w:val="0"/>
          <w:marBottom w:val="0"/>
          <w:divBdr>
            <w:top w:val="none" w:sz="0" w:space="0" w:color="auto"/>
            <w:left w:val="none" w:sz="0" w:space="0" w:color="auto"/>
            <w:bottom w:val="none" w:sz="0" w:space="0" w:color="auto"/>
            <w:right w:val="none" w:sz="0" w:space="0" w:color="auto"/>
          </w:divBdr>
        </w:div>
        <w:div w:id="1459686828">
          <w:marLeft w:val="0"/>
          <w:marRight w:val="0"/>
          <w:marTop w:val="0"/>
          <w:marBottom w:val="0"/>
          <w:divBdr>
            <w:top w:val="none" w:sz="0" w:space="0" w:color="auto"/>
            <w:left w:val="none" w:sz="0" w:space="0" w:color="auto"/>
            <w:bottom w:val="none" w:sz="0" w:space="0" w:color="auto"/>
            <w:right w:val="none" w:sz="0" w:space="0" w:color="auto"/>
          </w:divBdr>
        </w:div>
        <w:div w:id="15540882">
          <w:marLeft w:val="0"/>
          <w:marRight w:val="0"/>
          <w:marTop w:val="0"/>
          <w:marBottom w:val="0"/>
          <w:divBdr>
            <w:top w:val="none" w:sz="0" w:space="0" w:color="auto"/>
            <w:left w:val="none" w:sz="0" w:space="0" w:color="auto"/>
            <w:bottom w:val="none" w:sz="0" w:space="0" w:color="auto"/>
            <w:right w:val="none" w:sz="0" w:space="0" w:color="auto"/>
          </w:divBdr>
        </w:div>
        <w:div w:id="1015882184">
          <w:marLeft w:val="0"/>
          <w:marRight w:val="0"/>
          <w:marTop w:val="0"/>
          <w:marBottom w:val="0"/>
          <w:divBdr>
            <w:top w:val="none" w:sz="0" w:space="0" w:color="auto"/>
            <w:left w:val="none" w:sz="0" w:space="0" w:color="auto"/>
            <w:bottom w:val="none" w:sz="0" w:space="0" w:color="auto"/>
            <w:right w:val="none" w:sz="0" w:space="0" w:color="auto"/>
          </w:divBdr>
        </w:div>
        <w:div w:id="323780584">
          <w:marLeft w:val="0"/>
          <w:marRight w:val="0"/>
          <w:marTop w:val="0"/>
          <w:marBottom w:val="0"/>
          <w:divBdr>
            <w:top w:val="none" w:sz="0" w:space="0" w:color="auto"/>
            <w:left w:val="none" w:sz="0" w:space="0" w:color="auto"/>
            <w:bottom w:val="none" w:sz="0" w:space="0" w:color="auto"/>
            <w:right w:val="none" w:sz="0" w:space="0" w:color="auto"/>
          </w:divBdr>
        </w:div>
        <w:div w:id="342973177">
          <w:marLeft w:val="0"/>
          <w:marRight w:val="0"/>
          <w:marTop w:val="0"/>
          <w:marBottom w:val="0"/>
          <w:divBdr>
            <w:top w:val="none" w:sz="0" w:space="0" w:color="auto"/>
            <w:left w:val="none" w:sz="0" w:space="0" w:color="auto"/>
            <w:bottom w:val="none" w:sz="0" w:space="0" w:color="auto"/>
            <w:right w:val="none" w:sz="0" w:space="0" w:color="auto"/>
          </w:divBdr>
        </w:div>
        <w:div w:id="781457740">
          <w:marLeft w:val="0"/>
          <w:marRight w:val="0"/>
          <w:marTop w:val="0"/>
          <w:marBottom w:val="0"/>
          <w:divBdr>
            <w:top w:val="none" w:sz="0" w:space="0" w:color="auto"/>
            <w:left w:val="none" w:sz="0" w:space="0" w:color="auto"/>
            <w:bottom w:val="none" w:sz="0" w:space="0" w:color="auto"/>
            <w:right w:val="none" w:sz="0" w:space="0" w:color="auto"/>
          </w:divBdr>
        </w:div>
        <w:div w:id="2121340151">
          <w:marLeft w:val="0"/>
          <w:marRight w:val="0"/>
          <w:marTop w:val="0"/>
          <w:marBottom w:val="0"/>
          <w:divBdr>
            <w:top w:val="none" w:sz="0" w:space="0" w:color="auto"/>
            <w:left w:val="none" w:sz="0" w:space="0" w:color="auto"/>
            <w:bottom w:val="none" w:sz="0" w:space="0" w:color="auto"/>
            <w:right w:val="none" w:sz="0" w:space="0" w:color="auto"/>
          </w:divBdr>
        </w:div>
        <w:div w:id="1333028435">
          <w:marLeft w:val="0"/>
          <w:marRight w:val="0"/>
          <w:marTop w:val="0"/>
          <w:marBottom w:val="0"/>
          <w:divBdr>
            <w:top w:val="none" w:sz="0" w:space="0" w:color="auto"/>
            <w:left w:val="none" w:sz="0" w:space="0" w:color="auto"/>
            <w:bottom w:val="none" w:sz="0" w:space="0" w:color="auto"/>
            <w:right w:val="none" w:sz="0" w:space="0" w:color="auto"/>
          </w:divBdr>
        </w:div>
        <w:div w:id="681664107">
          <w:marLeft w:val="0"/>
          <w:marRight w:val="0"/>
          <w:marTop w:val="0"/>
          <w:marBottom w:val="0"/>
          <w:divBdr>
            <w:top w:val="none" w:sz="0" w:space="0" w:color="auto"/>
            <w:left w:val="none" w:sz="0" w:space="0" w:color="auto"/>
            <w:bottom w:val="none" w:sz="0" w:space="0" w:color="auto"/>
            <w:right w:val="none" w:sz="0" w:space="0" w:color="auto"/>
          </w:divBdr>
        </w:div>
        <w:div w:id="1367636259">
          <w:marLeft w:val="0"/>
          <w:marRight w:val="0"/>
          <w:marTop w:val="0"/>
          <w:marBottom w:val="0"/>
          <w:divBdr>
            <w:top w:val="none" w:sz="0" w:space="0" w:color="auto"/>
            <w:left w:val="none" w:sz="0" w:space="0" w:color="auto"/>
            <w:bottom w:val="none" w:sz="0" w:space="0" w:color="auto"/>
            <w:right w:val="none" w:sz="0" w:space="0" w:color="auto"/>
          </w:divBdr>
        </w:div>
        <w:div w:id="1918203878">
          <w:marLeft w:val="0"/>
          <w:marRight w:val="0"/>
          <w:marTop w:val="0"/>
          <w:marBottom w:val="0"/>
          <w:divBdr>
            <w:top w:val="none" w:sz="0" w:space="0" w:color="auto"/>
            <w:left w:val="none" w:sz="0" w:space="0" w:color="auto"/>
            <w:bottom w:val="none" w:sz="0" w:space="0" w:color="auto"/>
            <w:right w:val="none" w:sz="0" w:space="0" w:color="auto"/>
          </w:divBdr>
        </w:div>
        <w:div w:id="1461344327">
          <w:marLeft w:val="0"/>
          <w:marRight w:val="0"/>
          <w:marTop w:val="0"/>
          <w:marBottom w:val="0"/>
          <w:divBdr>
            <w:top w:val="none" w:sz="0" w:space="0" w:color="auto"/>
            <w:left w:val="none" w:sz="0" w:space="0" w:color="auto"/>
            <w:bottom w:val="none" w:sz="0" w:space="0" w:color="auto"/>
            <w:right w:val="none" w:sz="0" w:space="0" w:color="auto"/>
          </w:divBdr>
        </w:div>
        <w:div w:id="1070621205">
          <w:marLeft w:val="0"/>
          <w:marRight w:val="0"/>
          <w:marTop w:val="0"/>
          <w:marBottom w:val="0"/>
          <w:divBdr>
            <w:top w:val="none" w:sz="0" w:space="0" w:color="auto"/>
            <w:left w:val="none" w:sz="0" w:space="0" w:color="auto"/>
            <w:bottom w:val="none" w:sz="0" w:space="0" w:color="auto"/>
            <w:right w:val="none" w:sz="0" w:space="0" w:color="auto"/>
          </w:divBdr>
        </w:div>
        <w:div w:id="1883010340">
          <w:marLeft w:val="0"/>
          <w:marRight w:val="0"/>
          <w:marTop w:val="0"/>
          <w:marBottom w:val="0"/>
          <w:divBdr>
            <w:top w:val="none" w:sz="0" w:space="0" w:color="auto"/>
            <w:left w:val="none" w:sz="0" w:space="0" w:color="auto"/>
            <w:bottom w:val="none" w:sz="0" w:space="0" w:color="auto"/>
            <w:right w:val="none" w:sz="0" w:space="0" w:color="auto"/>
          </w:divBdr>
        </w:div>
        <w:div w:id="471289858">
          <w:marLeft w:val="0"/>
          <w:marRight w:val="0"/>
          <w:marTop w:val="0"/>
          <w:marBottom w:val="0"/>
          <w:divBdr>
            <w:top w:val="none" w:sz="0" w:space="0" w:color="auto"/>
            <w:left w:val="none" w:sz="0" w:space="0" w:color="auto"/>
            <w:bottom w:val="none" w:sz="0" w:space="0" w:color="auto"/>
            <w:right w:val="none" w:sz="0" w:space="0" w:color="auto"/>
          </w:divBdr>
        </w:div>
        <w:div w:id="200941085">
          <w:marLeft w:val="0"/>
          <w:marRight w:val="0"/>
          <w:marTop w:val="0"/>
          <w:marBottom w:val="0"/>
          <w:divBdr>
            <w:top w:val="none" w:sz="0" w:space="0" w:color="auto"/>
            <w:left w:val="none" w:sz="0" w:space="0" w:color="auto"/>
            <w:bottom w:val="none" w:sz="0" w:space="0" w:color="auto"/>
            <w:right w:val="none" w:sz="0" w:space="0" w:color="auto"/>
          </w:divBdr>
        </w:div>
        <w:div w:id="1355184367">
          <w:marLeft w:val="0"/>
          <w:marRight w:val="0"/>
          <w:marTop w:val="0"/>
          <w:marBottom w:val="0"/>
          <w:divBdr>
            <w:top w:val="none" w:sz="0" w:space="0" w:color="auto"/>
            <w:left w:val="none" w:sz="0" w:space="0" w:color="auto"/>
            <w:bottom w:val="none" w:sz="0" w:space="0" w:color="auto"/>
            <w:right w:val="none" w:sz="0" w:space="0" w:color="auto"/>
          </w:divBdr>
        </w:div>
        <w:div w:id="422578655">
          <w:marLeft w:val="0"/>
          <w:marRight w:val="0"/>
          <w:marTop w:val="0"/>
          <w:marBottom w:val="0"/>
          <w:divBdr>
            <w:top w:val="none" w:sz="0" w:space="0" w:color="auto"/>
            <w:left w:val="none" w:sz="0" w:space="0" w:color="auto"/>
            <w:bottom w:val="none" w:sz="0" w:space="0" w:color="auto"/>
            <w:right w:val="none" w:sz="0" w:space="0" w:color="auto"/>
          </w:divBdr>
        </w:div>
        <w:div w:id="706225656">
          <w:marLeft w:val="0"/>
          <w:marRight w:val="0"/>
          <w:marTop w:val="0"/>
          <w:marBottom w:val="0"/>
          <w:divBdr>
            <w:top w:val="none" w:sz="0" w:space="0" w:color="auto"/>
            <w:left w:val="none" w:sz="0" w:space="0" w:color="auto"/>
            <w:bottom w:val="none" w:sz="0" w:space="0" w:color="auto"/>
            <w:right w:val="none" w:sz="0" w:space="0" w:color="auto"/>
          </w:divBdr>
        </w:div>
        <w:div w:id="888955786">
          <w:marLeft w:val="0"/>
          <w:marRight w:val="0"/>
          <w:marTop w:val="0"/>
          <w:marBottom w:val="0"/>
          <w:divBdr>
            <w:top w:val="none" w:sz="0" w:space="0" w:color="auto"/>
            <w:left w:val="none" w:sz="0" w:space="0" w:color="auto"/>
            <w:bottom w:val="none" w:sz="0" w:space="0" w:color="auto"/>
            <w:right w:val="none" w:sz="0" w:space="0" w:color="auto"/>
          </w:divBdr>
        </w:div>
        <w:div w:id="1479881434">
          <w:marLeft w:val="0"/>
          <w:marRight w:val="0"/>
          <w:marTop w:val="0"/>
          <w:marBottom w:val="0"/>
          <w:divBdr>
            <w:top w:val="none" w:sz="0" w:space="0" w:color="auto"/>
            <w:left w:val="none" w:sz="0" w:space="0" w:color="auto"/>
            <w:bottom w:val="none" w:sz="0" w:space="0" w:color="auto"/>
            <w:right w:val="none" w:sz="0" w:space="0" w:color="auto"/>
          </w:divBdr>
        </w:div>
        <w:div w:id="2058435964">
          <w:marLeft w:val="0"/>
          <w:marRight w:val="0"/>
          <w:marTop w:val="0"/>
          <w:marBottom w:val="0"/>
          <w:divBdr>
            <w:top w:val="none" w:sz="0" w:space="0" w:color="auto"/>
            <w:left w:val="none" w:sz="0" w:space="0" w:color="auto"/>
            <w:bottom w:val="none" w:sz="0" w:space="0" w:color="auto"/>
            <w:right w:val="none" w:sz="0" w:space="0" w:color="auto"/>
          </w:divBdr>
        </w:div>
        <w:div w:id="1714234424">
          <w:marLeft w:val="0"/>
          <w:marRight w:val="0"/>
          <w:marTop w:val="0"/>
          <w:marBottom w:val="0"/>
          <w:divBdr>
            <w:top w:val="none" w:sz="0" w:space="0" w:color="auto"/>
            <w:left w:val="none" w:sz="0" w:space="0" w:color="auto"/>
            <w:bottom w:val="none" w:sz="0" w:space="0" w:color="auto"/>
            <w:right w:val="none" w:sz="0" w:space="0" w:color="auto"/>
          </w:divBdr>
        </w:div>
        <w:div w:id="482476686">
          <w:marLeft w:val="0"/>
          <w:marRight w:val="0"/>
          <w:marTop w:val="0"/>
          <w:marBottom w:val="0"/>
          <w:divBdr>
            <w:top w:val="none" w:sz="0" w:space="0" w:color="auto"/>
            <w:left w:val="none" w:sz="0" w:space="0" w:color="auto"/>
            <w:bottom w:val="none" w:sz="0" w:space="0" w:color="auto"/>
            <w:right w:val="none" w:sz="0" w:space="0" w:color="auto"/>
          </w:divBdr>
        </w:div>
        <w:div w:id="34038720">
          <w:marLeft w:val="0"/>
          <w:marRight w:val="0"/>
          <w:marTop w:val="0"/>
          <w:marBottom w:val="0"/>
          <w:divBdr>
            <w:top w:val="none" w:sz="0" w:space="0" w:color="auto"/>
            <w:left w:val="none" w:sz="0" w:space="0" w:color="auto"/>
            <w:bottom w:val="none" w:sz="0" w:space="0" w:color="auto"/>
            <w:right w:val="none" w:sz="0" w:space="0" w:color="auto"/>
          </w:divBdr>
        </w:div>
        <w:div w:id="1792164924">
          <w:marLeft w:val="0"/>
          <w:marRight w:val="0"/>
          <w:marTop w:val="0"/>
          <w:marBottom w:val="0"/>
          <w:divBdr>
            <w:top w:val="none" w:sz="0" w:space="0" w:color="auto"/>
            <w:left w:val="none" w:sz="0" w:space="0" w:color="auto"/>
            <w:bottom w:val="none" w:sz="0" w:space="0" w:color="auto"/>
            <w:right w:val="none" w:sz="0" w:space="0" w:color="auto"/>
          </w:divBdr>
        </w:div>
      </w:divsChild>
    </w:div>
    <w:div w:id="1515460203">
      <w:bodyDiv w:val="1"/>
      <w:marLeft w:val="0"/>
      <w:marRight w:val="0"/>
      <w:marTop w:val="0"/>
      <w:marBottom w:val="0"/>
      <w:divBdr>
        <w:top w:val="none" w:sz="0" w:space="0" w:color="auto"/>
        <w:left w:val="none" w:sz="0" w:space="0" w:color="auto"/>
        <w:bottom w:val="none" w:sz="0" w:space="0" w:color="auto"/>
        <w:right w:val="none" w:sz="0" w:space="0" w:color="auto"/>
      </w:divBdr>
    </w:div>
    <w:div w:id="1528569209">
      <w:bodyDiv w:val="1"/>
      <w:marLeft w:val="0"/>
      <w:marRight w:val="0"/>
      <w:marTop w:val="0"/>
      <w:marBottom w:val="0"/>
      <w:divBdr>
        <w:top w:val="none" w:sz="0" w:space="0" w:color="auto"/>
        <w:left w:val="none" w:sz="0" w:space="0" w:color="auto"/>
        <w:bottom w:val="none" w:sz="0" w:space="0" w:color="auto"/>
        <w:right w:val="none" w:sz="0" w:space="0" w:color="auto"/>
      </w:divBdr>
    </w:div>
    <w:div w:id="1530994320">
      <w:bodyDiv w:val="1"/>
      <w:marLeft w:val="0"/>
      <w:marRight w:val="0"/>
      <w:marTop w:val="0"/>
      <w:marBottom w:val="0"/>
      <w:divBdr>
        <w:top w:val="none" w:sz="0" w:space="0" w:color="auto"/>
        <w:left w:val="none" w:sz="0" w:space="0" w:color="auto"/>
        <w:bottom w:val="none" w:sz="0" w:space="0" w:color="auto"/>
        <w:right w:val="none" w:sz="0" w:space="0" w:color="auto"/>
      </w:divBdr>
      <w:divsChild>
        <w:div w:id="1364012852">
          <w:marLeft w:val="0"/>
          <w:marRight w:val="0"/>
          <w:marTop w:val="0"/>
          <w:marBottom w:val="0"/>
          <w:divBdr>
            <w:top w:val="none" w:sz="0" w:space="0" w:color="auto"/>
            <w:left w:val="none" w:sz="0" w:space="0" w:color="auto"/>
            <w:bottom w:val="none" w:sz="0" w:space="0" w:color="auto"/>
            <w:right w:val="none" w:sz="0" w:space="0" w:color="auto"/>
          </w:divBdr>
        </w:div>
        <w:div w:id="2000889969">
          <w:marLeft w:val="0"/>
          <w:marRight w:val="0"/>
          <w:marTop w:val="0"/>
          <w:marBottom w:val="0"/>
          <w:divBdr>
            <w:top w:val="none" w:sz="0" w:space="0" w:color="auto"/>
            <w:left w:val="none" w:sz="0" w:space="0" w:color="auto"/>
            <w:bottom w:val="none" w:sz="0" w:space="0" w:color="auto"/>
            <w:right w:val="none" w:sz="0" w:space="0" w:color="auto"/>
          </w:divBdr>
        </w:div>
        <w:div w:id="335349156">
          <w:marLeft w:val="0"/>
          <w:marRight w:val="0"/>
          <w:marTop w:val="0"/>
          <w:marBottom w:val="0"/>
          <w:divBdr>
            <w:top w:val="none" w:sz="0" w:space="0" w:color="auto"/>
            <w:left w:val="none" w:sz="0" w:space="0" w:color="auto"/>
            <w:bottom w:val="none" w:sz="0" w:space="0" w:color="auto"/>
            <w:right w:val="none" w:sz="0" w:space="0" w:color="auto"/>
          </w:divBdr>
        </w:div>
      </w:divsChild>
    </w:div>
    <w:div w:id="1606961139">
      <w:bodyDiv w:val="1"/>
      <w:marLeft w:val="0"/>
      <w:marRight w:val="0"/>
      <w:marTop w:val="0"/>
      <w:marBottom w:val="0"/>
      <w:divBdr>
        <w:top w:val="none" w:sz="0" w:space="0" w:color="auto"/>
        <w:left w:val="none" w:sz="0" w:space="0" w:color="auto"/>
        <w:bottom w:val="none" w:sz="0" w:space="0" w:color="auto"/>
        <w:right w:val="none" w:sz="0" w:space="0" w:color="auto"/>
      </w:divBdr>
    </w:div>
    <w:div w:id="1631666324">
      <w:bodyDiv w:val="1"/>
      <w:marLeft w:val="0"/>
      <w:marRight w:val="0"/>
      <w:marTop w:val="0"/>
      <w:marBottom w:val="0"/>
      <w:divBdr>
        <w:top w:val="none" w:sz="0" w:space="0" w:color="auto"/>
        <w:left w:val="none" w:sz="0" w:space="0" w:color="auto"/>
        <w:bottom w:val="none" w:sz="0" w:space="0" w:color="auto"/>
        <w:right w:val="none" w:sz="0" w:space="0" w:color="auto"/>
      </w:divBdr>
    </w:div>
    <w:div w:id="1649287026">
      <w:bodyDiv w:val="1"/>
      <w:marLeft w:val="0"/>
      <w:marRight w:val="0"/>
      <w:marTop w:val="0"/>
      <w:marBottom w:val="0"/>
      <w:divBdr>
        <w:top w:val="none" w:sz="0" w:space="0" w:color="auto"/>
        <w:left w:val="none" w:sz="0" w:space="0" w:color="auto"/>
        <w:bottom w:val="none" w:sz="0" w:space="0" w:color="auto"/>
        <w:right w:val="none" w:sz="0" w:space="0" w:color="auto"/>
      </w:divBdr>
      <w:divsChild>
        <w:div w:id="1116945857">
          <w:marLeft w:val="0"/>
          <w:marRight w:val="0"/>
          <w:marTop w:val="0"/>
          <w:marBottom w:val="0"/>
          <w:divBdr>
            <w:top w:val="none" w:sz="0" w:space="0" w:color="auto"/>
            <w:left w:val="none" w:sz="0" w:space="0" w:color="auto"/>
            <w:bottom w:val="none" w:sz="0" w:space="0" w:color="auto"/>
            <w:right w:val="none" w:sz="0" w:space="0" w:color="auto"/>
          </w:divBdr>
        </w:div>
        <w:div w:id="995957596">
          <w:marLeft w:val="0"/>
          <w:marRight w:val="0"/>
          <w:marTop w:val="0"/>
          <w:marBottom w:val="0"/>
          <w:divBdr>
            <w:top w:val="none" w:sz="0" w:space="0" w:color="auto"/>
            <w:left w:val="none" w:sz="0" w:space="0" w:color="auto"/>
            <w:bottom w:val="none" w:sz="0" w:space="0" w:color="auto"/>
            <w:right w:val="none" w:sz="0" w:space="0" w:color="auto"/>
          </w:divBdr>
        </w:div>
        <w:div w:id="655105565">
          <w:marLeft w:val="0"/>
          <w:marRight w:val="0"/>
          <w:marTop w:val="0"/>
          <w:marBottom w:val="0"/>
          <w:divBdr>
            <w:top w:val="none" w:sz="0" w:space="0" w:color="auto"/>
            <w:left w:val="none" w:sz="0" w:space="0" w:color="auto"/>
            <w:bottom w:val="none" w:sz="0" w:space="0" w:color="auto"/>
            <w:right w:val="none" w:sz="0" w:space="0" w:color="auto"/>
          </w:divBdr>
        </w:div>
      </w:divsChild>
    </w:div>
    <w:div w:id="1679455082">
      <w:bodyDiv w:val="1"/>
      <w:marLeft w:val="0"/>
      <w:marRight w:val="0"/>
      <w:marTop w:val="0"/>
      <w:marBottom w:val="0"/>
      <w:divBdr>
        <w:top w:val="none" w:sz="0" w:space="0" w:color="auto"/>
        <w:left w:val="none" w:sz="0" w:space="0" w:color="auto"/>
        <w:bottom w:val="none" w:sz="0" w:space="0" w:color="auto"/>
        <w:right w:val="none" w:sz="0" w:space="0" w:color="auto"/>
      </w:divBdr>
    </w:div>
    <w:div w:id="1741096520">
      <w:bodyDiv w:val="1"/>
      <w:marLeft w:val="0"/>
      <w:marRight w:val="0"/>
      <w:marTop w:val="0"/>
      <w:marBottom w:val="0"/>
      <w:divBdr>
        <w:top w:val="none" w:sz="0" w:space="0" w:color="auto"/>
        <w:left w:val="none" w:sz="0" w:space="0" w:color="auto"/>
        <w:bottom w:val="none" w:sz="0" w:space="0" w:color="auto"/>
        <w:right w:val="none" w:sz="0" w:space="0" w:color="auto"/>
      </w:divBdr>
    </w:div>
    <w:div w:id="1753579211">
      <w:bodyDiv w:val="1"/>
      <w:marLeft w:val="0"/>
      <w:marRight w:val="0"/>
      <w:marTop w:val="0"/>
      <w:marBottom w:val="0"/>
      <w:divBdr>
        <w:top w:val="none" w:sz="0" w:space="0" w:color="auto"/>
        <w:left w:val="none" w:sz="0" w:space="0" w:color="auto"/>
        <w:bottom w:val="none" w:sz="0" w:space="0" w:color="auto"/>
        <w:right w:val="none" w:sz="0" w:space="0" w:color="auto"/>
      </w:divBdr>
      <w:divsChild>
        <w:div w:id="1786150369">
          <w:marLeft w:val="0"/>
          <w:marRight w:val="0"/>
          <w:marTop w:val="0"/>
          <w:marBottom w:val="0"/>
          <w:divBdr>
            <w:top w:val="none" w:sz="0" w:space="0" w:color="auto"/>
            <w:left w:val="none" w:sz="0" w:space="0" w:color="auto"/>
            <w:bottom w:val="none" w:sz="0" w:space="0" w:color="auto"/>
            <w:right w:val="none" w:sz="0" w:space="0" w:color="auto"/>
          </w:divBdr>
        </w:div>
        <w:div w:id="993263976">
          <w:marLeft w:val="0"/>
          <w:marRight w:val="0"/>
          <w:marTop w:val="0"/>
          <w:marBottom w:val="0"/>
          <w:divBdr>
            <w:top w:val="none" w:sz="0" w:space="0" w:color="auto"/>
            <w:left w:val="none" w:sz="0" w:space="0" w:color="auto"/>
            <w:bottom w:val="none" w:sz="0" w:space="0" w:color="auto"/>
            <w:right w:val="none" w:sz="0" w:space="0" w:color="auto"/>
          </w:divBdr>
        </w:div>
        <w:div w:id="1823892496">
          <w:marLeft w:val="0"/>
          <w:marRight w:val="0"/>
          <w:marTop w:val="0"/>
          <w:marBottom w:val="0"/>
          <w:divBdr>
            <w:top w:val="none" w:sz="0" w:space="0" w:color="auto"/>
            <w:left w:val="none" w:sz="0" w:space="0" w:color="auto"/>
            <w:bottom w:val="none" w:sz="0" w:space="0" w:color="auto"/>
            <w:right w:val="none" w:sz="0" w:space="0" w:color="auto"/>
          </w:divBdr>
        </w:div>
      </w:divsChild>
    </w:div>
    <w:div w:id="1775009354">
      <w:bodyDiv w:val="1"/>
      <w:marLeft w:val="0"/>
      <w:marRight w:val="0"/>
      <w:marTop w:val="0"/>
      <w:marBottom w:val="0"/>
      <w:divBdr>
        <w:top w:val="none" w:sz="0" w:space="0" w:color="auto"/>
        <w:left w:val="none" w:sz="0" w:space="0" w:color="auto"/>
        <w:bottom w:val="none" w:sz="0" w:space="0" w:color="auto"/>
        <w:right w:val="none" w:sz="0" w:space="0" w:color="auto"/>
      </w:divBdr>
    </w:div>
    <w:div w:id="1787889640">
      <w:bodyDiv w:val="1"/>
      <w:marLeft w:val="0"/>
      <w:marRight w:val="0"/>
      <w:marTop w:val="0"/>
      <w:marBottom w:val="0"/>
      <w:divBdr>
        <w:top w:val="none" w:sz="0" w:space="0" w:color="auto"/>
        <w:left w:val="none" w:sz="0" w:space="0" w:color="auto"/>
        <w:bottom w:val="none" w:sz="0" w:space="0" w:color="auto"/>
        <w:right w:val="none" w:sz="0" w:space="0" w:color="auto"/>
      </w:divBdr>
    </w:div>
    <w:div w:id="1797480905">
      <w:bodyDiv w:val="1"/>
      <w:marLeft w:val="0"/>
      <w:marRight w:val="0"/>
      <w:marTop w:val="0"/>
      <w:marBottom w:val="0"/>
      <w:divBdr>
        <w:top w:val="none" w:sz="0" w:space="0" w:color="auto"/>
        <w:left w:val="none" w:sz="0" w:space="0" w:color="auto"/>
        <w:bottom w:val="none" w:sz="0" w:space="0" w:color="auto"/>
        <w:right w:val="none" w:sz="0" w:space="0" w:color="auto"/>
      </w:divBdr>
      <w:divsChild>
        <w:div w:id="782697404">
          <w:marLeft w:val="0"/>
          <w:marRight w:val="0"/>
          <w:marTop w:val="0"/>
          <w:marBottom w:val="0"/>
          <w:divBdr>
            <w:top w:val="none" w:sz="0" w:space="0" w:color="auto"/>
            <w:left w:val="none" w:sz="0" w:space="0" w:color="auto"/>
            <w:bottom w:val="none" w:sz="0" w:space="0" w:color="auto"/>
            <w:right w:val="none" w:sz="0" w:space="0" w:color="auto"/>
          </w:divBdr>
        </w:div>
        <w:div w:id="1147474917">
          <w:marLeft w:val="0"/>
          <w:marRight w:val="0"/>
          <w:marTop w:val="0"/>
          <w:marBottom w:val="0"/>
          <w:divBdr>
            <w:top w:val="none" w:sz="0" w:space="0" w:color="auto"/>
            <w:left w:val="none" w:sz="0" w:space="0" w:color="auto"/>
            <w:bottom w:val="none" w:sz="0" w:space="0" w:color="auto"/>
            <w:right w:val="none" w:sz="0" w:space="0" w:color="auto"/>
          </w:divBdr>
        </w:div>
        <w:div w:id="971324943">
          <w:marLeft w:val="0"/>
          <w:marRight w:val="0"/>
          <w:marTop w:val="0"/>
          <w:marBottom w:val="0"/>
          <w:divBdr>
            <w:top w:val="none" w:sz="0" w:space="0" w:color="auto"/>
            <w:left w:val="none" w:sz="0" w:space="0" w:color="auto"/>
            <w:bottom w:val="none" w:sz="0" w:space="0" w:color="auto"/>
            <w:right w:val="none" w:sz="0" w:space="0" w:color="auto"/>
          </w:divBdr>
        </w:div>
        <w:div w:id="1490249730">
          <w:marLeft w:val="0"/>
          <w:marRight w:val="0"/>
          <w:marTop w:val="0"/>
          <w:marBottom w:val="0"/>
          <w:divBdr>
            <w:top w:val="none" w:sz="0" w:space="0" w:color="auto"/>
            <w:left w:val="none" w:sz="0" w:space="0" w:color="auto"/>
            <w:bottom w:val="none" w:sz="0" w:space="0" w:color="auto"/>
            <w:right w:val="none" w:sz="0" w:space="0" w:color="auto"/>
          </w:divBdr>
        </w:div>
        <w:div w:id="801846441">
          <w:marLeft w:val="0"/>
          <w:marRight w:val="0"/>
          <w:marTop w:val="0"/>
          <w:marBottom w:val="0"/>
          <w:divBdr>
            <w:top w:val="none" w:sz="0" w:space="0" w:color="auto"/>
            <w:left w:val="none" w:sz="0" w:space="0" w:color="auto"/>
            <w:bottom w:val="none" w:sz="0" w:space="0" w:color="auto"/>
            <w:right w:val="none" w:sz="0" w:space="0" w:color="auto"/>
          </w:divBdr>
        </w:div>
        <w:div w:id="1061565019">
          <w:marLeft w:val="0"/>
          <w:marRight w:val="0"/>
          <w:marTop w:val="0"/>
          <w:marBottom w:val="0"/>
          <w:divBdr>
            <w:top w:val="none" w:sz="0" w:space="0" w:color="auto"/>
            <w:left w:val="none" w:sz="0" w:space="0" w:color="auto"/>
            <w:bottom w:val="none" w:sz="0" w:space="0" w:color="auto"/>
            <w:right w:val="none" w:sz="0" w:space="0" w:color="auto"/>
          </w:divBdr>
        </w:div>
      </w:divsChild>
    </w:div>
    <w:div w:id="1797604836">
      <w:bodyDiv w:val="1"/>
      <w:marLeft w:val="0"/>
      <w:marRight w:val="0"/>
      <w:marTop w:val="0"/>
      <w:marBottom w:val="0"/>
      <w:divBdr>
        <w:top w:val="none" w:sz="0" w:space="0" w:color="auto"/>
        <w:left w:val="none" w:sz="0" w:space="0" w:color="auto"/>
        <w:bottom w:val="none" w:sz="0" w:space="0" w:color="auto"/>
        <w:right w:val="none" w:sz="0" w:space="0" w:color="auto"/>
      </w:divBdr>
    </w:div>
    <w:div w:id="1798839781">
      <w:bodyDiv w:val="1"/>
      <w:marLeft w:val="0"/>
      <w:marRight w:val="0"/>
      <w:marTop w:val="0"/>
      <w:marBottom w:val="0"/>
      <w:divBdr>
        <w:top w:val="none" w:sz="0" w:space="0" w:color="auto"/>
        <w:left w:val="none" w:sz="0" w:space="0" w:color="auto"/>
        <w:bottom w:val="none" w:sz="0" w:space="0" w:color="auto"/>
        <w:right w:val="none" w:sz="0" w:space="0" w:color="auto"/>
      </w:divBdr>
      <w:divsChild>
        <w:div w:id="963776876">
          <w:marLeft w:val="0"/>
          <w:marRight w:val="0"/>
          <w:marTop w:val="0"/>
          <w:marBottom w:val="0"/>
          <w:divBdr>
            <w:top w:val="none" w:sz="0" w:space="0" w:color="auto"/>
            <w:left w:val="none" w:sz="0" w:space="0" w:color="auto"/>
            <w:bottom w:val="none" w:sz="0" w:space="0" w:color="auto"/>
            <w:right w:val="none" w:sz="0" w:space="0" w:color="auto"/>
          </w:divBdr>
          <w:divsChild>
            <w:div w:id="1542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4777">
      <w:bodyDiv w:val="1"/>
      <w:marLeft w:val="0"/>
      <w:marRight w:val="0"/>
      <w:marTop w:val="0"/>
      <w:marBottom w:val="0"/>
      <w:divBdr>
        <w:top w:val="none" w:sz="0" w:space="0" w:color="auto"/>
        <w:left w:val="none" w:sz="0" w:space="0" w:color="auto"/>
        <w:bottom w:val="none" w:sz="0" w:space="0" w:color="auto"/>
        <w:right w:val="none" w:sz="0" w:space="0" w:color="auto"/>
      </w:divBdr>
      <w:divsChild>
        <w:div w:id="1083137341">
          <w:marLeft w:val="0"/>
          <w:marRight w:val="0"/>
          <w:marTop w:val="0"/>
          <w:marBottom w:val="0"/>
          <w:divBdr>
            <w:top w:val="none" w:sz="0" w:space="0" w:color="auto"/>
            <w:left w:val="none" w:sz="0" w:space="0" w:color="auto"/>
            <w:bottom w:val="none" w:sz="0" w:space="0" w:color="auto"/>
            <w:right w:val="none" w:sz="0" w:space="0" w:color="auto"/>
          </w:divBdr>
        </w:div>
        <w:div w:id="343096965">
          <w:marLeft w:val="0"/>
          <w:marRight w:val="0"/>
          <w:marTop w:val="0"/>
          <w:marBottom w:val="0"/>
          <w:divBdr>
            <w:top w:val="none" w:sz="0" w:space="0" w:color="auto"/>
            <w:left w:val="none" w:sz="0" w:space="0" w:color="auto"/>
            <w:bottom w:val="none" w:sz="0" w:space="0" w:color="auto"/>
            <w:right w:val="none" w:sz="0" w:space="0" w:color="auto"/>
          </w:divBdr>
        </w:div>
        <w:div w:id="475801559">
          <w:marLeft w:val="0"/>
          <w:marRight w:val="0"/>
          <w:marTop w:val="0"/>
          <w:marBottom w:val="0"/>
          <w:divBdr>
            <w:top w:val="none" w:sz="0" w:space="0" w:color="auto"/>
            <w:left w:val="none" w:sz="0" w:space="0" w:color="auto"/>
            <w:bottom w:val="none" w:sz="0" w:space="0" w:color="auto"/>
            <w:right w:val="none" w:sz="0" w:space="0" w:color="auto"/>
          </w:divBdr>
        </w:div>
      </w:divsChild>
    </w:div>
    <w:div w:id="1813864337">
      <w:bodyDiv w:val="1"/>
      <w:marLeft w:val="0"/>
      <w:marRight w:val="0"/>
      <w:marTop w:val="0"/>
      <w:marBottom w:val="0"/>
      <w:divBdr>
        <w:top w:val="none" w:sz="0" w:space="0" w:color="auto"/>
        <w:left w:val="none" w:sz="0" w:space="0" w:color="auto"/>
        <w:bottom w:val="none" w:sz="0" w:space="0" w:color="auto"/>
        <w:right w:val="none" w:sz="0" w:space="0" w:color="auto"/>
      </w:divBdr>
      <w:divsChild>
        <w:div w:id="1748914712">
          <w:marLeft w:val="0"/>
          <w:marRight w:val="0"/>
          <w:marTop w:val="0"/>
          <w:marBottom w:val="0"/>
          <w:divBdr>
            <w:top w:val="none" w:sz="0" w:space="0" w:color="auto"/>
            <w:left w:val="none" w:sz="0" w:space="0" w:color="auto"/>
            <w:bottom w:val="none" w:sz="0" w:space="0" w:color="auto"/>
            <w:right w:val="none" w:sz="0" w:space="0" w:color="auto"/>
          </w:divBdr>
        </w:div>
        <w:div w:id="2141068865">
          <w:marLeft w:val="0"/>
          <w:marRight w:val="0"/>
          <w:marTop w:val="0"/>
          <w:marBottom w:val="0"/>
          <w:divBdr>
            <w:top w:val="none" w:sz="0" w:space="0" w:color="auto"/>
            <w:left w:val="none" w:sz="0" w:space="0" w:color="auto"/>
            <w:bottom w:val="none" w:sz="0" w:space="0" w:color="auto"/>
            <w:right w:val="none" w:sz="0" w:space="0" w:color="auto"/>
          </w:divBdr>
        </w:div>
        <w:div w:id="1168014131">
          <w:marLeft w:val="0"/>
          <w:marRight w:val="0"/>
          <w:marTop w:val="0"/>
          <w:marBottom w:val="0"/>
          <w:divBdr>
            <w:top w:val="none" w:sz="0" w:space="0" w:color="auto"/>
            <w:left w:val="none" w:sz="0" w:space="0" w:color="auto"/>
            <w:bottom w:val="none" w:sz="0" w:space="0" w:color="auto"/>
            <w:right w:val="none" w:sz="0" w:space="0" w:color="auto"/>
          </w:divBdr>
        </w:div>
        <w:div w:id="237205541">
          <w:marLeft w:val="0"/>
          <w:marRight w:val="0"/>
          <w:marTop w:val="0"/>
          <w:marBottom w:val="0"/>
          <w:divBdr>
            <w:top w:val="none" w:sz="0" w:space="0" w:color="auto"/>
            <w:left w:val="none" w:sz="0" w:space="0" w:color="auto"/>
            <w:bottom w:val="none" w:sz="0" w:space="0" w:color="auto"/>
            <w:right w:val="none" w:sz="0" w:space="0" w:color="auto"/>
          </w:divBdr>
        </w:div>
        <w:div w:id="1479572476">
          <w:marLeft w:val="0"/>
          <w:marRight w:val="0"/>
          <w:marTop w:val="0"/>
          <w:marBottom w:val="0"/>
          <w:divBdr>
            <w:top w:val="none" w:sz="0" w:space="0" w:color="auto"/>
            <w:left w:val="none" w:sz="0" w:space="0" w:color="auto"/>
            <w:bottom w:val="none" w:sz="0" w:space="0" w:color="auto"/>
            <w:right w:val="none" w:sz="0" w:space="0" w:color="auto"/>
          </w:divBdr>
        </w:div>
        <w:div w:id="481582073">
          <w:marLeft w:val="0"/>
          <w:marRight w:val="0"/>
          <w:marTop w:val="0"/>
          <w:marBottom w:val="0"/>
          <w:divBdr>
            <w:top w:val="none" w:sz="0" w:space="0" w:color="auto"/>
            <w:left w:val="none" w:sz="0" w:space="0" w:color="auto"/>
            <w:bottom w:val="none" w:sz="0" w:space="0" w:color="auto"/>
            <w:right w:val="none" w:sz="0" w:space="0" w:color="auto"/>
          </w:divBdr>
        </w:div>
        <w:div w:id="278071231">
          <w:marLeft w:val="0"/>
          <w:marRight w:val="0"/>
          <w:marTop w:val="0"/>
          <w:marBottom w:val="0"/>
          <w:divBdr>
            <w:top w:val="none" w:sz="0" w:space="0" w:color="auto"/>
            <w:left w:val="none" w:sz="0" w:space="0" w:color="auto"/>
            <w:bottom w:val="none" w:sz="0" w:space="0" w:color="auto"/>
            <w:right w:val="none" w:sz="0" w:space="0" w:color="auto"/>
          </w:divBdr>
        </w:div>
        <w:div w:id="1089231847">
          <w:marLeft w:val="0"/>
          <w:marRight w:val="0"/>
          <w:marTop w:val="0"/>
          <w:marBottom w:val="0"/>
          <w:divBdr>
            <w:top w:val="none" w:sz="0" w:space="0" w:color="auto"/>
            <w:left w:val="none" w:sz="0" w:space="0" w:color="auto"/>
            <w:bottom w:val="none" w:sz="0" w:space="0" w:color="auto"/>
            <w:right w:val="none" w:sz="0" w:space="0" w:color="auto"/>
          </w:divBdr>
        </w:div>
        <w:div w:id="1470248170">
          <w:marLeft w:val="0"/>
          <w:marRight w:val="0"/>
          <w:marTop w:val="0"/>
          <w:marBottom w:val="0"/>
          <w:divBdr>
            <w:top w:val="none" w:sz="0" w:space="0" w:color="auto"/>
            <w:left w:val="none" w:sz="0" w:space="0" w:color="auto"/>
            <w:bottom w:val="none" w:sz="0" w:space="0" w:color="auto"/>
            <w:right w:val="none" w:sz="0" w:space="0" w:color="auto"/>
          </w:divBdr>
        </w:div>
        <w:div w:id="93484262">
          <w:marLeft w:val="0"/>
          <w:marRight w:val="0"/>
          <w:marTop w:val="0"/>
          <w:marBottom w:val="0"/>
          <w:divBdr>
            <w:top w:val="none" w:sz="0" w:space="0" w:color="auto"/>
            <w:left w:val="none" w:sz="0" w:space="0" w:color="auto"/>
            <w:bottom w:val="none" w:sz="0" w:space="0" w:color="auto"/>
            <w:right w:val="none" w:sz="0" w:space="0" w:color="auto"/>
          </w:divBdr>
        </w:div>
        <w:div w:id="1395010528">
          <w:marLeft w:val="0"/>
          <w:marRight w:val="0"/>
          <w:marTop w:val="0"/>
          <w:marBottom w:val="0"/>
          <w:divBdr>
            <w:top w:val="none" w:sz="0" w:space="0" w:color="auto"/>
            <w:left w:val="none" w:sz="0" w:space="0" w:color="auto"/>
            <w:bottom w:val="none" w:sz="0" w:space="0" w:color="auto"/>
            <w:right w:val="none" w:sz="0" w:space="0" w:color="auto"/>
          </w:divBdr>
        </w:div>
        <w:div w:id="1020668294">
          <w:marLeft w:val="0"/>
          <w:marRight w:val="0"/>
          <w:marTop w:val="0"/>
          <w:marBottom w:val="0"/>
          <w:divBdr>
            <w:top w:val="none" w:sz="0" w:space="0" w:color="auto"/>
            <w:left w:val="none" w:sz="0" w:space="0" w:color="auto"/>
            <w:bottom w:val="none" w:sz="0" w:space="0" w:color="auto"/>
            <w:right w:val="none" w:sz="0" w:space="0" w:color="auto"/>
          </w:divBdr>
        </w:div>
        <w:div w:id="436563157">
          <w:marLeft w:val="0"/>
          <w:marRight w:val="0"/>
          <w:marTop w:val="0"/>
          <w:marBottom w:val="0"/>
          <w:divBdr>
            <w:top w:val="none" w:sz="0" w:space="0" w:color="auto"/>
            <w:left w:val="none" w:sz="0" w:space="0" w:color="auto"/>
            <w:bottom w:val="none" w:sz="0" w:space="0" w:color="auto"/>
            <w:right w:val="none" w:sz="0" w:space="0" w:color="auto"/>
          </w:divBdr>
        </w:div>
        <w:div w:id="1148010401">
          <w:marLeft w:val="0"/>
          <w:marRight w:val="0"/>
          <w:marTop w:val="0"/>
          <w:marBottom w:val="0"/>
          <w:divBdr>
            <w:top w:val="none" w:sz="0" w:space="0" w:color="auto"/>
            <w:left w:val="none" w:sz="0" w:space="0" w:color="auto"/>
            <w:bottom w:val="none" w:sz="0" w:space="0" w:color="auto"/>
            <w:right w:val="none" w:sz="0" w:space="0" w:color="auto"/>
          </w:divBdr>
        </w:div>
        <w:div w:id="538322791">
          <w:marLeft w:val="0"/>
          <w:marRight w:val="0"/>
          <w:marTop w:val="0"/>
          <w:marBottom w:val="0"/>
          <w:divBdr>
            <w:top w:val="none" w:sz="0" w:space="0" w:color="auto"/>
            <w:left w:val="none" w:sz="0" w:space="0" w:color="auto"/>
            <w:bottom w:val="none" w:sz="0" w:space="0" w:color="auto"/>
            <w:right w:val="none" w:sz="0" w:space="0" w:color="auto"/>
          </w:divBdr>
        </w:div>
        <w:div w:id="921375498">
          <w:marLeft w:val="0"/>
          <w:marRight w:val="0"/>
          <w:marTop w:val="0"/>
          <w:marBottom w:val="0"/>
          <w:divBdr>
            <w:top w:val="none" w:sz="0" w:space="0" w:color="auto"/>
            <w:left w:val="none" w:sz="0" w:space="0" w:color="auto"/>
            <w:bottom w:val="none" w:sz="0" w:space="0" w:color="auto"/>
            <w:right w:val="none" w:sz="0" w:space="0" w:color="auto"/>
          </w:divBdr>
        </w:div>
        <w:div w:id="2070225279">
          <w:marLeft w:val="0"/>
          <w:marRight w:val="0"/>
          <w:marTop w:val="0"/>
          <w:marBottom w:val="0"/>
          <w:divBdr>
            <w:top w:val="none" w:sz="0" w:space="0" w:color="auto"/>
            <w:left w:val="none" w:sz="0" w:space="0" w:color="auto"/>
            <w:bottom w:val="none" w:sz="0" w:space="0" w:color="auto"/>
            <w:right w:val="none" w:sz="0" w:space="0" w:color="auto"/>
          </w:divBdr>
        </w:div>
        <w:div w:id="518667365">
          <w:marLeft w:val="0"/>
          <w:marRight w:val="0"/>
          <w:marTop w:val="0"/>
          <w:marBottom w:val="0"/>
          <w:divBdr>
            <w:top w:val="none" w:sz="0" w:space="0" w:color="auto"/>
            <w:left w:val="none" w:sz="0" w:space="0" w:color="auto"/>
            <w:bottom w:val="none" w:sz="0" w:space="0" w:color="auto"/>
            <w:right w:val="none" w:sz="0" w:space="0" w:color="auto"/>
          </w:divBdr>
        </w:div>
        <w:div w:id="87893850">
          <w:marLeft w:val="0"/>
          <w:marRight w:val="0"/>
          <w:marTop w:val="0"/>
          <w:marBottom w:val="0"/>
          <w:divBdr>
            <w:top w:val="none" w:sz="0" w:space="0" w:color="auto"/>
            <w:left w:val="none" w:sz="0" w:space="0" w:color="auto"/>
            <w:bottom w:val="none" w:sz="0" w:space="0" w:color="auto"/>
            <w:right w:val="none" w:sz="0" w:space="0" w:color="auto"/>
          </w:divBdr>
        </w:div>
        <w:div w:id="1051805921">
          <w:marLeft w:val="0"/>
          <w:marRight w:val="0"/>
          <w:marTop w:val="0"/>
          <w:marBottom w:val="0"/>
          <w:divBdr>
            <w:top w:val="none" w:sz="0" w:space="0" w:color="auto"/>
            <w:left w:val="none" w:sz="0" w:space="0" w:color="auto"/>
            <w:bottom w:val="none" w:sz="0" w:space="0" w:color="auto"/>
            <w:right w:val="none" w:sz="0" w:space="0" w:color="auto"/>
          </w:divBdr>
        </w:div>
        <w:div w:id="1858930007">
          <w:marLeft w:val="0"/>
          <w:marRight w:val="0"/>
          <w:marTop w:val="0"/>
          <w:marBottom w:val="0"/>
          <w:divBdr>
            <w:top w:val="none" w:sz="0" w:space="0" w:color="auto"/>
            <w:left w:val="none" w:sz="0" w:space="0" w:color="auto"/>
            <w:bottom w:val="none" w:sz="0" w:space="0" w:color="auto"/>
            <w:right w:val="none" w:sz="0" w:space="0" w:color="auto"/>
          </w:divBdr>
        </w:div>
      </w:divsChild>
    </w:div>
    <w:div w:id="1814518069">
      <w:bodyDiv w:val="1"/>
      <w:marLeft w:val="0"/>
      <w:marRight w:val="0"/>
      <w:marTop w:val="0"/>
      <w:marBottom w:val="0"/>
      <w:divBdr>
        <w:top w:val="none" w:sz="0" w:space="0" w:color="auto"/>
        <w:left w:val="none" w:sz="0" w:space="0" w:color="auto"/>
        <w:bottom w:val="none" w:sz="0" w:space="0" w:color="auto"/>
        <w:right w:val="none" w:sz="0" w:space="0" w:color="auto"/>
      </w:divBdr>
      <w:divsChild>
        <w:div w:id="1665930096">
          <w:marLeft w:val="0"/>
          <w:marRight w:val="0"/>
          <w:marTop w:val="0"/>
          <w:marBottom w:val="0"/>
          <w:divBdr>
            <w:top w:val="none" w:sz="0" w:space="0" w:color="auto"/>
            <w:left w:val="none" w:sz="0" w:space="0" w:color="auto"/>
            <w:bottom w:val="none" w:sz="0" w:space="0" w:color="auto"/>
            <w:right w:val="none" w:sz="0" w:space="0" w:color="auto"/>
          </w:divBdr>
        </w:div>
        <w:div w:id="1203594063">
          <w:marLeft w:val="0"/>
          <w:marRight w:val="0"/>
          <w:marTop w:val="0"/>
          <w:marBottom w:val="0"/>
          <w:divBdr>
            <w:top w:val="none" w:sz="0" w:space="0" w:color="auto"/>
            <w:left w:val="none" w:sz="0" w:space="0" w:color="auto"/>
            <w:bottom w:val="none" w:sz="0" w:space="0" w:color="auto"/>
            <w:right w:val="none" w:sz="0" w:space="0" w:color="auto"/>
          </w:divBdr>
        </w:div>
        <w:div w:id="1764297457">
          <w:marLeft w:val="0"/>
          <w:marRight w:val="0"/>
          <w:marTop w:val="0"/>
          <w:marBottom w:val="0"/>
          <w:divBdr>
            <w:top w:val="none" w:sz="0" w:space="0" w:color="auto"/>
            <w:left w:val="none" w:sz="0" w:space="0" w:color="auto"/>
            <w:bottom w:val="none" w:sz="0" w:space="0" w:color="auto"/>
            <w:right w:val="none" w:sz="0" w:space="0" w:color="auto"/>
          </w:divBdr>
        </w:div>
        <w:div w:id="988368300">
          <w:marLeft w:val="0"/>
          <w:marRight w:val="0"/>
          <w:marTop w:val="0"/>
          <w:marBottom w:val="0"/>
          <w:divBdr>
            <w:top w:val="none" w:sz="0" w:space="0" w:color="auto"/>
            <w:left w:val="none" w:sz="0" w:space="0" w:color="auto"/>
            <w:bottom w:val="none" w:sz="0" w:space="0" w:color="auto"/>
            <w:right w:val="none" w:sz="0" w:space="0" w:color="auto"/>
          </w:divBdr>
        </w:div>
        <w:div w:id="1798446101">
          <w:marLeft w:val="0"/>
          <w:marRight w:val="0"/>
          <w:marTop w:val="0"/>
          <w:marBottom w:val="0"/>
          <w:divBdr>
            <w:top w:val="none" w:sz="0" w:space="0" w:color="auto"/>
            <w:left w:val="none" w:sz="0" w:space="0" w:color="auto"/>
            <w:bottom w:val="none" w:sz="0" w:space="0" w:color="auto"/>
            <w:right w:val="none" w:sz="0" w:space="0" w:color="auto"/>
          </w:divBdr>
        </w:div>
        <w:div w:id="1584677236">
          <w:marLeft w:val="0"/>
          <w:marRight w:val="0"/>
          <w:marTop w:val="0"/>
          <w:marBottom w:val="0"/>
          <w:divBdr>
            <w:top w:val="none" w:sz="0" w:space="0" w:color="auto"/>
            <w:left w:val="none" w:sz="0" w:space="0" w:color="auto"/>
            <w:bottom w:val="none" w:sz="0" w:space="0" w:color="auto"/>
            <w:right w:val="none" w:sz="0" w:space="0" w:color="auto"/>
          </w:divBdr>
        </w:div>
        <w:div w:id="488519893">
          <w:marLeft w:val="0"/>
          <w:marRight w:val="0"/>
          <w:marTop w:val="0"/>
          <w:marBottom w:val="0"/>
          <w:divBdr>
            <w:top w:val="none" w:sz="0" w:space="0" w:color="auto"/>
            <w:left w:val="none" w:sz="0" w:space="0" w:color="auto"/>
            <w:bottom w:val="none" w:sz="0" w:space="0" w:color="auto"/>
            <w:right w:val="none" w:sz="0" w:space="0" w:color="auto"/>
          </w:divBdr>
        </w:div>
      </w:divsChild>
    </w:div>
    <w:div w:id="1829858575">
      <w:bodyDiv w:val="1"/>
      <w:marLeft w:val="0"/>
      <w:marRight w:val="0"/>
      <w:marTop w:val="0"/>
      <w:marBottom w:val="0"/>
      <w:divBdr>
        <w:top w:val="none" w:sz="0" w:space="0" w:color="auto"/>
        <w:left w:val="none" w:sz="0" w:space="0" w:color="auto"/>
        <w:bottom w:val="none" w:sz="0" w:space="0" w:color="auto"/>
        <w:right w:val="none" w:sz="0" w:space="0" w:color="auto"/>
      </w:divBdr>
      <w:divsChild>
        <w:div w:id="1204245384">
          <w:marLeft w:val="0"/>
          <w:marRight w:val="0"/>
          <w:marTop w:val="0"/>
          <w:marBottom w:val="0"/>
          <w:divBdr>
            <w:top w:val="none" w:sz="0" w:space="0" w:color="auto"/>
            <w:left w:val="none" w:sz="0" w:space="0" w:color="auto"/>
            <w:bottom w:val="none" w:sz="0" w:space="0" w:color="auto"/>
            <w:right w:val="none" w:sz="0" w:space="0" w:color="auto"/>
          </w:divBdr>
        </w:div>
        <w:div w:id="517307270">
          <w:marLeft w:val="0"/>
          <w:marRight w:val="0"/>
          <w:marTop w:val="0"/>
          <w:marBottom w:val="0"/>
          <w:divBdr>
            <w:top w:val="none" w:sz="0" w:space="0" w:color="auto"/>
            <w:left w:val="none" w:sz="0" w:space="0" w:color="auto"/>
            <w:bottom w:val="none" w:sz="0" w:space="0" w:color="auto"/>
            <w:right w:val="none" w:sz="0" w:space="0" w:color="auto"/>
          </w:divBdr>
        </w:div>
        <w:div w:id="1999307234">
          <w:marLeft w:val="0"/>
          <w:marRight w:val="0"/>
          <w:marTop w:val="0"/>
          <w:marBottom w:val="0"/>
          <w:divBdr>
            <w:top w:val="none" w:sz="0" w:space="0" w:color="auto"/>
            <w:left w:val="none" w:sz="0" w:space="0" w:color="auto"/>
            <w:bottom w:val="none" w:sz="0" w:space="0" w:color="auto"/>
            <w:right w:val="none" w:sz="0" w:space="0" w:color="auto"/>
          </w:divBdr>
        </w:div>
        <w:div w:id="829054238">
          <w:marLeft w:val="0"/>
          <w:marRight w:val="0"/>
          <w:marTop w:val="0"/>
          <w:marBottom w:val="0"/>
          <w:divBdr>
            <w:top w:val="none" w:sz="0" w:space="0" w:color="auto"/>
            <w:left w:val="none" w:sz="0" w:space="0" w:color="auto"/>
            <w:bottom w:val="none" w:sz="0" w:space="0" w:color="auto"/>
            <w:right w:val="none" w:sz="0" w:space="0" w:color="auto"/>
          </w:divBdr>
        </w:div>
      </w:divsChild>
    </w:div>
    <w:div w:id="1832796096">
      <w:bodyDiv w:val="1"/>
      <w:marLeft w:val="0"/>
      <w:marRight w:val="0"/>
      <w:marTop w:val="0"/>
      <w:marBottom w:val="0"/>
      <w:divBdr>
        <w:top w:val="none" w:sz="0" w:space="0" w:color="auto"/>
        <w:left w:val="none" w:sz="0" w:space="0" w:color="auto"/>
        <w:bottom w:val="none" w:sz="0" w:space="0" w:color="auto"/>
        <w:right w:val="none" w:sz="0" w:space="0" w:color="auto"/>
      </w:divBdr>
    </w:div>
    <w:div w:id="1837843170">
      <w:bodyDiv w:val="1"/>
      <w:marLeft w:val="0"/>
      <w:marRight w:val="0"/>
      <w:marTop w:val="0"/>
      <w:marBottom w:val="0"/>
      <w:divBdr>
        <w:top w:val="none" w:sz="0" w:space="0" w:color="auto"/>
        <w:left w:val="none" w:sz="0" w:space="0" w:color="auto"/>
        <w:bottom w:val="none" w:sz="0" w:space="0" w:color="auto"/>
        <w:right w:val="none" w:sz="0" w:space="0" w:color="auto"/>
      </w:divBdr>
    </w:div>
    <w:div w:id="1838687441">
      <w:bodyDiv w:val="1"/>
      <w:marLeft w:val="0"/>
      <w:marRight w:val="0"/>
      <w:marTop w:val="0"/>
      <w:marBottom w:val="0"/>
      <w:divBdr>
        <w:top w:val="none" w:sz="0" w:space="0" w:color="auto"/>
        <w:left w:val="none" w:sz="0" w:space="0" w:color="auto"/>
        <w:bottom w:val="none" w:sz="0" w:space="0" w:color="auto"/>
        <w:right w:val="none" w:sz="0" w:space="0" w:color="auto"/>
      </w:divBdr>
    </w:div>
    <w:div w:id="1950892433">
      <w:bodyDiv w:val="1"/>
      <w:marLeft w:val="0"/>
      <w:marRight w:val="0"/>
      <w:marTop w:val="0"/>
      <w:marBottom w:val="0"/>
      <w:divBdr>
        <w:top w:val="none" w:sz="0" w:space="0" w:color="auto"/>
        <w:left w:val="none" w:sz="0" w:space="0" w:color="auto"/>
        <w:bottom w:val="none" w:sz="0" w:space="0" w:color="auto"/>
        <w:right w:val="none" w:sz="0" w:space="0" w:color="auto"/>
      </w:divBdr>
      <w:divsChild>
        <w:div w:id="1888485673">
          <w:marLeft w:val="0"/>
          <w:marRight w:val="0"/>
          <w:marTop w:val="0"/>
          <w:marBottom w:val="0"/>
          <w:divBdr>
            <w:top w:val="none" w:sz="0" w:space="0" w:color="auto"/>
            <w:left w:val="none" w:sz="0" w:space="0" w:color="auto"/>
            <w:bottom w:val="none" w:sz="0" w:space="0" w:color="auto"/>
            <w:right w:val="none" w:sz="0" w:space="0" w:color="auto"/>
          </w:divBdr>
        </w:div>
        <w:div w:id="187137627">
          <w:marLeft w:val="0"/>
          <w:marRight w:val="0"/>
          <w:marTop w:val="0"/>
          <w:marBottom w:val="0"/>
          <w:divBdr>
            <w:top w:val="none" w:sz="0" w:space="0" w:color="auto"/>
            <w:left w:val="none" w:sz="0" w:space="0" w:color="auto"/>
            <w:bottom w:val="none" w:sz="0" w:space="0" w:color="auto"/>
            <w:right w:val="none" w:sz="0" w:space="0" w:color="auto"/>
          </w:divBdr>
        </w:div>
        <w:div w:id="696662140">
          <w:marLeft w:val="0"/>
          <w:marRight w:val="0"/>
          <w:marTop w:val="0"/>
          <w:marBottom w:val="0"/>
          <w:divBdr>
            <w:top w:val="none" w:sz="0" w:space="0" w:color="auto"/>
            <w:left w:val="none" w:sz="0" w:space="0" w:color="auto"/>
            <w:bottom w:val="none" w:sz="0" w:space="0" w:color="auto"/>
            <w:right w:val="none" w:sz="0" w:space="0" w:color="auto"/>
          </w:divBdr>
        </w:div>
      </w:divsChild>
    </w:div>
    <w:div w:id="1964581298">
      <w:bodyDiv w:val="1"/>
      <w:marLeft w:val="0"/>
      <w:marRight w:val="0"/>
      <w:marTop w:val="0"/>
      <w:marBottom w:val="0"/>
      <w:divBdr>
        <w:top w:val="none" w:sz="0" w:space="0" w:color="auto"/>
        <w:left w:val="none" w:sz="0" w:space="0" w:color="auto"/>
        <w:bottom w:val="none" w:sz="0" w:space="0" w:color="auto"/>
        <w:right w:val="none" w:sz="0" w:space="0" w:color="auto"/>
      </w:divBdr>
    </w:div>
    <w:div w:id="2018313925">
      <w:bodyDiv w:val="1"/>
      <w:marLeft w:val="0"/>
      <w:marRight w:val="0"/>
      <w:marTop w:val="0"/>
      <w:marBottom w:val="0"/>
      <w:divBdr>
        <w:top w:val="none" w:sz="0" w:space="0" w:color="auto"/>
        <w:left w:val="none" w:sz="0" w:space="0" w:color="auto"/>
        <w:bottom w:val="none" w:sz="0" w:space="0" w:color="auto"/>
        <w:right w:val="none" w:sz="0" w:space="0" w:color="auto"/>
      </w:divBdr>
    </w:div>
    <w:div w:id="2111779288">
      <w:bodyDiv w:val="1"/>
      <w:marLeft w:val="0"/>
      <w:marRight w:val="0"/>
      <w:marTop w:val="0"/>
      <w:marBottom w:val="0"/>
      <w:divBdr>
        <w:top w:val="none" w:sz="0" w:space="0" w:color="auto"/>
        <w:left w:val="none" w:sz="0" w:space="0" w:color="auto"/>
        <w:bottom w:val="none" w:sz="0" w:space="0" w:color="auto"/>
        <w:right w:val="none" w:sz="0" w:space="0" w:color="auto"/>
      </w:divBdr>
      <w:divsChild>
        <w:div w:id="1772124768">
          <w:marLeft w:val="0"/>
          <w:marRight w:val="0"/>
          <w:marTop w:val="0"/>
          <w:marBottom w:val="0"/>
          <w:divBdr>
            <w:top w:val="none" w:sz="0" w:space="0" w:color="auto"/>
            <w:left w:val="none" w:sz="0" w:space="0" w:color="auto"/>
            <w:bottom w:val="none" w:sz="0" w:space="0" w:color="auto"/>
            <w:right w:val="none" w:sz="0" w:space="0" w:color="auto"/>
          </w:divBdr>
        </w:div>
        <w:div w:id="1367027142">
          <w:marLeft w:val="0"/>
          <w:marRight w:val="0"/>
          <w:marTop w:val="0"/>
          <w:marBottom w:val="0"/>
          <w:divBdr>
            <w:top w:val="none" w:sz="0" w:space="0" w:color="auto"/>
            <w:left w:val="none" w:sz="0" w:space="0" w:color="auto"/>
            <w:bottom w:val="none" w:sz="0" w:space="0" w:color="auto"/>
            <w:right w:val="none" w:sz="0" w:space="0" w:color="auto"/>
          </w:divBdr>
        </w:div>
        <w:div w:id="498425425">
          <w:marLeft w:val="0"/>
          <w:marRight w:val="0"/>
          <w:marTop w:val="0"/>
          <w:marBottom w:val="0"/>
          <w:divBdr>
            <w:top w:val="none" w:sz="0" w:space="0" w:color="auto"/>
            <w:left w:val="none" w:sz="0" w:space="0" w:color="auto"/>
            <w:bottom w:val="none" w:sz="0" w:space="0" w:color="auto"/>
            <w:right w:val="none" w:sz="0" w:space="0" w:color="auto"/>
          </w:divBdr>
        </w:div>
        <w:div w:id="1572621614">
          <w:marLeft w:val="0"/>
          <w:marRight w:val="0"/>
          <w:marTop w:val="0"/>
          <w:marBottom w:val="0"/>
          <w:divBdr>
            <w:top w:val="none" w:sz="0" w:space="0" w:color="auto"/>
            <w:left w:val="none" w:sz="0" w:space="0" w:color="auto"/>
            <w:bottom w:val="none" w:sz="0" w:space="0" w:color="auto"/>
            <w:right w:val="none" w:sz="0" w:space="0" w:color="auto"/>
          </w:divBdr>
        </w:div>
        <w:div w:id="244651693">
          <w:marLeft w:val="0"/>
          <w:marRight w:val="0"/>
          <w:marTop w:val="0"/>
          <w:marBottom w:val="0"/>
          <w:divBdr>
            <w:top w:val="none" w:sz="0" w:space="0" w:color="auto"/>
            <w:left w:val="none" w:sz="0" w:space="0" w:color="auto"/>
            <w:bottom w:val="none" w:sz="0" w:space="0" w:color="auto"/>
            <w:right w:val="none" w:sz="0" w:space="0" w:color="auto"/>
          </w:divBdr>
        </w:div>
      </w:divsChild>
    </w:div>
    <w:div w:id="211467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footer" Target="footer18.xml"/><Relationship Id="rId76" Type="http://schemas.openxmlformats.org/officeDocument/2006/relationships/header" Target="header23.xml"/><Relationship Id="rId84"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header" Target="header14.xml"/><Relationship Id="rId66" Type="http://schemas.openxmlformats.org/officeDocument/2006/relationships/footer" Target="footer17.xml"/><Relationship Id="rId74" Type="http://schemas.openxmlformats.org/officeDocument/2006/relationships/footer" Target="footer21.xml"/><Relationship Id="rId79" Type="http://schemas.openxmlformats.org/officeDocument/2006/relationships/header" Target="header24.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header" Target="header26.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header" Target="header17.xml"/><Relationship Id="rId69" Type="http://schemas.openxmlformats.org/officeDocument/2006/relationships/header" Target="header19.xml"/><Relationship Id="rId77" Type="http://schemas.openxmlformats.org/officeDocument/2006/relationships/footer" Target="footer22.xml"/><Relationship Id="rId8" Type="http://schemas.openxmlformats.org/officeDocument/2006/relationships/image" Target="media/image1.emf"/><Relationship Id="rId51" Type="http://schemas.openxmlformats.org/officeDocument/2006/relationships/header" Target="header10.xml"/><Relationship Id="rId72" Type="http://schemas.openxmlformats.org/officeDocument/2006/relationships/footer" Target="footer20.xml"/><Relationship Id="rId80" Type="http://schemas.openxmlformats.org/officeDocument/2006/relationships/footer" Target="footer24.xml"/><Relationship Id="rId85"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eader" Target="header8.xml"/><Relationship Id="rId59" Type="http://schemas.openxmlformats.org/officeDocument/2006/relationships/footer" Target="footer13.xml"/><Relationship Id="rId67" Type="http://schemas.openxmlformats.org/officeDocument/2006/relationships/header" Target="header18.xml"/><Relationship Id="rId20" Type="http://schemas.openxmlformats.org/officeDocument/2006/relationships/image" Target="media/image7.png"/><Relationship Id="rId41" Type="http://schemas.openxmlformats.org/officeDocument/2006/relationships/footer" Target="footer4.xml"/><Relationship Id="rId54" Type="http://schemas.openxmlformats.org/officeDocument/2006/relationships/footer" Target="footer11.xml"/><Relationship Id="rId62" Type="http://schemas.openxmlformats.org/officeDocument/2006/relationships/footer" Target="footer15.xml"/><Relationship Id="rId70" Type="http://schemas.openxmlformats.org/officeDocument/2006/relationships/header" Target="header20.xml"/><Relationship Id="rId75" Type="http://schemas.openxmlformats.org/officeDocument/2006/relationships/header" Target="header22.xml"/><Relationship Id="rId83" Type="http://schemas.openxmlformats.org/officeDocument/2006/relationships/footer" Target="footer25.xml"/><Relationship Id="rId88" Type="http://schemas.openxmlformats.org/officeDocument/2006/relationships/theme" Target="theme/theme1.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footer" Target="footer6.xml"/><Relationship Id="rId52" Type="http://schemas.openxmlformats.org/officeDocument/2006/relationships/header" Target="header11.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header" Target="header21.xml"/><Relationship Id="rId78" Type="http://schemas.openxmlformats.org/officeDocument/2006/relationships/footer" Target="footer23.xml"/><Relationship Id="rId81" Type="http://schemas.openxmlformats.org/officeDocument/2006/relationships/header" Target="header25.xml"/><Relationship Id="rId86" Type="http://schemas.openxmlformats.org/officeDocument/2006/relationships/footer" Target="footer27.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food/safety/food_waste_en" TargetMode="External"/><Relationship Id="rId13" Type="http://schemas.openxmlformats.org/officeDocument/2006/relationships/hyperlink" Target="https://www.sitra.fi/en/publications/circular-economy-powerful-force-climate-mitigation/" TargetMode="External"/><Relationship Id="rId18" Type="http://schemas.openxmlformats.org/officeDocument/2006/relationships/hyperlink" Target="https://www.un.org/sustainabledevelopment/cities/" TargetMode="External"/><Relationship Id="rId26" Type="http://schemas.openxmlformats.org/officeDocument/2006/relationships/hyperlink" Target="http://trade.ec.europa.eu/doclib/docs/2018/february/tradoc_156618.pdf" TargetMode="External"/><Relationship Id="rId3" Type="http://schemas.openxmlformats.org/officeDocument/2006/relationships/hyperlink" Target="https://ec.europa.eu/eurostat/statistics-explained/index.php/Quality_of_life_indicators" TargetMode="External"/><Relationship Id="rId21" Type="http://schemas.openxmlformats.org/officeDocument/2006/relationships/hyperlink" Target="https://ec.europa.eu/info/publications/180524-proposal-sustainable-finance_en" TargetMode="External"/><Relationship Id="rId7" Type="http://schemas.openxmlformats.org/officeDocument/2006/relationships/hyperlink" Target="https://hbr.org/2017/06/if-you-think-fighting-climate-change-will-be-expensive-calculate-the-cost-of-letting-it-happen" TargetMode="External"/><Relationship Id="rId12" Type="http://schemas.openxmlformats.org/officeDocument/2006/relationships/hyperlink" Target="https://ec.europa.eu/eurostat/statistics-explained/pdfscache/10420.pdf" TargetMode="External"/><Relationship Id="rId17" Type="http://schemas.openxmlformats.org/officeDocument/2006/relationships/hyperlink" Target="http://topten.eu/" TargetMode="External"/><Relationship Id="rId25" Type="http://schemas.openxmlformats.org/officeDocument/2006/relationships/hyperlink" Target="https://ec.europa.eu/info/publications/180524-proposal-sustainable-finance_en" TargetMode="External"/><Relationship Id="rId2" Type="http://schemas.openxmlformats.org/officeDocument/2006/relationships/hyperlink" Target="https://ec.europa.eu/regional_policy/sources/docoffic/official/reports/cohesion7/7cr.pdf" TargetMode="External"/><Relationship Id="rId16" Type="http://schemas.openxmlformats.org/officeDocument/2006/relationships/hyperlink" Target="https://ec.europa.eu/health/amr/sites/amr/files/amr_action_plan_2017_en.pdf" TargetMode="External"/><Relationship Id="rId20" Type="http://schemas.openxmlformats.org/officeDocument/2006/relationships/hyperlink" Target="http://sustain.stanford.edu/crop-yield-analysis" TargetMode="External"/><Relationship Id="rId29" Type="http://schemas.openxmlformats.org/officeDocument/2006/relationships/hyperlink" Target="https://ec.europa.eu/info/strategy/international-strategies/global-topics/sustainable-development-goals/multi-stakeholder-platform-sdgs_de" TargetMode="External"/><Relationship Id="rId1" Type="http://schemas.openxmlformats.org/officeDocument/2006/relationships/hyperlink" Target="https://www.un.org/press/en/2015/sgsm17111.doc.htm" TargetMode="External"/><Relationship Id="rId6" Type="http://schemas.openxmlformats.org/officeDocument/2006/relationships/hyperlink" Target="https://www.footprintnetwork.org/our-work/ecological-footprint/" TargetMode="External"/><Relationship Id="rId11" Type="http://schemas.openxmlformats.org/officeDocument/2006/relationships/hyperlink" Target="https://eur-lex.europa.eu/legal-content/DE/TXT/?uri=CELEX:32013D1386" TargetMode="External"/><Relationship Id="rId24" Type="http://schemas.openxmlformats.org/officeDocument/2006/relationships/hyperlink" Target="http://ec.europa.eu/competition/state_aid/scoreboard/index_en.html%20" TargetMode="External"/><Relationship Id="rId5" Type="http://schemas.openxmlformats.org/officeDocument/2006/relationships/hyperlink" Target="https://ec.europa.eu/info/sites/info/files/economy-finance/ip089_en_0.pdf" TargetMode="External"/><Relationship Id="rId15" Type="http://schemas.openxmlformats.org/officeDocument/2006/relationships/hyperlink" Target="https://ec.europa.eu/commission/publications/natural-resources-and-environment" TargetMode="External"/><Relationship Id="rId23" Type="http://schemas.openxmlformats.org/officeDocument/2006/relationships/hyperlink" Target="http://ec.europa.eu/competition/state_aid/scoreboard/index_en.html" TargetMode="External"/><Relationship Id="rId28" Type="http://schemas.openxmlformats.org/officeDocument/2006/relationships/hyperlink" Target="https://ec.europa.eu/commission/priorities/democratic-change/better-regulation/task-force-subsidiarity-proportionality-and-doing-less-more-efficiently_en.%20" TargetMode="External"/><Relationship Id="rId10" Type="http://schemas.openxmlformats.org/officeDocument/2006/relationships/hyperlink" Target="https://eige.europa.eu/news-and-events/news/gender-equality-index-2017-progress-snails-pace" TargetMode="External"/><Relationship Id="rId19" Type="http://schemas.openxmlformats.org/officeDocument/2006/relationships/hyperlink" Target="https://ec.europa.eu/growth/tools-databases/dem/monitor/sites/default/files/DTM_AI%20USA-China-EU%20plans%20for%20AI%20v5.pdf" TargetMode="External"/><Relationship Id="rId4" Type="http://schemas.openxmlformats.org/officeDocument/2006/relationships/hyperlink" Target="https://www.youthforum.org/youth-progress-index" TargetMode="External"/><Relationship Id="rId9" Type="http://schemas.openxmlformats.org/officeDocument/2006/relationships/hyperlink" Target="http://www.fao.org/3/a-i6106e.pdf" TargetMode="External"/><Relationship Id="rId14" Type="http://schemas.openxmlformats.org/officeDocument/2006/relationships/hyperlink" Target="http://www.fao.org/rural-employment/work-areas/green-jobs/en/" TargetMode="External"/><Relationship Id="rId22" Type="http://schemas.openxmlformats.org/officeDocument/2006/relationships/hyperlink" Target="https://ec.europa.eu/taxation_customs/business/company-tax/tax-good-governance/european-semester/tax-policies-european-union-survey_en" TargetMode="External"/><Relationship Id="rId27" Type="http://schemas.openxmlformats.org/officeDocument/2006/relationships/hyperlink" Target="https://ec.europa.eu/info/sites/info/files/communication-principles-subsidiarity-proportionality-strengthening-role-policymaking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17C81-AFFB-472B-B856-5880EF44E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16401</Words>
  <Characters>110547</Characters>
  <Application>Microsoft Office Word</Application>
  <DocSecurity>0</DocSecurity>
  <Lines>1842</Lines>
  <Paragraphs>311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2019-01-30T09:03:00Z</dcterms:created>
  <dcterms:modified xsi:type="dcterms:W3CDTF">2019-01-30T09:36:00Z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Created using">
    <vt:lpwstr>LW 6.0.1, Build 20180503</vt:lpwstr>
  </property>
</Properties>
</file>