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CA963AE-05DA-4837-9CE0-52C2B2F4BF98" style="width:450.75pt;height:395.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Kopsavilkums</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Rīcības nepieciešamība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Pamatojums. Risināmā problēma.</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Saskaņā ar 22. pantu Regulā (ES) 2015/757 par jūras transporta oglekļa dioksīda emisiju monitoringu, ziņošanu un verifikāciju (ES MZV) Komisija ierosina grozīt ES MZV, lai pienācīgi ņemtu vērā Starptautiskās Jūrniecības organizācijas (SJO) izveidoto kuģu degvieleļļas patēriņa datu vākšanas globālo sistēmu.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Paredzamie šīs iniciatīvas mērķi.</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Mērķis ir veicināt abu MZV sistēmu saskaņotu īstenošanu, vienlaikus saglabājot ES MZV mērķus, t. i., atsevišķu kuģu līmenī turpināt vākt drošus un pārbaudītus datus par CO</w:t>
            </w:r>
            <w:r>
              <w:rPr>
                <w:rFonts w:ascii="Arial" w:hAnsi="Arial"/>
                <w:noProof/>
                <w:sz w:val="20"/>
                <w:vertAlign w:val="subscript"/>
              </w:rPr>
              <w:t>2</w:t>
            </w:r>
            <w:r>
              <w:rPr>
                <w:rFonts w:ascii="Arial" w:hAnsi="Arial"/>
                <w:noProof/>
                <w:sz w:val="20"/>
              </w:rPr>
              <w:t xml:space="preserve"> emisijām, lai veicinātu energoefektīvu risinājumu ieviešanu un nodrošinātu informāciju turpmāku politikas lēmumu pieņemšanai.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ES līmeņa rīcības pievienotā vērtība.</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Saglabājot vienotu MZV prasību kopumu Savienības līmenī, ierosinātā rīcība nodrošinās, ka arī turpmāk kuģu CO</w:t>
            </w:r>
            <w:r>
              <w:rPr>
                <w:rFonts w:ascii="Arial" w:hAnsi="Arial"/>
                <w:noProof/>
                <w:sz w:val="20"/>
                <w:vertAlign w:val="subscript"/>
              </w:rPr>
              <w:t>2</w:t>
            </w:r>
            <w:r>
              <w:rPr>
                <w:rFonts w:ascii="Arial" w:eastAsiaTheme="minorHAnsi" w:hAnsi="Arial"/>
                <w:noProof/>
                <w:sz w:val="20"/>
              </w:rPr>
              <w:t xml:space="preserve"> emisiju dati ir salīdzināmi un uzticami.</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Risinājumi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Apsvērtie leģislatīvie un neleģislatīvie politikas risinājumi. Vēlamais variants. Pamatojums.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Lai gan “pārvaldības” un “CO</w:t>
            </w:r>
            <w:r>
              <w:rPr>
                <w:rFonts w:ascii="Arial" w:hAnsi="Arial"/>
                <w:noProof/>
                <w:sz w:val="20"/>
                <w:vertAlign w:val="subscript"/>
              </w:rPr>
              <w:t>2</w:t>
            </w:r>
            <w:r>
              <w:rPr>
                <w:rFonts w:ascii="Arial" w:eastAsiaTheme="minorHAnsi" w:hAnsi="Arial"/>
                <w:noProof/>
                <w:sz w:val="20"/>
              </w:rPr>
              <w:t xml:space="preserve"> ziņošanas” saskaņošana jau sākotnēji tika atmesta, lai saglabātu ES MZV mērķus, ir izvērtēti 3 politikas risinājumi. Pirmais risinājums atspoguļo, kas notiktu, ja netiktu veikti nekādi pasākumi. Ar 2. risinājumu tiek izvērtēti dažādi racionalizācijas scenāriji, lai samazinātu administratīvo slogu un saglabātu ES MZV mērķus. Trešais risinājums atspoguļo abu sistēmu pilnīgu tehnisko saskaņošanu.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Saskaņā ar 2. risinājumu vēlamais variants ir ES MZV mērķu saglabāšanas nolūkā racionalizēt abas sistēmas, proti, to definīcijas, monitoringa parametrus, monitoringa plānus un veidnes, lai samazinātu administratīvo slogu, bet ne grozīt pārvaldību, tvērumu, verifikāciju un CO2 ziņošanas prasības.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Atbalsts konkrētajiem risinājumiem.</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Otrais risinājums atbilst prioritātēm, ko paudusi lielākā daļa ieinteresēto personu, kuras piedalījās sabiedriskajā apspriešanā tiešsaistē, un kurās uzsvērta nepieciešamība saskaņot tehniskos aspektus. Vienlaikus ES pieeja attiecībā uz verifikāciju un pārredzamību atbilst pilsoniskās sabiedrības, akadēmisko aprindu, iedzīvotāju un dalībvalstu nostājai.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Vēlamā risinājuma ietekme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Ieguvums no vēlamā risinājuma (ja tāda nav, no galvenajiem risinājumiem)</w:t>
            </w:r>
            <w:r>
              <w:rPr>
                <w:rFonts w:ascii="Tahoma" w:hAnsi="Tahoma"/>
                <w:noProof/>
                <w:sz w:val="20"/>
              </w:rPr>
              <w:t>.</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Vēlamais risinājums saglabā ES MZV ieguvumus vides, sociālās un ekonomiskās ietekmes ziņā, un tas samazina administratīvo slogu uzņēmumiem.</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Vēlamā risinājuma izmaksas (ja tāda nav, galveno risinājumu izmaksas)</w:t>
            </w:r>
            <w:r>
              <w:rPr>
                <w:rFonts w:ascii="Tahoma" w:hAnsi="Tahoma"/>
                <w:noProof/>
                <w:sz w:val="20"/>
              </w:rPr>
              <w:t>.</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Racionalizējot abu ES MZV sistēmu dažus aspektus, vēlamais risinājums samazina administratīvo slogu un saistītās izmaksas kuģiem, kuriem jāziņo saskaņā ar abām MZV sistēmām.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Ietekme uz uzņēmumiem, MVU un mikrouzņēmumiem.</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Uzņēmumi, uz kuriem attiecas abas MZV sistēmas, gūs labumu no mazāka administratīvā sloga, bet aptuveni 99 % no jūras transporta MVU netiks ietekmēti, jo ES MZV neattiecas uz kuģiem, kuru bruto tonnāža ir mazāka nekā 5000 tonnas.</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Nozīmīga ietekme uz valstu budžetiem un administrāciju.</w:t>
            </w:r>
          </w:p>
        </w:tc>
      </w:tr>
      <w:tr>
        <w:tc>
          <w:tcPr>
            <w:tcW w:w="10188" w:type="dxa"/>
            <w:shd w:val="clear" w:color="auto" w:fill="auto"/>
          </w:tcPr>
          <w:p>
            <w:pPr>
              <w:jc w:val="both"/>
              <w:rPr>
                <w:rFonts w:ascii="Arial" w:hAnsi="Arial" w:cs="Arial"/>
                <w:noProof/>
                <w:sz w:val="20"/>
                <w:szCs w:val="20"/>
              </w:rPr>
            </w:pPr>
            <w:r>
              <w:rPr>
                <w:rFonts w:ascii="Arial" w:hAnsi="Arial"/>
                <w:noProof/>
                <w:sz w:val="20"/>
              </w:rPr>
              <w:t>Tā kā ES MZV sistēma jau ir ieviesta, nebūs ievērojamas ietekmes uz valstu budžetiem un administrāciju. Tomēr tā var veicināt karoga valstu ziņošanas pienākumu izpildi.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Cita nozīmīga ietekme.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Nav konstatēta nekāda cita nozīmīga ietekme.</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Turpmāki pasākumi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Politikas pārskatīšanas termiņš.</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Ir paredzēta regulāra uzraudzība, izmantojot informāciju par virkni rādītāju, kas dalībvalstīm jāsniedz reizi divos gados.</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ACA963AE-05DA-4837-9CE0-52C2B2F4BF98"/>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Briselē, "/>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ar ko groza Regulu (ES) 2015/757, lai pien\u257?c\u299?gi \u326?emtu v\u275?r\u257? ku\u291?u degviele\u316?\u316?as pat\u275?ri\u326?a datu v\u257?k\u353?anas glob\u257?lo sist\u275?mu"/>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437</Words>
  <Characters>2961</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2016-12-05T13:32:00Z</cp:lastPrinted>
  <dcterms:created xsi:type="dcterms:W3CDTF">2018-11-28T09:25:00Z</dcterms:created>
  <dcterms:modified xsi:type="dcterms:W3CDTF">2019-01-29T12:41:00Z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