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A3FB8E7-7B6F-4661-861B-0B6551074579" style="width:450.8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STANOVISKO KOMISE</w:t>
      </w:r>
    </w:p>
    <w:p>
      <w:pPr>
        <w:pStyle w:val="Titreobjet"/>
        <w:rPr>
          <w:noProof/>
        </w:rPr>
      </w:pPr>
      <w:r>
        <w:rPr>
          <w:noProof/>
        </w:rPr>
        <w:t>k žádosti o změny Protokolu (č. 5) o statutu Evropské investiční banky, kterou předložila Evropská investiční banka dne 11. října 2018</w:t>
      </w:r>
    </w:p>
    <w:p>
      <w:pPr>
        <w:jc w:val="both"/>
        <w:rPr>
          <w:rFonts w:ascii="Times New Roman" w:hAnsi="Times New Roman" w:cs="Times New Roman"/>
          <w:noProof/>
          <w:sz w:val="24"/>
          <w:szCs w:val="24"/>
        </w:rPr>
      </w:pPr>
      <w:r>
        <w:rPr>
          <w:rFonts w:ascii="Times New Roman" w:hAnsi="Times New Roman"/>
          <w:noProof/>
          <w:sz w:val="24"/>
        </w:rPr>
        <w:t>s ohledem na Smlouvu o fungování Evropské unie, a zejména na článek 308 této smlouvy,</w:t>
      </w:r>
    </w:p>
    <w:p>
      <w:pPr>
        <w:pStyle w:val="NumPar1"/>
        <w:rPr>
          <w:noProof/>
        </w:rPr>
      </w:pPr>
      <w:r>
        <w:rPr>
          <w:noProof/>
        </w:rPr>
        <w:t xml:space="preserve">Dne 11. října 2018 předložila Evropská investiční banka Radě žádost podle článku 308 Smlouvy o fungování Evropské unie (dále jen „SFEU“) o změnu svého statutu. Za prvé, Evropská investiční banka navrhuje změnit svůj statut tak, aby odrážel vystoupení Spojeného království z Evropské unie, které ukončí členství Spojeného království v Evropské investiční bance. Za druhé, Evropská investiční banka navrhuje posílit fungování své správní rady tak, že umožní jmenování většího počtu zastupujících členů. Za třetí, Evropská investiční banka navrhuje rozšířit použití hlasování kvalifikovanou většinou na rozhodnutí o operačním plánu, o jmenování členů řídícího výboru a o schválení jednacího řádu. </w:t>
      </w:r>
    </w:p>
    <w:p>
      <w:pPr>
        <w:pStyle w:val="NumPar1"/>
        <w:rPr>
          <w:noProof/>
        </w:rPr>
      </w:pPr>
      <w:r>
        <w:rPr>
          <w:noProof/>
        </w:rPr>
        <w:t xml:space="preserve">Všechny změny, které ve svém statutu navrhuje Evropská investiční banka, mají nabýt účinku okamžikem vystoupení Spojeného království z Evropské unie. V jednom bodě odůvodnění žádosti se rovněž odkazuje na zamýšlené zvýšení základního kapitálu upsaného zbývajícími členskými státy, které by mělo probíhat souběžně s dalším posílením správy Evropské investiční banky. </w:t>
      </w:r>
    </w:p>
    <w:p>
      <w:pPr>
        <w:pStyle w:val="NumPar1"/>
        <w:numPr>
          <w:ilvl w:val="0"/>
          <w:numId w:val="0"/>
        </w:numPr>
        <w:rPr>
          <w:b/>
          <w:noProof/>
        </w:rPr>
      </w:pPr>
      <w:r>
        <w:rPr>
          <w:b/>
          <w:noProof/>
        </w:rPr>
        <w:t xml:space="preserve">I. </w:t>
      </w:r>
      <w:r>
        <w:rPr>
          <w:noProof/>
        </w:rPr>
        <w:tab/>
      </w:r>
      <w:r>
        <w:rPr>
          <w:b/>
          <w:noProof/>
        </w:rPr>
        <w:t xml:space="preserve">Ke vztahu mezi žádostí a vystoupením Spojeného království z Evropské unie </w:t>
      </w:r>
    </w:p>
    <w:p>
      <w:pPr>
        <w:pStyle w:val="NumPar1"/>
        <w:rPr>
          <w:noProof/>
        </w:rPr>
      </w:pPr>
      <w:r>
        <w:rPr>
          <w:noProof/>
        </w:rPr>
        <w:t xml:space="preserve">Komise vznáší otázku, zda je vhodné spojit vstup v platnost celého rozhodnutí s vystoupením Spojeného království z EU. Z právního hlediska není vůbec nutné, aby zamýšlené změny protokolu č. 5 vstoupily v platnost dnem, kdy Spojené království přestane být členským státem. </w:t>
      </w:r>
    </w:p>
    <w:p>
      <w:pPr>
        <w:pStyle w:val="NumPar1"/>
        <w:rPr>
          <w:noProof/>
        </w:rPr>
      </w:pPr>
      <w:r>
        <w:rPr>
          <w:noProof/>
        </w:rPr>
        <w:t>Žádost Evropské investiční banky totiž obsahuje dvě různé kategorie změn. První kategorie jednoduše vyvozuje důsledek z vystoupení Spojeného království z Unie odstraněním odkazu na podíl Spojeného království v čl. 4 odst. 1, snížením počtu členů správní rady v čl. 9 odst. 2 první větě a odstraněním odkazu na jmenování zastupujících členů Spojeným královstvím v čl. 9 odst. 2 třetím pododstavci. Komise může tyto změny podpořit, ale ráda by zdůraznila, že jejich účinek bude pouze deklaratorní povahy. Vystoupení Spojeného království z EU nevyžaduje předchozí změnu Smluv a protokolů, aby byly odstraněny veškeré odkazy na Spojené království. Tyto odkazy ke dni vystoupení automaticky zastarají. Ostatní změny požadované Evropskou investiční bankou, které obsahují změny týkající se správy, jsou oproti tomu konstitutivní povahy. Rada může tyto změny případně považovat za vhodné, a to nezávisle na vystoupení.</w:t>
      </w:r>
    </w:p>
    <w:p>
      <w:pPr>
        <w:pStyle w:val="NumPar1"/>
        <w:rPr>
          <w:noProof/>
        </w:rPr>
      </w:pPr>
      <w:r>
        <w:rPr>
          <w:noProof/>
        </w:rPr>
        <w:t>Komise proto vznáší otázku, zda by rozhodnutí Rady nemělo vstoupit v platnost v určitém konkrétním termínu, který by nebyl spojen s vystoupením Spojeného království, například v den zveřejnění v </w:t>
      </w:r>
      <w:r>
        <w:rPr>
          <w:i/>
          <w:noProof/>
        </w:rPr>
        <w:t>Úředním věstníku EU</w:t>
      </w:r>
      <w:r>
        <w:rPr>
          <w:noProof/>
        </w:rPr>
        <w:t>. V takovém případě by byl s vystoupením Spojeného království spojen pouze vstup v platnost deklaratorních změn první kategorie. Tento alternativní přístup by vyžadoval určité technické přepracování rozhodnutí.</w:t>
      </w:r>
    </w:p>
    <w:p>
      <w:pPr>
        <w:pStyle w:val="NumPar1"/>
        <w:numPr>
          <w:ilvl w:val="0"/>
          <w:numId w:val="0"/>
        </w:numPr>
        <w:rPr>
          <w:b/>
          <w:noProof/>
        </w:rPr>
      </w:pPr>
      <w:r>
        <w:rPr>
          <w:b/>
          <w:noProof/>
        </w:rPr>
        <w:t xml:space="preserve">II. </w:t>
      </w:r>
      <w:r>
        <w:rPr>
          <w:noProof/>
        </w:rPr>
        <w:tab/>
      </w:r>
      <w:r>
        <w:rPr>
          <w:b/>
          <w:noProof/>
        </w:rPr>
        <w:t xml:space="preserve">K žádosti o odstranění odkazů na základní kapitál v držení Spojeného království </w:t>
      </w:r>
    </w:p>
    <w:p>
      <w:pPr>
        <w:pStyle w:val="NumPar1"/>
        <w:rPr>
          <w:noProof/>
        </w:rPr>
      </w:pPr>
      <w:r>
        <w:rPr>
          <w:noProof/>
        </w:rPr>
        <w:t>Evropská investiční banka navrhuje odstranit zmínku o podílu Spojeného království ve výši 39 195 022 000 EUR v čl. 4 odst. 1 statutu.</w:t>
      </w:r>
    </w:p>
    <w:p>
      <w:pPr>
        <w:pStyle w:val="NumPar1"/>
        <w:rPr>
          <w:noProof/>
        </w:rPr>
      </w:pPr>
      <w:r>
        <w:rPr>
          <w:noProof/>
        </w:rPr>
        <w:t>Jak je uvedeno výše, z právního hlediska by ke dni vystoupení všechny odkazy na Spojené království ve Smlouvách a protokolech automaticky zastaraly, a proto není v tomto smyslu výslovná změna statutu nutná. V každém případě bude znění Smluv a protokolů uvedeno do souladu s novou situací, a to prostřednictvím formální změny v souladu s článkem 48 Smlouvy o EU s cílem odstranit zastaralá ustanovení a provést z toho vyplývající úpravy. Zdá se však přijatelné přistoupit k navrhovaným změnám u příležitosti změn týkajících se správy Evropské investiční banky (dále jen „oddíly III a IV“). Komise proto může tuto změnu v zájmu jasnosti podpořit.</w:t>
      </w:r>
    </w:p>
    <w:p>
      <w:pPr>
        <w:pStyle w:val="NumPar1"/>
        <w:rPr>
          <w:noProof/>
        </w:rPr>
      </w:pPr>
      <w:r>
        <w:rPr>
          <w:noProof/>
        </w:rPr>
        <w:t xml:space="preserve">Evropská investiční banka rovněž navrhuje, aby výše celkového upsaného základního kapitálu uvedená v témže článku byla odpovídajícím způsobem snížena, pokud nebude do data vystoupení rozhodnuto o zvýšení upsaného základního kapitálu „zbývajícími členskými státy“ . Komise má za to, že rozhodnutí o zvýšení upsaného základního kapitálu by přijala Rada guvernérů Evropské investiční banky na základě čl. 4 odst. 3 statutu Evropské investiční banky. </w:t>
      </w:r>
    </w:p>
    <w:p>
      <w:pPr>
        <w:pStyle w:val="NumPar1"/>
        <w:rPr>
          <w:noProof/>
        </w:rPr>
      </w:pPr>
      <w:r>
        <w:rPr>
          <w:noProof/>
        </w:rPr>
        <w:t>Komise může podpořit cíl tohoto návrhu, ale ráda by upozornila na následující právní aspekty. Základní kapitál Evropské investiční banky uvedený v čl. 4 odst. 1 protokolu č. 5 představuje součet částek podílů jednotlivých členských států uvedených v tomto ustanovení. Pokud Rada pouze odstraní odkaz na Spojené království, musí náležitě snížit celkový základní kapitál. Rada nemůže ve svém rozhodnutí zohlednit případné rozhodnutí Evropské investiční banky zvýšit základní kapitál a následné nové rozdělení mezi členské státy. Rozhodnutí Rady by proto mělo obsahovat zmínku o (snížené) výši celkového základního v důsledku vystoupení Spojeného království. Paralelní rozhodnutí Rady guvernérů Evropské investiční banky může zvýšit základní kapitál (a stanovit jeho úměrné rozdělení mezi členské státy), jde však o samostatné rozhodnutí.</w:t>
      </w:r>
    </w:p>
    <w:p>
      <w:pPr>
        <w:pStyle w:val="NumPar1"/>
        <w:numPr>
          <w:ilvl w:val="0"/>
          <w:numId w:val="0"/>
        </w:numPr>
        <w:rPr>
          <w:b/>
          <w:noProof/>
        </w:rPr>
      </w:pPr>
      <w:r>
        <w:rPr>
          <w:b/>
          <w:noProof/>
        </w:rPr>
        <w:t xml:space="preserve">III. </w:t>
      </w:r>
      <w:r>
        <w:rPr>
          <w:noProof/>
        </w:rPr>
        <w:tab/>
      </w:r>
      <w:r>
        <w:rPr>
          <w:b/>
          <w:noProof/>
        </w:rPr>
        <w:t xml:space="preserve">Ke jmenování dalších zastupujících členů správní rady </w:t>
      </w:r>
    </w:p>
    <w:p>
      <w:pPr>
        <w:pStyle w:val="NumPar1"/>
        <w:rPr>
          <w:noProof/>
        </w:rPr>
      </w:pPr>
      <w:r>
        <w:rPr>
          <w:noProof/>
        </w:rPr>
        <w:t xml:space="preserve">Evropská investiční banka navrhuje zvýšit počet zastupujících členů správní rady z 18 na 31. Německo, Francie a Itálie mají v současné době každý dva zastupující členy a tento počet se nezmění. Konstituence členských států, v nichž je počet zastupujících členů menší než počet podílníků, budou mít po změně stejný počet zastupujících členů jako je podílníků v dotčené konstituenci. Komise bude mít i nadále jednoho zastupujícího člena. </w:t>
      </w:r>
    </w:p>
    <w:p>
      <w:pPr>
        <w:pStyle w:val="NumPar1"/>
        <w:rPr>
          <w:noProof/>
        </w:rPr>
      </w:pPr>
      <w:r>
        <w:rPr>
          <w:noProof/>
        </w:rPr>
        <w:t>Vzhledem k tomu, že větší počet zastupujících členů správní rady umožní Evropské investiční bance využít širších zkušeností na úrovni správní rady, zejména s ohledem na záměr lépe využívat zastupující členy v rozhodovacím procesu správní rady, především pokud jde o analýzu návrhů na financování, může Komise tento návrh podpořit.</w:t>
      </w:r>
    </w:p>
    <w:p>
      <w:pPr>
        <w:pStyle w:val="NumPar1"/>
        <w:numPr>
          <w:ilvl w:val="0"/>
          <w:numId w:val="0"/>
        </w:numPr>
        <w:rPr>
          <w:b/>
          <w:noProof/>
        </w:rPr>
      </w:pPr>
      <w:r>
        <w:rPr>
          <w:b/>
          <w:noProof/>
        </w:rPr>
        <w:t>IV.</w:t>
      </w:r>
      <w:r>
        <w:rPr>
          <w:noProof/>
        </w:rPr>
        <w:tab/>
      </w:r>
      <w:r>
        <w:rPr>
          <w:b/>
          <w:noProof/>
        </w:rPr>
        <w:t xml:space="preserve">K náhradě hlasování prostou většinou hlasováním kvalifikovanou většinou </w:t>
      </w:r>
    </w:p>
    <w:p>
      <w:pPr>
        <w:pStyle w:val="NumPar1"/>
        <w:rPr>
          <w:noProof/>
        </w:rPr>
      </w:pPr>
      <w:r>
        <w:rPr>
          <w:noProof/>
        </w:rPr>
        <w:t xml:space="preserve">Evropská investiční banka dále navrhuje rozšířit hlasování kvalifikovanou většinou na tři důležité oblasti, v nichž se nyní vyžaduje hlasování prostou většinou. Jedná se o tyto oblasti: </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rozhodnutí o operačním plánu (čl. 9 odst. 1 statutu);</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rozhodnutí o jmenování členů řídícího výboru Radou guvernérů a související návrhy správní rady (čl. 11 odst. 1 první pododstavec statutu);</w:t>
      </w:r>
    </w:p>
    <w:p>
      <w:pPr>
        <w:pStyle w:val="ListParagraph"/>
        <w:numPr>
          <w:ilvl w:val="0"/>
          <w:numId w:val="5"/>
        </w:numPr>
        <w:rPr>
          <w:rFonts w:ascii="Times New Roman" w:hAnsi="Times New Roman" w:cs="Times New Roman"/>
          <w:noProof/>
          <w:sz w:val="24"/>
          <w:szCs w:val="24"/>
        </w:rPr>
      </w:pPr>
      <w:r>
        <w:rPr>
          <w:rFonts w:ascii="Times New Roman" w:hAnsi="Times New Roman"/>
          <w:noProof/>
          <w:sz w:val="24"/>
        </w:rPr>
        <w:t>rozhodnutí o jednacím řádu Evropské investiční banky (čl. 7 odst. 3 písm. h) statutu).</w:t>
      </w:r>
    </w:p>
    <w:p>
      <w:pPr>
        <w:pStyle w:val="NumPar1"/>
        <w:rPr>
          <w:noProof/>
        </w:rPr>
      </w:pPr>
      <w:r>
        <w:rPr>
          <w:noProof/>
        </w:rPr>
        <w:t xml:space="preserve">Komise souhlasí s cíli, kterých chce tento návrh na změnu statutu dosáhnout. </w:t>
      </w:r>
    </w:p>
    <w:p>
      <w:pPr>
        <w:pStyle w:val="ManualHeading4"/>
        <w:rPr>
          <w:b/>
          <w:noProof/>
        </w:rPr>
      </w:pPr>
      <w:r>
        <w:rPr>
          <w:b/>
          <w:noProof/>
        </w:rPr>
        <w:t xml:space="preserve">V. </w:t>
      </w:r>
      <w:r>
        <w:rPr>
          <w:noProof/>
        </w:rPr>
        <w:tab/>
      </w:r>
      <w:r>
        <w:rPr>
          <w:b/>
          <w:noProof/>
        </w:rPr>
        <w:t>K bodům odůvodnění</w:t>
      </w:r>
    </w:p>
    <w:p>
      <w:pPr>
        <w:pStyle w:val="NumPar1"/>
        <w:rPr>
          <w:noProof/>
        </w:rPr>
      </w:pPr>
      <w:r>
        <w:rPr>
          <w:noProof/>
        </w:rPr>
        <w:t xml:space="preserve">Osmý, devátý a desátý bod odůvodnění, jak mají být do rozhodnutí Rady vloženy, nevysvětlují ani neodůvodňují normativní část rozhodnutí, ale týkají se otázek, které nevyžadují změny statutu Evropské investiční banky. Komise se domnívá, že uvedené body odůvodnění by měly být mírně upraveny, aby bylo jasné, že se nevztahují na žádnou konkrétní normativní část. </w:t>
      </w:r>
    </w:p>
    <w:p>
      <w:pPr>
        <w:pStyle w:val="ManualHeading4"/>
        <w:rPr>
          <w:b/>
          <w:noProof/>
        </w:rPr>
      </w:pPr>
      <w:r>
        <w:rPr>
          <w:b/>
          <w:noProof/>
        </w:rPr>
        <w:t xml:space="preserve">VI. </w:t>
      </w:r>
      <w:r>
        <w:rPr>
          <w:noProof/>
        </w:rPr>
        <w:tab/>
      </w:r>
      <w:r>
        <w:rPr>
          <w:b/>
          <w:noProof/>
        </w:rPr>
        <w:t>Závěr</w:t>
      </w:r>
    </w:p>
    <w:p>
      <w:pPr>
        <w:pStyle w:val="NumPar1"/>
        <w:numPr>
          <w:ilvl w:val="0"/>
          <w:numId w:val="0"/>
        </w:numPr>
        <w:rPr>
          <w:noProof/>
        </w:rPr>
      </w:pPr>
      <w:r>
        <w:rPr>
          <w:noProof/>
        </w:rPr>
        <w:t>S ohledem na výše uvedené skutečnosti Komise vydává kladné stanovisko k navrhovaným změnám statutu Evropské investiční banky, s výhradou úvah vyjádřených v tomto stanovisku.</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1DDD65EF"/>
    <w:multiLevelType w:val="hybridMultilevel"/>
    <w:tmpl w:val="201E93B6"/>
    <w:lvl w:ilvl="0" w:tplc="E7DE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F25A1B2E"/>
    <w:lvl w:ilvl="0">
      <w:start w:val="1"/>
      <w:numFmt w:val="decimal"/>
      <w:lvlRestart w:val="0"/>
      <w:pStyle w:val="NumPar1"/>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E1E3547"/>
    <w:multiLevelType w:val="hybridMultilevel"/>
    <w:tmpl w:val="887A18FE"/>
    <w:lvl w:ilvl="0" w:tplc="1F926B1C">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5">
    <w:nsid w:val="70292734"/>
    <w:multiLevelType w:val="hybridMultilevel"/>
    <w:tmpl w:val="4D065B12"/>
    <w:lvl w:ilvl="0" w:tplc="1108ACDE">
      <w:start w:val="1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3"/>
  </w:num>
  <w:num w:numId="9">
    <w:abstractNumId w:val="3"/>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A3FB8E7-7B6F-4661-861B-0B6551074579"/>
    <w:docVar w:name="LW_COVERPAGE_TYPE" w:val="1"/>
    <w:docVar w:name="LW_CROSSREFERENCE" w:val="&lt;UNUSED&gt;"/>
    <w:docVar w:name="LW_DocType" w:val="NORMAL"/>
    <w:docVar w:name="LW_EMISSION" w:val="31.1.2019"/>
    <w:docVar w:name="LW_EMISSION_ISODATE" w:val="2019-01-31"/>
    <w:docVar w:name="LW_EMISSION_LOCATION" w:val="BRX"/>
    <w:docVar w:name="LW_EMISSION_PREFIX" w:val="V Bruselu dne "/>
    <w:docVar w:name="LW_EMISSION_SUFFIX" w:val=" "/>
    <w:docVar w:name="LW_ID_DOCTYPE_NONLW" w:val="CP-022"/>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 \u382?ádosti o zm\u283?ny Protokolu (\u269?. 5) o statutu Evropské investi\u269?ní banky, kterou p\u345?edlo\u382?ila Evropská investi\u269?ní banka dne 11. \u345?íjna 2018"/>
    <w:docVar w:name="LW_TYPE.DOC.CP" w:val="STANOVISKO KOMI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cs-CZ"/>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Marker2">
    <w:name w:val="Marker2"/>
    <w:basedOn w:val="DefaultParagraphFont"/>
    <w:rPr>
      <w:color w:val="FF0000"/>
      <w:shd w:val="clear" w:color="auto" w:fill="auto"/>
    </w:rPr>
  </w:style>
  <w:style w:type="paragraph" w:customStyle="1" w:styleId="Datedadoption">
    <w:name w:val="Date d'adoption"/>
    <w:basedOn w:val="Normal"/>
    <w:next w:val="Titreobjet"/>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cs-CZ"/>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Point0">
    <w:name w:val="Point 0"/>
    <w:basedOn w:val="Normal"/>
    <w:pPr>
      <w:spacing w:before="120" w:after="120" w:line="240" w:lineRule="auto"/>
      <w:ind w:left="850" w:hanging="850"/>
      <w:jc w:val="both"/>
    </w:pPr>
    <w:rPr>
      <w:rFonts w:ascii="Times New Roman" w:hAnsi="Times New Roman" w:cs="Times New Roman"/>
      <w:sz w:val="24"/>
    </w:rPr>
  </w:style>
  <w:style w:type="paragraph" w:customStyle="1" w:styleId="NumPar1">
    <w:name w:val="NumPar 1"/>
    <w:basedOn w:val="Normal"/>
    <w:next w:val="Normal"/>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pPr>
      <w:numPr>
        <w:ilvl w:val="3"/>
        <w:numId w:val="3"/>
      </w:numPr>
      <w:spacing w:before="120" w:after="120" w:line="240" w:lineRule="auto"/>
      <w:jc w:val="both"/>
    </w:pPr>
    <w:rPr>
      <w:rFonts w:ascii="Times New Roman" w:hAnsi="Times New Roman" w:cs="Times New Roman"/>
      <w:sz w:val="24"/>
    </w:rPr>
  </w:style>
  <w:style w:type="paragraph" w:customStyle="1" w:styleId="ManualHeading4">
    <w:name w:val="Manual Heading 4"/>
    <w:basedOn w:val="Normal"/>
    <w:next w:val="Normal"/>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Point0number">
    <w:name w:val="Point 0 (number)"/>
    <w:basedOn w:val="Normal"/>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2"/>
      </w:numPr>
      <w:spacing w:before="120" w:after="120" w:line="240" w:lineRule="auto"/>
      <w:jc w:val="both"/>
    </w:pPr>
    <w:rPr>
      <w:rFonts w:ascii="Times New Roman" w:hAnsi="Times New Roman" w:cs="Times New Roman"/>
      <w:sz w:val="24"/>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9"/>
      </w:numPr>
      <w:spacing w:line="360" w:lineRule="auto"/>
    </w:pPr>
    <w:rPr>
      <w:sz w:val="24"/>
    </w:rPr>
  </w:style>
  <w:style w:type="paragraph" w:customStyle="1" w:styleId="LegalNumPar2">
    <w:name w:val="LegalNumPar2"/>
    <w:basedOn w:val="Normal"/>
    <w:pPr>
      <w:numPr>
        <w:ilvl w:val="1"/>
        <w:numId w:val="9"/>
      </w:numPr>
      <w:spacing w:line="360" w:lineRule="auto"/>
    </w:pPr>
    <w:rPr>
      <w:sz w:val="24"/>
    </w:rPr>
  </w:style>
  <w:style w:type="paragraph" w:customStyle="1" w:styleId="LegalNumPar3">
    <w:name w:val="LegalNumPar3"/>
    <w:basedOn w:val="Normal"/>
    <w:pPr>
      <w:numPr>
        <w:ilvl w:val="2"/>
        <w:numId w:val="9"/>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A79AF86-83E3-421F-907C-FB38549E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6113</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2019-01-21T16:48:00Z</dcterms:created>
  <dcterms:modified xsi:type="dcterms:W3CDTF">2019-02-01T16:03:00Z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