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8D" w:rsidRDefault="0069542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B877CBC-FF54-4840-A091-A593C6ACDBD1" style="width:451.5pt;height:347.25pt">
            <v:imagedata r:id="rId8" o:title=""/>
          </v:shape>
        </w:pict>
      </w:r>
    </w:p>
    <w:bookmarkEnd w:id="0"/>
    <w:p w:rsidR="0026148D" w:rsidRDefault="0026148D">
      <w:pPr>
        <w:rPr>
          <w:noProof/>
          <w:lang w:eastAsia="de-DE"/>
        </w:rPr>
        <w:sectPr w:rsidR="0026148D">
          <w:headerReference w:type="even" r:id="rId9"/>
          <w:headerReference w:type="default" r:id="rId10"/>
          <w:footerReference w:type="even" r:id="rId11"/>
          <w:footerReference w:type="default" r:id="rId12"/>
          <w:headerReference w:type="first" r:id="rId13"/>
          <w:footerReference w:type="first" r:id="rId14"/>
          <w:pgSz w:w="11907" w:h="16840"/>
          <w:pgMar w:top="1134" w:right="1417" w:bottom="1134" w:left="1417" w:header="709" w:footer="709" w:gutter="0"/>
          <w:pgNumType w:start="1"/>
          <w:cols w:space="720"/>
          <w:docGrid w:linePitch="299"/>
        </w:sectPr>
      </w:pPr>
    </w:p>
    <w:p w:rsidR="0026148D" w:rsidRDefault="0026148D">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rsidR="0026148D" w:rsidRDefault="00695422">
          <w:pPr>
            <w:pStyle w:val="TOCHeading"/>
            <w:rPr>
              <w:noProof/>
            </w:rPr>
          </w:pPr>
          <w:r>
            <w:rPr>
              <w:noProof/>
            </w:rPr>
            <w:t>Πίνακας περιεχομένων</w:t>
          </w:r>
        </w:p>
        <w:p w:rsidR="0026148D" w:rsidRDefault="00695422">
          <w:pPr>
            <w:pStyle w:val="TOC1"/>
            <w:rPr>
              <w:rFonts w:asciiTheme="minorHAnsi" w:eastAsiaTheme="minorEastAsia" w:hAnsiTheme="minorHAnsi" w:cstheme="minorBidi"/>
              <w:noProof/>
              <w:sz w:val="22"/>
              <w:szCs w:val="22"/>
              <w:lang w:val="en-GB" w:eastAsia="en-GB"/>
            </w:rPr>
          </w:pPr>
          <w:r>
            <w:rPr>
              <w:noProof/>
            </w:rPr>
            <w:fldChar w:fldCharType="begin"/>
          </w:r>
          <w:r>
            <w:rPr>
              <w:noProof/>
            </w:rPr>
            <w:instrText xml:space="preserve"> TOC \o "1-3" \h \z \u </w:instrText>
          </w:r>
          <w:r>
            <w:rPr>
              <w:noProof/>
            </w:rPr>
            <w:fldChar w:fldCharType="separate"/>
          </w:r>
          <w:hyperlink w:anchor="_Toc534726417" w:history="1">
            <w:r>
              <w:rPr>
                <w:rStyle w:val="Hyperlink"/>
                <w:noProof/>
              </w:rPr>
              <w:t>1.</w:t>
            </w:r>
            <w:r>
              <w:rPr>
                <w:rFonts w:asciiTheme="minorHAnsi" w:eastAsiaTheme="minorEastAsia" w:hAnsiTheme="minorHAnsi" w:cstheme="minorBidi"/>
                <w:noProof/>
                <w:sz w:val="22"/>
                <w:szCs w:val="22"/>
                <w:lang w:val="en-GB" w:eastAsia="en-GB"/>
              </w:rPr>
              <w:tab/>
            </w:r>
            <w:r>
              <w:rPr>
                <w:rStyle w:val="Hyperlink"/>
                <w:noProof/>
              </w:rPr>
              <w:t>Διαδικασία προϋπολογισμού του ΕΓΤΕ για το 2018</w:t>
            </w:r>
            <w:r>
              <w:rPr>
                <w:noProof/>
                <w:webHidden/>
              </w:rPr>
              <w:tab/>
            </w:r>
            <w:r>
              <w:rPr>
                <w:noProof/>
                <w:webHidden/>
              </w:rPr>
              <w:fldChar w:fldCharType="begin"/>
            </w:r>
            <w:r>
              <w:rPr>
                <w:noProof/>
                <w:webHidden/>
              </w:rPr>
              <w:instrText xml:space="preserve"> PAGEREF _Toc534726417 \h </w:instrText>
            </w:r>
            <w:r>
              <w:rPr>
                <w:noProof/>
                <w:webHidden/>
              </w:rPr>
            </w:r>
            <w:r>
              <w:rPr>
                <w:noProof/>
                <w:webHidden/>
              </w:rPr>
              <w:fldChar w:fldCharType="separate"/>
            </w:r>
            <w:r>
              <w:rPr>
                <w:noProof/>
                <w:webHidden/>
              </w:rPr>
              <w:t>2</w:t>
            </w:r>
            <w:r>
              <w:rPr>
                <w:noProof/>
                <w:webHidden/>
              </w:rPr>
              <w:fldChar w:fldCharType="end"/>
            </w:r>
          </w:hyperlink>
        </w:p>
        <w:p w:rsidR="0026148D" w:rsidRDefault="00695422">
          <w:pPr>
            <w:pStyle w:val="TOC1"/>
            <w:rPr>
              <w:rFonts w:asciiTheme="minorHAnsi" w:eastAsiaTheme="minorEastAsia" w:hAnsiTheme="minorHAnsi" w:cstheme="minorBidi"/>
              <w:noProof/>
              <w:sz w:val="22"/>
              <w:szCs w:val="22"/>
              <w:lang w:val="en-GB" w:eastAsia="en-GB"/>
            </w:rPr>
          </w:pPr>
          <w:hyperlink w:anchor="_Toc534726418" w:history="1">
            <w:r>
              <w:rPr>
                <w:rStyle w:val="Hyperlink"/>
                <w:noProof/>
              </w:rPr>
              <w:t>2.</w:t>
            </w:r>
            <w:r>
              <w:rPr>
                <w:rFonts w:asciiTheme="minorHAnsi" w:eastAsiaTheme="minorEastAsia" w:hAnsiTheme="minorHAnsi" w:cstheme="minorBidi"/>
                <w:noProof/>
                <w:sz w:val="22"/>
                <w:szCs w:val="22"/>
                <w:lang w:val="en-GB" w:eastAsia="en-GB"/>
              </w:rPr>
              <w:tab/>
            </w:r>
            <w:r>
              <w:rPr>
                <w:rStyle w:val="Hyperlink"/>
                <w:noProof/>
              </w:rPr>
              <w:t>Έσοδα ειδικού προορισμού του ΕΓΤΕ</w:t>
            </w:r>
            <w:r>
              <w:rPr>
                <w:noProof/>
                <w:webHidden/>
              </w:rPr>
              <w:tab/>
            </w:r>
            <w:r>
              <w:rPr>
                <w:noProof/>
                <w:webHidden/>
              </w:rPr>
              <w:fldChar w:fldCharType="begin"/>
            </w:r>
            <w:r>
              <w:rPr>
                <w:noProof/>
                <w:webHidden/>
              </w:rPr>
              <w:instrText xml:space="preserve"> PAGEREF _Toc534726418 \h </w:instrText>
            </w:r>
            <w:r>
              <w:rPr>
                <w:noProof/>
                <w:webHidden/>
              </w:rPr>
            </w:r>
            <w:r>
              <w:rPr>
                <w:noProof/>
                <w:webHidden/>
              </w:rPr>
              <w:fldChar w:fldCharType="separate"/>
            </w:r>
            <w:r>
              <w:rPr>
                <w:noProof/>
                <w:webHidden/>
              </w:rPr>
              <w:t>2</w:t>
            </w:r>
            <w:r>
              <w:rPr>
                <w:noProof/>
                <w:webHidden/>
              </w:rPr>
              <w:fldChar w:fldCharType="end"/>
            </w:r>
          </w:hyperlink>
        </w:p>
        <w:p w:rsidR="0026148D" w:rsidRDefault="00695422">
          <w:pPr>
            <w:pStyle w:val="TOC1"/>
            <w:rPr>
              <w:rFonts w:asciiTheme="minorHAnsi" w:eastAsiaTheme="minorEastAsia" w:hAnsiTheme="minorHAnsi" w:cstheme="minorBidi"/>
              <w:noProof/>
              <w:sz w:val="22"/>
              <w:szCs w:val="22"/>
              <w:lang w:val="en-GB" w:eastAsia="en-GB"/>
            </w:rPr>
          </w:pPr>
          <w:hyperlink w:anchor="_Toc534726419" w:history="1">
            <w:r>
              <w:rPr>
                <w:rStyle w:val="Hyperlink"/>
                <w:noProof/>
              </w:rPr>
              <w:t>3.</w:t>
            </w:r>
            <w:r>
              <w:rPr>
                <w:rFonts w:asciiTheme="minorHAnsi" w:eastAsiaTheme="minorEastAsia" w:hAnsiTheme="minorHAnsi" w:cstheme="minorBidi"/>
                <w:noProof/>
                <w:sz w:val="22"/>
                <w:szCs w:val="22"/>
                <w:lang w:val="en-GB" w:eastAsia="en-GB"/>
              </w:rPr>
              <w:tab/>
            </w:r>
            <w:r>
              <w:rPr>
                <w:rStyle w:val="Hyperlink"/>
                <w:noProof/>
              </w:rPr>
              <w:t>Παρατηρήσεις σχετικά με την προσωρινή εκτέλεση του προϋπολογισμού του ΕΓΤΕ για το 2018</w:t>
            </w:r>
            <w:r>
              <w:rPr>
                <w:noProof/>
                <w:webHidden/>
              </w:rPr>
              <w:tab/>
            </w:r>
            <w:r>
              <w:rPr>
                <w:noProof/>
                <w:webHidden/>
              </w:rPr>
              <w:fldChar w:fldCharType="begin"/>
            </w:r>
            <w:r>
              <w:rPr>
                <w:noProof/>
                <w:webHidden/>
              </w:rPr>
              <w:instrText xml:space="preserve"> PAGEREF _Toc534726419 \h </w:instrText>
            </w:r>
            <w:r>
              <w:rPr>
                <w:noProof/>
                <w:webHidden/>
              </w:rPr>
            </w:r>
            <w:r>
              <w:rPr>
                <w:noProof/>
                <w:webHidden/>
              </w:rPr>
              <w:fldChar w:fldCharType="separate"/>
            </w:r>
            <w:r>
              <w:rPr>
                <w:noProof/>
                <w:webHidden/>
              </w:rPr>
              <w:t>3</w:t>
            </w:r>
            <w:r>
              <w:rPr>
                <w:noProof/>
                <w:webHidden/>
              </w:rPr>
              <w:fldChar w:fldCharType="end"/>
            </w:r>
          </w:hyperlink>
        </w:p>
        <w:p w:rsidR="0026148D" w:rsidRDefault="00695422">
          <w:pPr>
            <w:pStyle w:val="TOC2"/>
            <w:tabs>
              <w:tab w:val="left" w:pos="850"/>
              <w:tab w:val="right" w:leader="dot" w:pos="9039"/>
            </w:tabs>
            <w:rPr>
              <w:rFonts w:asciiTheme="minorHAnsi" w:eastAsiaTheme="minorEastAsia" w:hAnsiTheme="minorHAnsi" w:cstheme="minorBidi"/>
              <w:noProof/>
              <w:lang w:val="en-GB" w:eastAsia="en-GB"/>
            </w:rPr>
          </w:pPr>
          <w:hyperlink w:anchor="_Toc534726420" w:history="1">
            <w:r>
              <w:rPr>
                <w:rStyle w:val="Hyperlink"/>
                <w:noProof/>
              </w:rPr>
              <w:t>3.1.</w:t>
            </w:r>
            <w:r>
              <w:rPr>
                <w:rFonts w:asciiTheme="minorHAnsi" w:eastAsiaTheme="minorEastAsia" w:hAnsiTheme="minorHAnsi" w:cstheme="minorBidi"/>
                <w:noProof/>
                <w:lang w:val="en-GB" w:eastAsia="en-GB"/>
              </w:rPr>
              <w:tab/>
            </w:r>
            <w:r>
              <w:rPr>
                <w:rStyle w:val="Hyperlink"/>
                <w:noProof/>
              </w:rPr>
              <w:t>Μέτρα παρέμβασης στην αγορά</w:t>
            </w:r>
            <w:r>
              <w:rPr>
                <w:noProof/>
                <w:webHidden/>
              </w:rPr>
              <w:tab/>
            </w:r>
            <w:r>
              <w:rPr>
                <w:noProof/>
                <w:webHidden/>
              </w:rPr>
              <w:fldChar w:fldCharType="begin"/>
            </w:r>
            <w:r>
              <w:rPr>
                <w:noProof/>
                <w:webHidden/>
              </w:rPr>
              <w:instrText xml:space="preserve"> PAGEREF _Toc534726420 \h </w:instrText>
            </w:r>
            <w:r>
              <w:rPr>
                <w:noProof/>
                <w:webHidden/>
              </w:rPr>
            </w:r>
            <w:r>
              <w:rPr>
                <w:noProof/>
                <w:webHidden/>
              </w:rPr>
              <w:fldChar w:fldCharType="separate"/>
            </w:r>
            <w:r>
              <w:rPr>
                <w:noProof/>
                <w:webHidden/>
              </w:rPr>
              <w:t>4</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1" w:history="1">
            <w:r>
              <w:rPr>
                <w:rStyle w:val="Hyperlink"/>
                <w:noProof/>
              </w:rPr>
              <w:t>3.1.1.</w:t>
            </w:r>
            <w:r>
              <w:rPr>
                <w:rFonts w:asciiTheme="minorHAnsi" w:eastAsiaTheme="minorEastAsia" w:hAnsiTheme="minorHAnsi" w:cstheme="minorBidi"/>
                <w:noProof/>
                <w:lang w:val="en-GB" w:eastAsia="en-GB"/>
              </w:rPr>
              <w:tab/>
            </w:r>
            <w:r>
              <w:rPr>
                <w:rStyle w:val="Hyperlink"/>
                <w:noProof/>
              </w:rPr>
              <w:t>Οπωροκηπευτικά</w:t>
            </w:r>
            <w:r>
              <w:rPr>
                <w:noProof/>
                <w:webHidden/>
              </w:rPr>
              <w:tab/>
            </w:r>
            <w:r>
              <w:rPr>
                <w:noProof/>
                <w:webHidden/>
              </w:rPr>
              <w:fldChar w:fldCharType="begin"/>
            </w:r>
            <w:r>
              <w:rPr>
                <w:noProof/>
                <w:webHidden/>
              </w:rPr>
              <w:instrText xml:space="preserve"> PAGEREF _Toc534726421 \h </w:instrText>
            </w:r>
            <w:r>
              <w:rPr>
                <w:noProof/>
                <w:webHidden/>
              </w:rPr>
            </w:r>
            <w:r>
              <w:rPr>
                <w:noProof/>
                <w:webHidden/>
              </w:rPr>
              <w:fldChar w:fldCharType="separate"/>
            </w:r>
            <w:r>
              <w:rPr>
                <w:noProof/>
                <w:webHidden/>
              </w:rPr>
              <w:t>4</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2" w:history="1">
            <w:r>
              <w:rPr>
                <w:rStyle w:val="Hyperlink"/>
                <w:noProof/>
              </w:rPr>
              <w:t>3.1.2.</w:t>
            </w:r>
            <w:r>
              <w:rPr>
                <w:rFonts w:asciiTheme="minorHAnsi" w:eastAsiaTheme="minorEastAsia" w:hAnsiTheme="minorHAnsi" w:cstheme="minorBidi"/>
                <w:noProof/>
                <w:lang w:val="en-GB" w:eastAsia="en-GB"/>
              </w:rPr>
              <w:tab/>
            </w:r>
            <w:r>
              <w:rPr>
                <w:rStyle w:val="Hyperlink"/>
                <w:noProof/>
              </w:rPr>
              <w:t>Προϊόντα του αμπελοοινικού τομέα</w:t>
            </w:r>
            <w:r>
              <w:rPr>
                <w:noProof/>
                <w:webHidden/>
              </w:rPr>
              <w:tab/>
            </w:r>
            <w:r>
              <w:rPr>
                <w:noProof/>
                <w:webHidden/>
              </w:rPr>
              <w:fldChar w:fldCharType="begin"/>
            </w:r>
            <w:r>
              <w:rPr>
                <w:noProof/>
                <w:webHidden/>
              </w:rPr>
              <w:instrText xml:space="preserve"> PAGEREF _Toc534726422 \h </w:instrText>
            </w:r>
            <w:r>
              <w:rPr>
                <w:noProof/>
                <w:webHidden/>
              </w:rPr>
            </w:r>
            <w:r>
              <w:rPr>
                <w:noProof/>
                <w:webHidden/>
              </w:rPr>
              <w:fldChar w:fldCharType="separate"/>
            </w:r>
            <w:r>
              <w:rPr>
                <w:noProof/>
                <w:webHidden/>
              </w:rPr>
              <w:t>4</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3" w:history="1">
            <w:r>
              <w:rPr>
                <w:rStyle w:val="Hyperlink"/>
                <w:noProof/>
              </w:rPr>
              <w:t>3.1.3.</w:t>
            </w:r>
            <w:r>
              <w:rPr>
                <w:rFonts w:asciiTheme="minorHAnsi" w:eastAsiaTheme="minorEastAsia" w:hAnsiTheme="minorHAnsi" w:cstheme="minorBidi"/>
                <w:noProof/>
                <w:lang w:val="en-GB" w:eastAsia="en-GB"/>
              </w:rPr>
              <w:tab/>
            </w:r>
            <w:r>
              <w:rPr>
                <w:rStyle w:val="Hyperlink"/>
                <w:noProof/>
              </w:rPr>
              <w:t>Γάλα και γαλακτοκομικ</w:t>
            </w:r>
            <w:bookmarkStart w:id="1" w:name="_GoBack"/>
            <w:bookmarkEnd w:id="1"/>
            <w:r>
              <w:rPr>
                <w:rStyle w:val="Hyperlink"/>
                <w:noProof/>
              </w:rPr>
              <w:t>ά προϊόντα</w:t>
            </w:r>
            <w:r>
              <w:rPr>
                <w:noProof/>
                <w:webHidden/>
              </w:rPr>
              <w:tab/>
            </w:r>
            <w:r>
              <w:rPr>
                <w:noProof/>
                <w:webHidden/>
              </w:rPr>
              <w:fldChar w:fldCharType="begin"/>
            </w:r>
            <w:r>
              <w:rPr>
                <w:noProof/>
                <w:webHidden/>
              </w:rPr>
              <w:instrText xml:space="preserve"> PAGEREF _Toc534726423 \h </w:instrText>
            </w:r>
            <w:r>
              <w:rPr>
                <w:noProof/>
                <w:webHidden/>
              </w:rPr>
            </w:r>
            <w:r>
              <w:rPr>
                <w:noProof/>
                <w:webHidden/>
              </w:rPr>
              <w:fldChar w:fldCharType="separate"/>
            </w:r>
            <w:r>
              <w:rPr>
                <w:noProof/>
                <w:webHidden/>
              </w:rPr>
              <w:t>4</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4" w:history="1">
            <w:r>
              <w:rPr>
                <w:rStyle w:val="Hyperlink"/>
                <w:noProof/>
              </w:rPr>
              <w:t>3.1.4.</w:t>
            </w:r>
            <w:r>
              <w:rPr>
                <w:rFonts w:asciiTheme="minorHAnsi" w:eastAsiaTheme="minorEastAsia" w:hAnsiTheme="minorHAnsi" w:cstheme="minorBidi"/>
                <w:noProof/>
                <w:lang w:val="en-GB" w:eastAsia="en-GB"/>
              </w:rPr>
              <w:tab/>
            </w:r>
            <w:r>
              <w:rPr>
                <w:rStyle w:val="Hyperlink"/>
                <w:noProof/>
              </w:rPr>
              <w:t>Χοίρειο κρέας, αυγά, πουλερικά, μελισσοκομία και λοιπά ζωικά προϊόντα</w:t>
            </w:r>
            <w:r>
              <w:rPr>
                <w:noProof/>
                <w:webHidden/>
              </w:rPr>
              <w:tab/>
            </w:r>
            <w:r>
              <w:rPr>
                <w:noProof/>
                <w:webHidden/>
              </w:rPr>
              <w:fldChar w:fldCharType="begin"/>
            </w:r>
            <w:r>
              <w:rPr>
                <w:noProof/>
                <w:webHidden/>
              </w:rPr>
              <w:instrText xml:space="preserve"> PAGEREF _Toc534726424 \h </w:instrText>
            </w:r>
            <w:r>
              <w:rPr>
                <w:noProof/>
                <w:webHidden/>
              </w:rPr>
            </w:r>
            <w:r>
              <w:rPr>
                <w:noProof/>
                <w:webHidden/>
              </w:rPr>
              <w:fldChar w:fldCharType="separate"/>
            </w:r>
            <w:r>
              <w:rPr>
                <w:noProof/>
                <w:webHidden/>
              </w:rPr>
              <w:t>4</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5" w:history="1">
            <w:r>
              <w:rPr>
                <w:rStyle w:val="Hyperlink"/>
                <w:noProof/>
              </w:rPr>
              <w:t>3.1.5.</w:t>
            </w:r>
            <w:r>
              <w:rPr>
                <w:rFonts w:asciiTheme="minorHAnsi" w:eastAsiaTheme="minorEastAsia" w:hAnsiTheme="minorHAnsi" w:cstheme="minorBidi"/>
                <w:noProof/>
                <w:lang w:val="en-GB" w:eastAsia="en-GB"/>
              </w:rPr>
              <w:tab/>
            </w:r>
            <w:r>
              <w:rPr>
                <w:rStyle w:val="Hyperlink"/>
                <w:noProof/>
              </w:rPr>
              <w:t>Προγράμματα σε σχολεία</w:t>
            </w:r>
            <w:r>
              <w:rPr>
                <w:noProof/>
                <w:webHidden/>
              </w:rPr>
              <w:tab/>
            </w:r>
            <w:r>
              <w:rPr>
                <w:noProof/>
                <w:webHidden/>
              </w:rPr>
              <w:fldChar w:fldCharType="begin"/>
            </w:r>
            <w:r>
              <w:rPr>
                <w:noProof/>
                <w:webHidden/>
              </w:rPr>
              <w:instrText xml:space="preserve"> PAGEREF _Toc534726425 \h </w:instrText>
            </w:r>
            <w:r>
              <w:rPr>
                <w:noProof/>
                <w:webHidden/>
              </w:rPr>
            </w:r>
            <w:r>
              <w:rPr>
                <w:noProof/>
                <w:webHidden/>
              </w:rPr>
              <w:fldChar w:fldCharType="separate"/>
            </w:r>
            <w:r>
              <w:rPr>
                <w:noProof/>
                <w:webHidden/>
              </w:rPr>
              <w:t>4</w:t>
            </w:r>
            <w:r>
              <w:rPr>
                <w:noProof/>
                <w:webHidden/>
              </w:rPr>
              <w:fldChar w:fldCharType="end"/>
            </w:r>
          </w:hyperlink>
        </w:p>
        <w:p w:rsidR="0026148D" w:rsidRDefault="00695422">
          <w:pPr>
            <w:pStyle w:val="TOC2"/>
            <w:tabs>
              <w:tab w:val="left" w:pos="850"/>
              <w:tab w:val="right" w:leader="dot" w:pos="9039"/>
            </w:tabs>
            <w:rPr>
              <w:rFonts w:asciiTheme="minorHAnsi" w:eastAsiaTheme="minorEastAsia" w:hAnsiTheme="minorHAnsi" w:cstheme="minorBidi"/>
              <w:noProof/>
              <w:lang w:val="en-GB" w:eastAsia="en-GB"/>
            </w:rPr>
          </w:pPr>
          <w:hyperlink w:anchor="_Toc534726426" w:history="1">
            <w:r>
              <w:rPr>
                <w:rStyle w:val="Hyperlink"/>
                <w:noProof/>
              </w:rPr>
              <w:t>3.2.</w:t>
            </w:r>
            <w:r>
              <w:rPr>
                <w:rFonts w:asciiTheme="minorHAnsi" w:eastAsiaTheme="minorEastAsia" w:hAnsiTheme="minorHAnsi" w:cstheme="minorBidi"/>
                <w:noProof/>
                <w:lang w:val="en-GB" w:eastAsia="en-GB"/>
              </w:rPr>
              <w:tab/>
            </w:r>
            <w:r>
              <w:rPr>
                <w:rStyle w:val="Hyperlink"/>
                <w:noProof/>
              </w:rPr>
              <w:t>Άμεσες ενισχύσεις</w:t>
            </w:r>
            <w:r>
              <w:rPr>
                <w:noProof/>
                <w:webHidden/>
              </w:rPr>
              <w:tab/>
            </w:r>
            <w:r>
              <w:rPr>
                <w:noProof/>
                <w:webHidden/>
              </w:rPr>
              <w:fldChar w:fldCharType="begin"/>
            </w:r>
            <w:r>
              <w:rPr>
                <w:noProof/>
                <w:webHidden/>
              </w:rPr>
              <w:instrText xml:space="preserve"> PAGEREF _Toc534726426 \h </w:instrText>
            </w:r>
            <w:r>
              <w:rPr>
                <w:noProof/>
                <w:webHidden/>
              </w:rPr>
            </w:r>
            <w:r>
              <w:rPr>
                <w:noProof/>
                <w:webHidden/>
              </w:rPr>
              <w:fldChar w:fldCharType="separate"/>
            </w:r>
            <w:r>
              <w:rPr>
                <w:noProof/>
                <w:webHidden/>
              </w:rPr>
              <w:t>5</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7" w:history="1">
            <w:r>
              <w:rPr>
                <w:rStyle w:val="Hyperlink"/>
                <w:noProof/>
              </w:rPr>
              <w:t>3.2.1.</w:t>
            </w:r>
            <w:r>
              <w:rPr>
                <w:rFonts w:asciiTheme="minorHAnsi" w:eastAsiaTheme="minorEastAsia" w:hAnsiTheme="minorHAnsi" w:cstheme="minorBidi"/>
                <w:noProof/>
                <w:lang w:val="en-GB" w:eastAsia="en-GB"/>
              </w:rPr>
              <w:tab/>
            </w:r>
            <w:r>
              <w:rPr>
                <w:rStyle w:val="Hyperlink"/>
                <w:noProof/>
              </w:rPr>
              <w:t>Αποσυνδεδεμένες άμεσες ενισχύσεις</w:t>
            </w:r>
            <w:r>
              <w:rPr>
                <w:noProof/>
                <w:webHidden/>
              </w:rPr>
              <w:tab/>
            </w:r>
            <w:r>
              <w:rPr>
                <w:noProof/>
                <w:webHidden/>
              </w:rPr>
              <w:fldChar w:fldCharType="begin"/>
            </w:r>
            <w:r>
              <w:rPr>
                <w:noProof/>
                <w:webHidden/>
              </w:rPr>
              <w:instrText xml:space="preserve"> PAGEREF _Toc534726427 \h </w:instrText>
            </w:r>
            <w:r>
              <w:rPr>
                <w:noProof/>
                <w:webHidden/>
              </w:rPr>
            </w:r>
            <w:r>
              <w:rPr>
                <w:noProof/>
                <w:webHidden/>
              </w:rPr>
              <w:fldChar w:fldCharType="separate"/>
            </w:r>
            <w:r>
              <w:rPr>
                <w:noProof/>
                <w:webHidden/>
              </w:rPr>
              <w:t>5</w:t>
            </w:r>
            <w:r>
              <w:rPr>
                <w:noProof/>
                <w:webHidden/>
              </w:rPr>
              <w:fldChar w:fldCharType="end"/>
            </w:r>
          </w:hyperlink>
        </w:p>
        <w:p w:rsidR="0026148D" w:rsidRDefault="00695422">
          <w:pPr>
            <w:pStyle w:val="TOC3"/>
            <w:tabs>
              <w:tab w:val="left" w:pos="1320"/>
              <w:tab w:val="right" w:leader="dot" w:pos="9039"/>
            </w:tabs>
            <w:rPr>
              <w:rFonts w:asciiTheme="minorHAnsi" w:eastAsiaTheme="minorEastAsia" w:hAnsiTheme="minorHAnsi" w:cstheme="minorBidi"/>
              <w:noProof/>
              <w:lang w:val="en-GB" w:eastAsia="en-GB"/>
            </w:rPr>
          </w:pPr>
          <w:hyperlink w:anchor="_Toc534726428" w:history="1">
            <w:r>
              <w:rPr>
                <w:rStyle w:val="Hyperlink"/>
                <w:noProof/>
              </w:rPr>
              <w:t>3.2.2.</w:t>
            </w:r>
            <w:r>
              <w:rPr>
                <w:rFonts w:asciiTheme="minorHAnsi" w:eastAsiaTheme="minorEastAsia" w:hAnsiTheme="minorHAnsi" w:cstheme="minorBidi"/>
                <w:noProof/>
                <w:lang w:val="en-GB" w:eastAsia="en-GB"/>
              </w:rPr>
              <w:tab/>
            </w:r>
            <w:r>
              <w:rPr>
                <w:rStyle w:val="Hyperlink"/>
                <w:noProof/>
              </w:rPr>
              <w:t>Άλλες άμεσες ενισχύσεις</w:t>
            </w:r>
            <w:r>
              <w:rPr>
                <w:noProof/>
                <w:webHidden/>
              </w:rPr>
              <w:tab/>
            </w:r>
            <w:r>
              <w:rPr>
                <w:noProof/>
                <w:webHidden/>
              </w:rPr>
              <w:fldChar w:fldCharType="begin"/>
            </w:r>
            <w:r>
              <w:rPr>
                <w:noProof/>
                <w:webHidden/>
              </w:rPr>
              <w:instrText xml:space="preserve"> PAGEREF _Toc534726428 \h </w:instrText>
            </w:r>
            <w:r>
              <w:rPr>
                <w:noProof/>
                <w:webHidden/>
              </w:rPr>
            </w:r>
            <w:r>
              <w:rPr>
                <w:noProof/>
                <w:webHidden/>
              </w:rPr>
              <w:fldChar w:fldCharType="separate"/>
            </w:r>
            <w:r>
              <w:rPr>
                <w:noProof/>
                <w:webHidden/>
              </w:rPr>
              <w:t>5</w:t>
            </w:r>
            <w:r>
              <w:rPr>
                <w:noProof/>
                <w:webHidden/>
              </w:rPr>
              <w:fldChar w:fldCharType="end"/>
            </w:r>
          </w:hyperlink>
        </w:p>
        <w:p w:rsidR="0026148D" w:rsidRDefault="00695422">
          <w:pPr>
            <w:pStyle w:val="TOC2"/>
            <w:tabs>
              <w:tab w:val="left" w:pos="850"/>
              <w:tab w:val="right" w:leader="dot" w:pos="9039"/>
            </w:tabs>
            <w:rPr>
              <w:rFonts w:asciiTheme="minorHAnsi" w:eastAsiaTheme="minorEastAsia" w:hAnsiTheme="minorHAnsi" w:cstheme="minorBidi"/>
              <w:noProof/>
              <w:lang w:val="en-GB" w:eastAsia="en-GB"/>
            </w:rPr>
          </w:pPr>
          <w:hyperlink w:anchor="_Toc534726429" w:history="1">
            <w:r>
              <w:rPr>
                <w:rStyle w:val="Hyperlink"/>
                <w:noProof/>
              </w:rPr>
              <w:t>3.3.</w:t>
            </w:r>
            <w:r>
              <w:rPr>
                <w:rFonts w:asciiTheme="minorHAnsi" w:eastAsiaTheme="minorEastAsia" w:hAnsiTheme="minorHAnsi" w:cstheme="minorBidi"/>
                <w:noProof/>
                <w:lang w:val="en-GB" w:eastAsia="en-GB"/>
              </w:rPr>
              <w:tab/>
            </w:r>
            <w:r>
              <w:rPr>
                <w:rStyle w:val="Hyperlink"/>
                <w:noProof/>
              </w:rPr>
              <w:t>Έλεγχος των γεωργικών δαπανών</w:t>
            </w:r>
            <w:r>
              <w:rPr>
                <w:noProof/>
                <w:webHidden/>
              </w:rPr>
              <w:tab/>
            </w:r>
            <w:r>
              <w:rPr>
                <w:noProof/>
                <w:webHidden/>
              </w:rPr>
              <w:fldChar w:fldCharType="begin"/>
            </w:r>
            <w:r>
              <w:rPr>
                <w:noProof/>
                <w:webHidden/>
              </w:rPr>
              <w:instrText xml:space="preserve"> PAGEREF _Toc534726429 \h </w:instrText>
            </w:r>
            <w:r>
              <w:rPr>
                <w:noProof/>
                <w:webHidden/>
              </w:rPr>
            </w:r>
            <w:r>
              <w:rPr>
                <w:noProof/>
                <w:webHidden/>
              </w:rPr>
              <w:fldChar w:fldCharType="separate"/>
            </w:r>
            <w:r>
              <w:rPr>
                <w:noProof/>
                <w:webHidden/>
              </w:rPr>
              <w:t>5</w:t>
            </w:r>
            <w:r>
              <w:rPr>
                <w:noProof/>
                <w:webHidden/>
              </w:rPr>
              <w:fldChar w:fldCharType="end"/>
            </w:r>
          </w:hyperlink>
        </w:p>
        <w:p w:rsidR="0026148D" w:rsidRDefault="00695422">
          <w:pPr>
            <w:pStyle w:val="TOC1"/>
            <w:rPr>
              <w:rFonts w:asciiTheme="minorHAnsi" w:eastAsiaTheme="minorEastAsia" w:hAnsiTheme="minorHAnsi" w:cstheme="minorBidi"/>
              <w:noProof/>
              <w:sz w:val="22"/>
              <w:szCs w:val="22"/>
              <w:lang w:val="en-GB" w:eastAsia="en-GB"/>
            </w:rPr>
          </w:pPr>
          <w:hyperlink w:anchor="_Toc534726430" w:history="1">
            <w:r>
              <w:rPr>
                <w:rStyle w:val="Hyperlink"/>
                <w:noProof/>
              </w:rPr>
              <w:t>4.</w:t>
            </w:r>
            <w:r>
              <w:rPr>
                <w:rFonts w:asciiTheme="minorHAnsi" w:eastAsiaTheme="minorEastAsia" w:hAnsiTheme="minorHAnsi" w:cstheme="minorBidi"/>
                <w:noProof/>
                <w:sz w:val="22"/>
                <w:szCs w:val="22"/>
                <w:lang w:val="en-GB" w:eastAsia="en-GB"/>
              </w:rPr>
              <w:tab/>
            </w:r>
            <w:r>
              <w:rPr>
                <w:rStyle w:val="Hyperlink"/>
                <w:noProof/>
              </w:rPr>
              <w:t>Εκτέλεση του λογαριασμού εσόδων ειδικού προορισμού του ΕΓΤΕ</w:t>
            </w:r>
            <w:r>
              <w:rPr>
                <w:noProof/>
                <w:webHidden/>
              </w:rPr>
              <w:tab/>
            </w:r>
            <w:r>
              <w:rPr>
                <w:noProof/>
                <w:webHidden/>
              </w:rPr>
              <w:fldChar w:fldCharType="begin"/>
            </w:r>
            <w:r>
              <w:rPr>
                <w:noProof/>
                <w:webHidden/>
              </w:rPr>
              <w:instrText xml:space="preserve"> PAGEREF _Toc534726430 \h </w:instrText>
            </w:r>
            <w:r>
              <w:rPr>
                <w:noProof/>
                <w:webHidden/>
              </w:rPr>
            </w:r>
            <w:r>
              <w:rPr>
                <w:noProof/>
                <w:webHidden/>
              </w:rPr>
              <w:fldChar w:fldCharType="separate"/>
            </w:r>
            <w:r>
              <w:rPr>
                <w:noProof/>
                <w:webHidden/>
              </w:rPr>
              <w:t>5</w:t>
            </w:r>
            <w:r>
              <w:rPr>
                <w:noProof/>
                <w:webHidden/>
              </w:rPr>
              <w:fldChar w:fldCharType="end"/>
            </w:r>
          </w:hyperlink>
        </w:p>
        <w:p w:rsidR="0026148D" w:rsidRDefault="00695422">
          <w:pPr>
            <w:pStyle w:val="TOC1"/>
            <w:rPr>
              <w:rFonts w:asciiTheme="minorHAnsi" w:eastAsiaTheme="minorEastAsia" w:hAnsiTheme="minorHAnsi" w:cstheme="minorBidi"/>
              <w:noProof/>
              <w:sz w:val="22"/>
              <w:szCs w:val="22"/>
              <w:lang w:val="en-GB" w:eastAsia="en-GB"/>
            </w:rPr>
          </w:pPr>
          <w:hyperlink w:anchor="_Toc534726431" w:history="1">
            <w:r>
              <w:rPr>
                <w:rStyle w:val="Hyperlink"/>
                <w:noProof/>
              </w:rPr>
              <w:t>5.</w:t>
            </w:r>
            <w:r>
              <w:rPr>
                <w:rFonts w:asciiTheme="minorHAnsi" w:eastAsiaTheme="minorEastAsia" w:hAnsiTheme="minorHAnsi" w:cstheme="minorBidi"/>
                <w:noProof/>
                <w:sz w:val="22"/>
                <w:szCs w:val="22"/>
                <w:lang w:val="en-GB" w:eastAsia="en-GB"/>
              </w:rPr>
              <w:tab/>
            </w:r>
            <w:r>
              <w:rPr>
                <w:rStyle w:val="Hyperlink"/>
                <w:noProof/>
              </w:rPr>
              <w:t>Συμπεράσματα</w:t>
            </w:r>
            <w:r>
              <w:rPr>
                <w:noProof/>
                <w:webHidden/>
              </w:rPr>
              <w:tab/>
            </w:r>
            <w:r>
              <w:rPr>
                <w:noProof/>
                <w:webHidden/>
              </w:rPr>
              <w:fldChar w:fldCharType="begin"/>
            </w:r>
            <w:r>
              <w:rPr>
                <w:noProof/>
                <w:webHidden/>
              </w:rPr>
              <w:instrText xml:space="preserve"> PAGEREF _Toc534726431 \h </w:instrText>
            </w:r>
            <w:r>
              <w:rPr>
                <w:noProof/>
                <w:webHidden/>
              </w:rPr>
            </w:r>
            <w:r>
              <w:rPr>
                <w:noProof/>
                <w:webHidden/>
              </w:rPr>
              <w:fldChar w:fldCharType="separate"/>
            </w:r>
            <w:r>
              <w:rPr>
                <w:noProof/>
                <w:webHidden/>
              </w:rPr>
              <w:t>5</w:t>
            </w:r>
            <w:r>
              <w:rPr>
                <w:noProof/>
                <w:webHidden/>
              </w:rPr>
              <w:fldChar w:fldCharType="end"/>
            </w:r>
          </w:hyperlink>
        </w:p>
        <w:p w:rsidR="0026148D" w:rsidRDefault="00695422">
          <w:pPr>
            <w:rPr>
              <w:noProof/>
            </w:rPr>
          </w:pPr>
          <w:r>
            <w:rPr>
              <w:b/>
              <w:bCs/>
              <w:noProof/>
            </w:rPr>
            <w:fldChar w:fldCharType="end"/>
          </w:r>
        </w:p>
      </w:sdtContent>
    </w:sdt>
    <w:p w:rsidR="0026148D" w:rsidRDefault="0026148D">
      <w:pPr>
        <w:spacing w:after="0"/>
        <w:rPr>
          <w:rFonts w:ascii="Times New Roman" w:hAnsi="Times New Roman"/>
          <w:noProof/>
          <w:sz w:val="24"/>
          <w:szCs w:val="24"/>
        </w:rPr>
      </w:pPr>
    </w:p>
    <w:tbl>
      <w:tblPr>
        <w:tblW w:w="0" w:type="auto"/>
        <w:tblLook w:val="01E0" w:firstRow="1" w:lastRow="1" w:firstColumn="1" w:lastColumn="1" w:noHBand="0" w:noVBand="0"/>
      </w:tblPr>
      <w:tblGrid>
        <w:gridCol w:w="1809"/>
        <w:gridCol w:w="7320"/>
      </w:tblGrid>
      <w:tr w:rsidR="0026148D">
        <w:tc>
          <w:tcPr>
            <w:tcW w:w="1809" w:type="dxa"/>
            <w:hideMark/>
          </w:tcPr>
          <w:p w:rsidR="0026148D" w:rsidRDefault="00695422">
            <w:pPr>
              <w:spacing w:before="120" w:after="120"/>
              <w:ind w:right="173"/>
              <w:rPr>
                <w:rFonts w:ascii="Times New Roman" w:hAnsi="Times New Roman"/>
                <w:smallCaps/>
                <w:noProof/>
              </w:rPr>
            </w:pPr>
            <w:r>
              <w:rPr>
                <w:rFonts w:ascii="Times New Roman" w:hAnsi="Times New Roman"/>
                <w:smallCaps/>
                <w:noProof/>
              </w:rPr>
              <w:t>Παράρτημα 1:</w:t>
            </w:r>
          </w:p>
        </w:tc>
        <w:tc>
          <w:tcPr>
            <w:tcW w:w="7320" w:type="dxa"/>
            <w:hideMark/>
          </w:tcPr>
          <w:p w:rsidR="0026148D" w:rsidRDefault="00695422">
            <w:pPr>
              <w:spacing w:before="120" w:after="120"/>
              <w:rPr>
                <w:rFonts w:ascii="Times New Roman" w:hAnsi="Times New Roman"/>
                <w:smallCaps/>
                <w:noProof/>
                <w:sz w:val="24"/>
                <w:szCs w:val="24"/>
              </w:rPr>
            </w:pPr>
            <w:r>
              <w:rPr>
                <w:rFonts w:ascii="Times New Roman" w:hAnsi="Times New Roman"/>
                <w:smallCaps/>
                <w:noProof/>
              </w:rPr>
              <w:t>Προσωρινή απορρόφηση των πιστώσεων του ΕΓΤΕ έως τις 31/12/2018</w:t>
            </w:r>
          </w:p>
        </w:tc>
      </w:tr>
    </w:tbl>
    <w:p w:rsidR="0026148D" w:rsidRDefault="0026148D">
      <w:pPr>
        <w:spacing w:after="0"/>
        <w:rPr>
          <w:noProof/>
        </w:rPr>
      </w:pPr>
    </w:p>
    <w:p w:rsidR="0026148D" w:rsidRDefault="0026148D">
      <w:pPr>
        <w:spacing w:after="0"/>
        <w:rPr>
          <w:noProof/>
        </w:rPr>
        <w:sectPr w:rsidR="0026148D">
          <w:headerReference w:type="even" r:id="rId15"/>
          <w:headerReference w:type="default" r:id="rId16"/>
          <w:footerReference w:type="even" r:id="rId17"/>
          <w:footerReference w:type="default" r:id="rId18"/>
          <w:headerReference w:type="first" r:id="rId19"/>
          <w:footerReference w:type="first" r:id="rId20"/>
          <w:pgSz w:w="11907" w:h="16840"/>
          <w:pgMar w:top="1134" w:right="1418" w:bottom="1134" w:left="1440" w:header="595" w:footer="567" w:gutter="0"/>
          <w:pgNumType w:start="1"/>
          <w:cols w:space="720"/>
        </w:sectPr>
      </w:pPr>
    </w:p>
    <w:p w:rsidR="0026148D" w:rsidRDefault="00695422">
      <w:pPr>
        <w:pStyle w:val="Heading1"/>
        <w:numPr>
          <w:ilvl w:val="0"/>
          <w:numId w:val="4"/>
        </w:numPr>
        <w:rPr>
          <w:noProof/>
        </w:rPr>
      </w:pPr>
      <w:bookmarkStart w:id="2" w:name="_Toc229306111"/>
      <w:bookmarkStart w:id="3" w:name="_Toc413145207"/>
      <w:bookmarkStart w:id="4" w:name="_Toc534726417"/>
      <w:bookmarkStart w:id="5" w:name="_Toc244054012"/>
      <w:bookmarkStart w:id="6" w:name="_Toc244054013"/>
      <w:r>
        <w:rPr>
          <w:noProof/>
        </w:rPr>
        <w:lastRenderedPageBreak/>
        <w:t>Διαδικασία προϋπολογισμού του ΕΓΤΕ για το 2018</w:t>
      </w:r>
      <w:bookmarkEnd w:id="2"/>
      <w:bookmarkEnd w:id="3"/>
      <w:bookmarkEnd w:id="4"/>
    </w:p>
    <w:p w:rsidR="0026148D" w:rsidRDefault="00695422">
      <w:pPr>
        <w:pStyle w:val="Text1"/>
        <w:rPr>
          <w:noProof/>
        </w:rPr>
      </w:pPr>
      <w:r>
        <w:rPr>
          <w:noProof/>
        </w:rPr>
        <w:t xml:space="preserve">Ο </w:t>
      </w:r>
      <w:r>
        <w:rPr>
          <w:noProof/>
        </w:rPr>
        <w:t>προϋπολογισμός της ΕΕ για το 2018 εγκρίθηκε από το Ευρωπαϊκό Κοινοβούλιο στις 30 Νοεμβρίου 2017. Ο προϋπολογισμός προβλέπει για το Ευρωπαϊκό Γεωργικό Ταμείο Εγγυήσεων (ΕΓΤΕ) πιστώσεις ανάληψης υποχρεώσεων και πιστώσεις πληρωμών ύψους 43 235 εκατ. EUR και 4</w:t>
      </w:r>
      <w:r>
        <w:rPr>
          <w:noProof/>
        </w:rPr>
        <w:t>3 189 εκατ. EUR, αντίστοιχα, για άμεσες ενισχύσεις και δαπάνες που συνδέονται με την αγορά.</w:t>
      </w:r>
    </w:p>
    <w:p w:rsidR="0026148D" w:rsidRDefault="00695422">
      <w:pPr>
        <w:pStyle w:val="Text1"/>
        <w:rPr>
          <w:noProof/>
        </w:rPr>
      </w:pPr>
      <w:r>
        <w:rPr>
          <w:noProof/>
        </w:rPr>
        <w:t>Η διαφορά μεταξύ πιστώσεων ανάληψης υποχρεώσεων και πιστώσεων πληρωμών οφείλεται στο γεγονός ότι χρησιμοποιούνται διαχωριζόμενες πιστώσεις για ορισμένα μέτρα που εφ</w:t>
      </w:r>
      <w:r>
        <w:rPr>
          <w:noProof/>
        </w:rPr>
        <w:t>αρμόζονται απευθείας από την Επιτροπή. Πρόκειται κυρίως για μέτρα προώθησης των γεωργικών προϊόντων, μέτρα που αφορούν την πολιτική στρατηγική και μέτρα συντονισμού.</w:t>
      </w:r>
    </w:p>
    <w:p w:rsidR="0026148D" w:rsidRDefault="00695422">
      <w:pPr>
        <w:pStyle w:val="Heading1"/>
        <w:rPr>
          <w:noProof/>
        </w:rPr>
      </w:pPr>
      <w:bookmarkStart w:id="7" w:name="_Toc413145208"/>
      <w:bookmarkStart w:id="8" w:name="_Toc534726418"/>
      <w:bookmarkEnd w:id="5"/>
      <w:r>
        <w:rPr>
          <w:noProof/>
        </w:rPr>
        <w:t>Έσοδα ειδικού προορισμού του ΕΓΤΕ</w:t>
      </w:r>
      <w:bookmarkEnd w:id="6"/>
      <w:bookmarkEnd w:id="7"/>
      <w:bookmarkEnd w:id="8"/>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Βάσει των διατάξεων του άρθρου 43 του κανονισμού (ΕΕ) αρ</w:t>
      </w:r>
      <w:r>
        <w:rPr>
          <w:rFonts w:ascii="Times New Roman" w:hAnsi="Times New Roman"/>
          <w:noProof/>
          <w:sz w:val="24"/>
          <w:szCs w:val="24"/>
        </w:rPr>
        <w:t>ιθ. 1306/2013, τα έσοδα που προέρχονται από δημοσιονομικές διορθώσεις στο πλαίσιο αποφάσεων λογιστικής εκκαθάρισης και εκκαθάρισης ως προς τη συμμόρφωση και από παρατυπίες θεωρούνται έσοδα ειδικού προορισμού που διατίθενται για τη χρηματοδότηση των δαπανών</w:t>
      </w:r>
      <w:r>
        <w:rPr>
          <w:rFonts w:ascii="Times New Roman" w:hAnsi="Times New Roman"/>
          <w:noProof/>
          <w:sz w:val="24"/>
          <w:szCs w:val="24"/>
        </w:rPr>
        <w:t xml:space="preserve"> του ΕΓΤΕ. </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Σύμφωνα με τις διατάξεις αυτές, τα έσοδα ειδικού προορισμού μπορούν να χρησιμοποιηθούν για τη χρηματοδότηση οποιωνδήποτε δαπανών του ΕΓΤΕ. Εάν ένα μέρος των εν λόγω εσόδων δεν χρησιμοποιηθεί στη διάρκεια του οικονομικού έτους, τότε το ποσό αυτό</w:t>
      </w:r>
      <w:r>
        <w:rPr>
          <w:rFonts w:ascii="Times New Roman" w:hAnsi="Times New Roman"/>
          <w:noProof/>
          <w:sz w:val="24"/>
          <w:szCs w:val="24"/>
        </w:rPr>
        <w:t xml:space="preserve"> μεταφέρεται αυτόματα στο επόμενο οικονομικό έτος</w:t>
      </w:r>
      <w:r>
        <w:rPr>
          <w:rFonts w:ascii="Times New Roman" w:eastAsia="Times New Roman" w:hAnsi="Times New Roman"/>
          <w:noProof/>
          <w:sz w:val="24"/>
          <w:szCs w:val="24"/>
          <w:vertAlign w:val="superscript"/>
        </w:rPr>
        <w:footnoteReference w:id="1"/>
      </w:r>
      <w:r>
        <w:rPr>
          <w:rFonts w:ascii="Times New Roman" w:hAnsi="Times New Roman"/>
          <w:noProof/>
          <w:sz w:val="24"/>
          <w:szCs w:val="24"/>
        </w:rPr>
        <w:t>.</w:t>
      </w:r>
    </w:p>
    <w:p w:rsidR="0026148D" w:rsidRDefault="00695422">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szCs w:val="24"/>
        </w:rPr>
        <w:t>Στον προϋπολογισμό του ΕΓΤΕ για το 2018 περιλαμβάνονται:</w:t>
      </w:r>
    </w:p>
    <w:p w:rsidR="0026148D" w:rsidRDefault="00695422">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οι πλέον πρόσφατες εκτιμήσεις της Επιτροπής σχετικά με τις ανάγκες χρηματοδότησης για μέτρα παρέμβασης στην αγορά και για άμεσες ενισχύσεις,</w:t>
      </w:r>
    </w:p>
    <w:p w:rsidR="0026148D" w:rsidRDefault="00695422">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οι εκτ</w:t>
      </w:r>
      <w:r>
        <w:rPr>
          <w:rFonts w:ascii="Times New Roman" w:hAnsi="Times New Roman"/>
          <w:noProof/>
          <w:sz w:val="24"/>
          <w:szCs w:val="24"/>
        </w:rPr>
        <w:t>ιμήσεις των εσόδων ειδικού προορισμού προς είσπραξη κατά τη διάρκεια του οικονομικού έτους,</w:t>
      </w:r>
    </w:p>
    <w:p w:rsidR="0026148D" w:rsidRDefault="00695422">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και το εκ μεταφοράς υπόλοιπο των εσόδων ειδικού προορισμού που παρέμεινε διαθέσιμο από το προηγούμενο οικονομικό έτος.</w:t>
      </w:r>
    </w:p>
    <w:p w:rsidR="0026148D" w:rsidRDefault="00695422">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szCs w:val="24"/>
        </w:rPr>
        <w:t>Στην πρότασή της για το ύψος των πιστώσεων το</w:t>
      </w:r>
      <w:r>
        <w:rPr>
          <w:rFonts w:ascii="Times New Roman" w:hAnsi="Times New Roman"/>
          <w:noProof/>
          <w:sz w:val="24"/>
          <w:szCs w:val="24"/>
        </w:rPr>
        <w:t>υ προϋπολογισμού του ΕΓΤΕ για το 2018, η Επιτροπή έλαβε υπόψη τα συνολικά αναμενόμενα έσοδα ειδικού προορισμού και ζήτησε για τον προϋπολογισμό του 2018 ύψος πιστώσεων υπολογιζόμενο με αφαίρεση των κατ’ εκτίμηση εσόδων ειδικού προορισμού από τις εκτιμώμενε</w:t>
      </w:r>
      <w:r>
        <w:rPr>
          <w:rFonts w:ascii="Times New Roman" w:hAnsi="Times New Roman"/>
          <w:noProof/>
          <w:sz w:val="24"/>
          <w:szCs w:val="24"/>
        </w:rPr>
        <w:t xml:space="preserve">ς ανάγκες. Η αρμόδια για τον προϋπολογισμό αρχή ενέκρινε τον προϋπολογισμό του ΕΓΤΕ, του οποίου οι πιστώσεις περιλαμβάνουν τα αναμενόμενα έσοδα ειδικού προορισμού. </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lastRenderedPageBreak/>
        <w:t>Κατά την κατάρτιση του προϋπολογισμού για το 2018, βάσει των εκτιμήσεων της Επιτροπής τα δι</w:t>
      </w:r>
      <w:r>
        <w:rPr>
          <w:rFonts w:ascii="Times New Roman" w:hAnsi="Times New Roman"/>
          <w:noProof/>
          <w:sz w:val="24"/>
          <w:szCs w:val="24"/>
        </w:rPr>
        <w:t xml:space="preserve">αθέσιμα έσοδα ειδικού προορισμού ανέρχονταν σε 1 475,9 εκατ. EUR και περιλαμβάνουν: </w:t>
      </w:r>
    </w:p>
    <w:p w:rsidR="0026148D" w:rsidRDefault="00695422">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τα έσοδα ειδικού προορισμού που αναμένεται να προκύψουν στη διάρκεια του οικονομικού έτους 2018, τα οποία υπολογίστηκαν κατ’ εκτίμηση σε 865,9 εκατ. EUR (733,9 εκατ. EUR </w:t>
      </w:r>
      <w:r>
        <w:rPr>
          <w:rFonts w:ascii="Times New Roman" w:hAnsi="Times New Roman"/>
          <w:noProof/>
          <w:sz w:val="24"/>
          <w:szCs w:val="24"/>
        </w:rPr>
        <w:t>από διορθώσεις εκκαθάρισης ως προς τη συμμόρφωση και 132 εκατ. EUR από παρατυπίες)·</w:t>
      </w:r>
    </w:p>
    <w:p w:rsidR="0026148D" w:rsidRDefault="00695422">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τα έσοδα ειδικού προορισμού που πρόκειται να μεταφερθούν από το 2017 στο 2018, τα οποία υπολογίστηκαν κατ’ εκτίμηση σε 610 εκατ. EUR.</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Η Επιτροπή διέθεσε το εκτιμηθέν ποσό ε</w:t>
      </w:r>
      <w:r>
        <w:rPr>
          <w:rFonts w:ascii="Times New Roman" w:hAnsi="Times New Roman"/>
          <w:noProof/>
          <w:sz w:val="24"/>
          <w:szCs w:val="24"/>
        </w:rPr>
        <w:t xml:space="preserve">σόδων ειδικού προορισμού των 1 475,9 εκατ. EUR στα ακόλουθα καθεστώτα: </w:t>
      </w:r>
    </w:p>
    <w:p w:rsidR="0026148D" w:rsidRDefault="00695422">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400 εκατ. EUR διατέθηκαν στα επιχειρησιακά ταμεία των οργανώσεων παραγωγών στον τομέα των οπωροκηπευτικών, και</w:t>
      </w:r>
    </w:p>
    <w:p w:rsidR="0026148D" w:rsidRDefault="00695422">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1 075,9 εκατ. EUR στο καθεστώς βασικής ενίσχυσης. </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Το άθροισμα των εγκριθ</w:t>
      </w:r>
      <w:r>
        <w:rPr>
          <w:rFonts w:ascii="Times New Roman" w:hAnsi="Times New Roman"/>
          <w:noProof/>
          <w:sz w:val="24"/>
          <w:szCs w:val="24"/>
        </w:rPr>
        <w:t>εισών πιστώσεων και των εσόδων ειδικού προορισμού των εν λόγω καθεστώτων αντιστοιχεί σε:</w:t>
      </w:r>
    </w:p>
    <w:p w:rsidR="0026148D" w:rsidRDefault="00695422">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872 εκατ. EUR για τα επιχειρησιακά ταμεία των οργανώσεων παραγωγών στον τομέα των οπωροκηπευτικών, και</w:t>
      </w:r>
    </w:p>
    <w:p w:rsidR="0026148D" w:rsidRDefault="00695422">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17 402 εκατ. EUR για το καθεστώς βασικής ενίσχυσης.</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Στο παράρτημα, στο οποίο παρουσιάζεται η προσωρινή εκτέλεση του προϋπολογισμού για το 2018, στα αριθμητικά στοιχεία των πιστώσεων του προϋπολογισμού σε επίπεδο άρθρου για τα οπωροκηπευτικά και τις αποσυνδεδεμένες άμεσες ενισχύσεις δεν λαμβάνονται υπόψη τα </w:t>
      </w:r>
      <w:r>
        <w:rPr>
          <w:rFonts w:ascii="Times New Roman" w:hAnsi="Times New Roman"/>
          <w:noProof/>
          <w:sz w:val="24"/>
          <w:szCs w:val="24"/>
        </w:rPr>
        <w:t xml:space="preserve">προαναφερθέντα έσοδα ειδικού προορισμού. Αντιστοιχούν σε εγκριθέντα κονδύλια για τα εν λόγω άρθρα που ανέρχονται σε 531,8 εκατ. EUR και 34 309,1 εκατ. EUR, αντιστοίχως. </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Εφόσον περιληφθούν τα έσοδα ειδικού προορισμού στα άρθρα αυτά, οι συνολικές προβλεπόμε</w:t>
      </w:r>
      <w:r>
        <w:rPr>
          <w:rFonts w:ascii="Times New Roman" w:hAnsi="Times New Roman"/>
          <w:noProof/>
          <w:sz w:val="24"/>
          <w:szCs w:val="24"/>
        </w:rPr>
        <w:t xml:space="preserve">νες πιστώσεις στον προϋπολογισμό για το 2018 ανέρχονται σε 931,8 εκατ. EUR για τα οπωροκηπευτικά και σε 35 385 εκατ. EUR για τις αποσυνδεδεμένες άμεσες ενισχύσεις. </w:t>
      </w:r>
    </w:p>
    <w:p w:rsidR="0026148D" w:rsidRDefault="00695422">
      <w:pPr>
        <w:pStyle w:val="Heading1"/>
        <w:rPr>
          <w:noProof/>
        </w:rPr>
      </w:pPr>
      <w:bookmarkStart w:id="9" w:name="_Toc244054015"/>
      <w:bookmarkStart w:id="10" w:name="_Toc413145209"/>
      <w:bookmarkStart w:id="11" w:name="_Toc534726419"/>
      <w:r>
        <w:rPr>
          <w:noProof/>
        </w:rPr>
        <w:t>Παρατηρήσεις σχετικά με την προσωρινή εκτέλεση του προϋπολογισμού του ΕΓΤΕ για το 2018</w:t>
      </w:r>
      <w:bookmarkEnd w:id="9"/>
      <w:bookmarkEnd w:id="10"/>
      <w:bookmarkEnd w:id="11"/>
    </w:p>
    <w:p w:rsidR="0026148D" w:rsidRDefault="00695422">
      <w:pPr>
        <w:spacing w:before="120" w:after="120" w:line="240" w:lineRule="auto"/>
        <w:ind w:left="850"/>
        <w:jc w:val="both"/>
        <w:rPr>
          <w:rFonts w:ascii="Times New Roman" w:eastAsia="Times New Roman" w:hAnsi="Times New Roman"/>
          <w:noProof/>
          <w:sz w:val="24"/>
          <w:szCs w:val="24"/>
        </w:rPr>
      </w:pPr>
      <w:bookmarkStart w:id="12" w:name="_Toc244054016"/>
      <w:r>
        <w:rPr>
          <w:rFonts w:ascii="Times New Roman" w:hAnsi="Times New Roman"/>
          <w:noProof/>
          <w:sz w:val="24"/>
          <w:szCs w:val="24"/>
        </w:rPr>
        <w:t>Στην</w:t>
      </w:r>
      <w:r>
        <w:rPr>
          <w:rFonts w:ascii="Times New Roman" w:hAnsi="Times New Roman"/>
          <w:noProof/>
          <w:sz w:val="24"/>
          <w:szCs w:val="24"/>
        </w:rPr>
        <w:t xml:space="preserve"> παρούσα έκθεση παρουσιάζεται η προσωρινή εκτέλεση του προϋπολογισμού του ΕΓΤΕ για το 2018, με λεπτομέρειες που παρατίθενται στο παράρτημα. Η συνολική δαπάνη 43 926,6 εκατ. EUR περιλαμβάνει κυρίως τις δαπάνες του ΕΓΤΕ στο πλαίσιο της επιμερισμένης διαχείρι</w:t>
      </w:r>
      <w:r>
        <w:rPr>
          <w:rFonts w:ascii="Times New Roman" w:hAnsi="Times New Roman"/>
          <w:noProof/>
          <w:sz w:val="24"/>
          <w:szCs w:val="24"/>
        </w:rPr>
        <w:t>σης, όπως δηλώθηκαν από τα κράτη μέλη μεταξύ 16 Οκτωβρίου 2017 και 15 Οκτωβρίου 2018, και τις μειώσεις των μηνιαίων επιστροφών που επιβλήθηκαν στη διάρκεια του οικονομικού έτους. Το ποσό αυτό περιλαμβάνει επίσης εκτίμηση των δαπανών στο πλαίσιο άμεσης διαχ</w:t>
      </w:r>
      <w:r>
        <w:rPr>
          <w:rFonts w:ascii="Times New Roman" w:hAnsi="Times New Roman"/>
          <w:noProof/>
          <w:sz w:val="24"/>
          <w:szCs w:val="24"/>
        </w:rPr>
        <w:t>είρισης, ύψους περίπου 15,6 εκατ. EUR, οι οποίες προβλέπεται ότι θα πραγματοποιηθούν μέχρι τις 31 Δεκεμβρίου 2018.</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Σύντομες παρατηρήσεις για ορισμένα άρθρα του προϋπολογισμού που παρουσιάζουν τις σημαντικότερες διαφορές μεταξύ των πραγματικών δαπανών και τ</w:t>
      </w:r>
      <w:r>
        <w:rPr>
          <w:rFonts w:ascii="Times New Roman" w:hAnsi="Times New Roman"/>
          <w:noProof/>
          <w:sz w:val="24"/>
          <w:szCs w:val="24"/>
        </w:rPr>
        <w:t>ων αντίστοιχων πιστώσεων που προβλέπονταν στον προϋπολογισμό 2018 ακολουθούν κατωτέρω.</w:t>
      </w:r>
    </w:p>
    <w:p w:rsidR="0026148D" w:rsidRDefault="00695422">
      <w:pPr>
        <w:pStyle w:val="Heading2"/>
        <w:rPr>
          <w:noProof/>
        </w:rPr>
      </w:pPr>
      <w:bookmarkStart w:id="13" w:name="_Toc534726420"/>
      <w:r>
        <w:rPr>
          <w:noProof/>
        </w:rPr>
        <w:t>Μέτρα παρέμβασης στην αγορά</w:t>
      </w:r>
      <w:bookmarkEnd w:id="12"/>
      <w:bookmarkEnd w:id="13"/>
    </w:p>
    <w:p w:rsidR="0026148D" w:rsidRDefault="00695422">
      <w:pPr>
        <w:pStyle w:val="Text1"/>
        <w:rPr>
          <w:noProof/>
        </w:rPr>
      </w:pPr>
      <w:r>
        <w:rPr>
          <w:noProof/>
        </w:rPr>
        <w:t>Οι πιστώσεις που απορροφήθηκαν για παρεμβάσεις στις αγορές γεωργικών προϊόντων ήταν υψηλότερες από ό, τι αναμενόταν, κατά 351,3 εκατ. EUR. Το</w:t>
      </w:r>
      <w:r>
        <w:rPr>
          <w:noProof/>
        </w:rPr>
        <w:t xml:space="preserve"> ποσό αυτό περιλαμβάνει εκτίμηση δαπανών ύψους 6,4 εκατ. EUR στο πλαίσιο άμεσης διαχείρισης μέτρων προώθησης, οι οποίες προβλέπεται ότι θα πραγματοποιηθούν μέχρι τις 31 Δεκεμβρίου 2018. Ωστόσο, εάν ληφθούν υπόψη τα έσοδα ειδικού προορισμού ύψους 400 εκατ. </w:t>
      </w:r>
      <w:r>
        <w:rPr>
          <w:noProof/>
        </w:rPr>
        <w:t>EUR που προορίζονται για το σχέδιο κατανάλωσης φρούτων και λαχανικών, το αποτέλεσμα είναι υστέρηση εκτέλεσης ύψους -48,7 εκατ. EUR (ή μόνο -1.8 %).</w:t>
      </w:r>
    </w:p>
    <w:p w:rsidR="0026148D" w:rsidRDefault="00695422">
      <w:pPr>
        <w:pStyle w:val="Heading3"/>
        <w:rPr>
          <w:noProof/>
        </w:rPr>
      </w:pPr>
      <w:bookmarkStart w:id="14" w:name="_Toc525722902"/>
      <w:bookmarkStart w:id="15" w:name="_Toc525734906"/>
      <w:bookmarkStart w:id="16" w:name="_Toc525736637"/>
      <w:bookmarkStart w:id="17" w:name="_Toc526175165"/>
      <w:bookmarkStart w:id="18" w:name="_Toc534726421"/>
      <w:bookmarkEnd w:id="14"/>
      <w:bookmarkEnd w:id="15"/>
      <w:bookmarkEnd w:id="16"/>
      <w:bookmarkEnd w:id="17"/>
      <w:r>
        <w:rPr>
          <w:noProof/>
        </w:rPr>
        <w:t>Οπωροκηπευτικά</w:t>
      </w:r>
      <w:bookmarkEnd w:id="18"/>
    </w:p>
    <w:p w:rsidR="0026148D" w:rsidRDefault="00695422">
      <w:pPr>
        <w:pStyle w:val="Text1"/>
        <w:rPr>
          <w:noProof/>
        </w:rPr>
      </w:pPr>
      <w:r>
        <w:rPr>
          <w:noProof/>
        </w:rPr>
        <w:t>Η φαινομενική υπέρβαση εκτέλεσης ύψους 333,3 εκατ. EUR δεν λαμβάνει υπόψη τα έσοδα ειδικού πρ</w:t>
      </w:r>
      <w:r>
        <w:rPr>
          <w:noProof/>
        </w:rPr>
        <w:t>οορισμού για το άρθρο αυτό. Εφόσον περιληφθούν τα εν λόγω έσοδα, υπάρχει υστέρηση εκτέλεσης ύψους -66.7 εκατ. EUR (βλ. την υποσημείωση (*) στο παράρτημα). Η υστέρηση αυτή οφείλεται κυρίως στις χαμηλότερες πληρωμές για τα επιχειρησιακά προγράμματα των οργαν</w:t>
      </w:r>
      <w:r>
        <w:rPr>
          <w:noProof/>
        </w:rPr>
        <w:t>ώσεων παραγωγών σε ορισμένα κράτη μέλη.</w:t>
      </w:r>
    </w:p>
    <w:p w:rsidR="0026148D" w:rsidRDefault="00695422">
      <w:pPr>
        <w:pStyle w:val="Heading3"/>
        <w:rPr>
          <w:noProof/>
        </w:rPr>
      </w:pPr>
      <w:bookmarkStart w:id="19" w:name="_Toc534726422"/>
      <w:r>
        <w:rPr>
          <w:noProof/>
        </w:rPr>
        <w:t>Προϊόντα του αμπελοοινικού τομέα</w:t>
      </w:r>
      <w:bookmarkEnd w:id="19"/>
    </w:p>
    <w:p w:rsidR="0026148D" w:rsidRDefault="00695422">
      <w:pPr>
        <w:pStyle w:val="Text1"/>
        <w:rPr>
          <w:noProof/>
        </w:rPr>
      </w:pPr>
      <w:r>
        <w:rPr>
          <w:noProof/>
        </w:rPr>
        <w:t>Η τελική απορρόφηση στο εν λόγω άρθρο του προϋπολογισμού έχει ως αποτέλεσμα υστέρηση εκτέλεσης ύψους -89,9 εκατ. EUR, κυρίως λόγω πληρωμών χαμηλότερων από τις αναμενόμενες σε ορισμένα</w:t>
      </w:r>
      <w:r>
        <w:rPr>
          <w:noProof/>
        </w:rPr>
        <w:t xml:space="preserve"> κράτη μέλη.</w:t>
      </w:r>
    </w:p>
    <w:p w:rsidR="0026148D" w:rsidRDefault="00695422">
      <w:pPr>
        <w:pStyle w:val="Heading3"/>
        <w:rPr>
          <w:noProof/>
        </w:rPr>
      </w:pPr>
      <w:bookmarkStart w:id="20" w:name="_Toc534726423"/>
      <w:r>
        <w:rPr>
          <w:noProof/>
        </w:rPr>
        <w:t>Γάλα και γαλακτοκομικά προϊόντα</w:t>
      </w:r>
      <w:bookmarkEnd w:id="20"/>
      <w:r>
        <w:rPr>
          <w:noProof/>
        </w:rPr>
        <w:t xml:space="preserve"> </w:t>
      </w:r>
    </w:p>
    <w:p w:rsidR="0026148D" w:rsidRDefault="00695422">
      <w:pPr>
        <w:pStyle w:val="Text1"/>
        <w:rPr>
          <w:noProof/>
        </w:rPr>
      </w:pPr>
      <w:r>
        <w:rPr>
          <w:noProof/>
        </w:rPr>
        <w:t>Η υπέρβαση εκτέλεσης ύψους 167 εκατ. EUR στον τομέα του γάλακτος εξηγείται από τις πωλήσεις αποκορυφωμένου γάλακτος σε σκόνη με ζημία, και κυρίως από την απαξίωση των αποθεμάτων του αποκορυφωμένου γάλακτος σε σ</w:t>
      </w:r>
      <w:r>
        <w:rPr>
          <w:noProof/>
        </w:rPr>
        <w:t xml:space="preserve">κόνη στο τέλος του οικονομικού έτους. </w:t>
      </w:r>
    </w:p>
    <w:p w:rsidR="0026148D" w:rsidRDefault="00695422">
      <w:pPr>
        <w:pStyle w:val="Heading3"/>
        <w:rPr>
          <w:noProof/>
        </w:rPr>
      </w:pPr>
      <w:bookmarkStart w:id="21" w:name="_Toc534726424"/>
      <w:r>
        <w:rPr>
          <w:noProof/>
        </w:rPr>
        <w:t>Χοίρειο κρέας, αυγά, πουλερικά, μελισσοκομία και λοιπά ζωικά προϊόντα</w:t>
      </w:r>
      <w:bookmarkEnd w:id="21"/>
      <w:r>
        <w:rPr>
          <w:noProof/>
        </w:rPr>
        <w:t xml:space="preserve"> </w:t>
      </w:r>
    </w:p>
    <w:p w:rsidR="0026148D" w:rsidRDefault="00695422">
      <w:pPr>
        <w:pStyle w:val="Text1"/>
        <w:ind w:left="851"/>
        <w:rPr>
          <w:noProof/>
        </w:rPr>
      </w:pPr>
      <w:r>
        <w:rPr>
          <w:noProof/>
        </w:rPr>
        <w:t xml:space="preserve">Κατά τα προηγούμενα έτη, το εν λόγω άρθρο του προϋπολογισμού περιελάμβανε δαπάνες για τη μελισσοκομία και μέτρα για τον τομέα του χοιρείου </w:t>
      </w:r>
      <w:r>
        <w:rPr>
          <w:noProof/>
        </w:rPr>
        <w:t>κρέατος. Το 2018 από το εν λόγω άρθρο χρηματοδοτούνται οι ενισχύσεις για τη μελισσοκομία και έκτακτα μέτρα στήριξης της αγοράς σχετικά με τις ασθένειες των ζώων. Ο ρυθμός εκτέλεσης του τρέχοντος έτους διαφέρει, επομένως, από την αναμενόμενη πορεία που υπολ</w:t>
      </w:r>
      <w:r>
        <w:rPr>
          <w:noProof/>
        </w:rPr>
        <w:t xml:space="preserve">ογίστηκε βάσει των ρυθμών εκτέλεσης των προηγούμενων ετών. Το σύνολο των δαπανών για το εν λόγω άρθρο του προϋπολογισμού είναι κατά 31,1 εκατ. EUR χαμηλότερo από ό, τι είχε αρχικά εγγραφεί στον προϋπολογισμό, κυρίως επειδή οι τελικές δαπάνες που δηλώθηκαν </w:t>
      </w:r>
      <w:r>
        <w:rPr>
          <w:noProof/>
        </w:rPr>
        <w:t>από τα κράτη μέλη για τα έκτακτα μέτρα στήριξης ήταν χαμηλότερες από τα εγγεγραμμένα στον προϋπολογισμό ποσά.</w:t>
      </w:r>
    </w:p>
    <w:p w:rsidR="0026148D" w:rsidRDefault="00695422">
      <w:pPr>
        <w:pStyle w:val="Heading3"/>
        <w:rPr>
          <w:noProof/>
        </w:rPr>
      </w:pPr>
      <w:bookmarkStart w:id="22" w:name="_Toc534726425"/>
      <w:r>
        <w:rPr>
          <w:noProof/>
        </w:rPr>
        <w:t>Προγράμματα σε σχολεία</w:t>
      </w:r>
      <w:bookmarkEnd w:id="22"/>
    </w:p>
    <w:p w:rsidR="0026148D" w:rsidRDefault="00695422">
      <w:pPr>
        <w:pStyle w:val="Text1"/>
        <w:ind w:left="851"/>
        <w:rPr>
          <w:noProof/>
        </w:rPr>
      </w:pPr>
      <w:r>
        <w:rPr>
          <w:noProof/>
        </w:rPr>
        <w:t>Από το σχολικό έτος 2017/2018 τα κατά το παρελθόν χωριστά προγράμματα διανομής φρούτων και γάλακτος στα σχολεία έχουν συγχω</w:t>
      </w:r>
      <w:r>
        <w:rPr>
          <w:noProof/>
        </w:rPr>
        <w:t>νευθεί. Η πορεία των δαπανών για το άρθρο 05 02 18 του προϋπολογισμού καθορίστηκε βάσει των ρυθμών εκτέλεσης των προγραμμάτων για τα σχολεία, τα οποία προηγουμένως ήταν χωριστά. Το σύνολο των δαπανών για το εν λόγω άρθρο του προϋπολογισμού στο τέλος του οι</w:t>
      </w:r>
      <w:r>
        <w:rPr>
          <w:noProof/>
        </w:rPr>
        <w:t>κονομικού έτους είναι κατά 32,2 εκατ. EUR χαμηλότερο από το προβλεπόμενο στον προϋπολογισμό.</w:t>
      </w:r>
    </w:p>
    <w:p w:rsidR="0026148D" w:rsidRDefault="00695422">
      <w:pPr>
        <w:pStyle w:val="Heading2"/>
        <w:rPr>
          <w:noProof/>
        </w:rPr>
      </w:pPr>
      <w:bookmarkStart w:id="23" w:name="_Toc534726426"/>
      <w:bookmarkStart w:id="24" w:name="_Toc244054022"/>
      <w:r>
        <w:rPr>
          <w:noProof/>
        </w:rPr>
        <w:t>Άμεσες ενισχύσεις</w:t>
      </w:r>
      <w:bookmarkEnd w:id="23"/>
      <w:r>
        <w:rPr>
          <w:noProof/>
        </w:rPr>
        <w:t xml:space="preserve"> </w:t>
      </w:r>
      <w:bookmarkEnd w:id="24"/>
    </w:p>
    <w:p w:rsidR="0026148D" w:rsidRDefault="00695422">
      <w:pPr>
        <w:spacing w:before="120" w:after="120" w:line="240" w:lineRule="auto"/>
        <w:ind w:left="850"/>
        <w:jc w:val="both"/>
        <w:rPr>
          <w:rFonts w:ascii="Times New Roman" w:eastAsia="Times New Roman" w:hAnsi="Times New Roman"/>
          <w:noProof/>
          <w:sz w:val="24"/>
          <w:szCs w:val="24"/>
        </w:rPr>
      </w:pPr>
      <w:bookmarkStart w:id="25" w:name="_Toc244054023"/>
      <w:r>
        <w:rPr>
          <w:rFonts w:ascii="Times New Roman" w:hAnsi="Times New Roman"/>
          <w:noProof/>
          <w:sz w:val="24"/>
          <w:szCs w:val="24"/>
        </w:rPr>
        <w:t>Οι δαπάνες για άμεσες ενισχύσεις ήταν κατά 845,6 εκατ. EUR υψηλότερες από τις πιστώσεις του προϋπολογισμού. Εάν ληφθούν υπόψη τα έσοδα ειδικού π</w:t>
      </w:r>
      <w:r>
        <w:rPr>
          <w:rFonts w:ascii="Times New Roman" w:hAnsi="Times New Roman"/>
          <w:noProof/>
          <w:sz w:val="24"/>
          <w:szCs w:val="24"/>
        </w:rPr>
        <w:t>ροορισμού του εν λόγω κεφαλαίου του προϋπολογισμού (βλ. επίσης σημείο 2 ανωτέρω), η εκτέλεση προσεγγίζει κατά πολύ τα όσα προβλέπονταν (-230.3 εκατ. EUR ή μόνο -0,6 %).</w:t>
      </w:r>
    </w:p>
    <w:p w:rsidR="0026148D" w:rsidRDefault="00695422">
      <w:pPr>
        <w:pStyle w:val="Heading3"/>
        <w:rPr>
          <w:noProof/>
        </w:rPr>
      </w:pPr>
      <w:bookmarkStart w:id="26" w:name="_Toc534726427"/>
      <w:r>
        <w:rPr>
          <w:noProof/>
        </w:rPr>
        <w:t>Αποσυνδεδεμένες άμεσες ενισχύσεις</w:t>
      </w:r>
      <w:bookmarkEnd w:id="26"/>
    </w:p>
    <w:p w:rsidR="0026148D" w:rsidRDefault="00695422">
      <w:pPr>
        <w:pStyle w:val="Text1"/>
        <w:rPr>
          <w:noProof/>
        </w:rPr>
      </w:pPr>
      <w:r>
        <w:rPr>
          <w:noProof/>
        </w:rPr>
        <w:t>Οι δηλωθείσες δαπάνες υπερβαίνουν τις πιστώσεις που έ</w:t>
      </w:r>
      <w:r>
        <w:rPr>
          <w:noProof/>
        </w:rPr>
        <w:t>χουν εγγραφεί στον προϋπολογισμό κατά 995,7 εκατ. EUR. Εάν ληφθούν υπόψη τα έσοδα ειδικού προορισμού του εν λόγω άρθρου (1 075,9 εκατ. EUR), η εκτέλεση είναι σχεδόν ίση με ό, τι είχε εγγραφεί στον προϋπολογισμό (-80,2 εκατ. EUR)· βλ. την υποσημείωση (*) στ</w:t>
      </w:r>
      <w:r>
        <w:rPr>
          <w:noProof/>
        </w:rPr>
        <w:t>ο παράρτημα.</w:t>
      </w:r>
    </w:p>
    <w:p w:rsidR="0026148D" w:rsidRDefault="00695422">
      <w:pPr>
        <w:pStyle w:val="Heading3"/>
        <w:rPr>
          <w:noProof/>
        </w:rPr>
      </w:pPr>
      <w:bookmarkStart w:id="27" w:name="_Toc525734915"/>
      <w:bookmarkStart w:id="28" w:name="_Toc525736646"/>
      <w:bookmarkStart w:id="29" w:name="_Toc526175174"/>
      <w:bookmarkStart w:id="30" w:name="_Toc525734916"/>
      <w:bookmarkStart w:id="31" w:name="_Toc525736647"/>
      <w:bookmarkStart w:id="32" w:name="_Toc526175175"/>
      <w:bookmarkStart w:id="33" w:name="_Toc525734917"/>
      <w:bookmarkStart w:id="34" w:name="_Toc525736648"/>
      <w:bookmarkStart w:id="35" w:name="_Toc526175176"/>
      <w:bookmarkStart w:id="36" w:name="_Toc534726428"/>
      <w:bookmarkEnd w:id="27"/>
      <w:bookmarkEnd w:id="28"/>
      <w:bookmarkEnd w:id="29"/>
      <w:bookmarkEnd w:id="30"/>
      <w:bookmarkEnd w:id="31"/>
      <w:bookmarkEnd w:id="32"/>
      <w:bookmarkEnd w:id="33"/>
      <w:bookmarkEnd w:id="34"/>
      <w:bookmarkEnd w:id="35"/>
      <w:r>
        <w:rPr>
          <w:noProof/>
        </w:rPr>
        <w:t>Άλλες άμεσες ενισχύσεις</w:t>
      </w:r>
      <w:bookmarkEnd w:id="36"/>
    </w:p>
    <w:p w:rsidR="0026148D" w:rsidRDefault="00695422">
      <w:pPr>
        <w:spacing w:before="120" w:after="120" w:line="240" w:lineRule="auto"/>
        <w:ind w:left="850"/>
        <w:jc w:val="both"/>
        <w:rPr>
          <w:rFonts w:ascii="Times New Roman" w:eastAsia="Times New Roman" w:hAnsi="Times New Roman"/>
          <w:i/>
          <w:noProof/>
          <w:sz w:val="24"/>
          <w:szCs w:val="24"/>
        </w:rPr>
      </w:pPr>
      <w:bookmarkStart w:id="37" w:name="_Toc244054027"/>
      <w:bookmarkEnd w:id="25"/>
      <w:r>
        <w:rPr>
          <w:rFonts w:ascii="Times New Roman" w:hAnsi="Times New Roman"/>
          <w:noProof/>
          <w:sz w:val="24"/>
          <w:szCs w:val="24"/>
        </w:rPr>
        <w:t>Οι τελικές δαπάνες για «Άλλες άμεσες ενισχύσεις» προσεγγίζουν την αναμενόμενη πορεία (-150,0 εκατ. EUR). Ειδικότερα, για το καθεστώς μικροκαλλιεργητών, οι πληρωμές ήταν χαμηλότερες από τις αναμενόμενες. Από την άλλη πλε</w:t>
      </w:r>
      <w:r>
        <w:rPr>
          <w:rFonts w:ascii="Times New Roman" w:hAnsi="Times New Roman"/>
          <w:noProof/>
          <w:sz w:val="24"/>
          <w:szCs w:val="24"/>
        </w:rPr>
        <w:t>υρά, οι δαπάνες για το καθεστώς προαιρετικής συνδεδεμένης στήριξης ήταν υψηλότερες από ό, τι προβλεπόταν.</w:t>
      </w:r>
    </w:p>
    <w:p w:rsidR="0026148D" w:rsidRDefault="00695422">
      <w:pPr>
        <w:pStyle w:val="Heading2"/>
        <w:rPr>
          <w:noProof/>
        </w:rPr>
      </w:pPr>
      <w:bookmarkStart w:id="38" w:name="_Toc534726429"/>
      <w:r>
        <w:rPr>
          <w:noProof/>
        </w:rPr>
        <w:t>Έλεγχος των γεωργικών δαπανών</w:t>
      </w:r>
      <w:bookmarkEnd w:id="38"/>
    </w:p>
    <w:p w:rsidR="0026148D" w:rsidRDefault="00695422">
      <w:pPr>
        <w:pStyle w:val="Text1"/>
        <w:rPr>
          <w:noProof/>
        </w:rPr>
      </w:pPr>
      <w:r>
        <w:rPr>
          <w:noProof/>
        </w:rPr>
        <w:t xml:space="preserve">Για το κεφάλαιο του προϋπολογισμού 05 07, υπάρχει υποαπορρόφηση ύψους -44,9 εκατ. EUR, κυρίως επειδή, βάσει της γραμμής </w:t>
      </w:r>
      <w:r>
        <w:rPr>
          <w:noProof/>
        </w:rPr>
        <w:t xml:space="preserve">του προϋπολογισμού 05 07 02 (επίλυση διαφορών), σημαντικό ποσό σχετικά με την υπόθεση C585/15 «Tirlemontoise» του Ευρωπαϊκού Δικαστηρίου αναμένεται να δηλωθεί το 2019 αντί του 2018.  </w:t>
      </w:r>
    </w:p>
    <w:p w:rsidR="0026148D" w:rsidRDefault="00695422">
      <w:pPr>
        <w:pStyle w:val="Heading1"/>
        <w:rPr>
          <w:noProof/>
        </w:rPr>
      </w:pPr>
      <w:bookmarkStart w:id="39" w:name="_Toc413145210"/>
      <w:bookmarkStart w:id="40" w:name="_Toc534726430"/>
      <w:r>
        <w:rPr>
          <w:noProof/>
        </w:rPr>
        <w:t>Εκτέλεση του λογαριασμού εσόδων ειδικού προορισμού του ΕΓΤΕ</w:t>
      </w:r>
      <w:bookmarkEnd w:id="37"/>
      <w:bookmarkEnd w:id="39"/>
      <w:bookmarkEnd w:id="40"/>
    </w:p>
    <w:p w:rsidR="0026148D" w:rsidRDefault="00695422">
      <w:pPr>
        <w:spacing w:before="120" w:after="120" w:line="240" w:lineRule="auto"/>
        <w:ind w:left="850"/>
        <w:jc w:val="both"/>
        <w:rPr>
          <w:rFonts w:ascii="Times New Roman" w:hAnsi="Times New Roman"/>
          <w:noProof/>
          <w:sz w:val="24"/>
          <w:szCs w:val="24"/>
        </w:rPr>
      </w:pPr>
      <w:bookmarkStart w:id="41" w:name="_Toc244054028"/>
      <w:r>
        <w:rPr>
          <w:rFonts w:ascii="Times New Roman" w:hAnsi="Times New Roman"/>
          <w:noProof/>
          <w:sz w:val="24"/>
          <w:szCs w:val="24"/>
        </w:rPr>
        <w:t>Το παράρτημα</w:t>
      </w:r>
      <w:r>
        <w:rPr>
          <w:rFonts w:ascii="Times New Roman" w:hAnsi="Times New Roman"/>
          <w:noProof/>
          <w:sz w:val="24"/>
          <w:szCs w:val="24"/>
        </w:rPr>
        <w:t xml:space="preserve"> δείχνει ότι το 2018 τα συνολικά διαθέσιμα έσοδα ειδικού προορισμού ανέρχονται σε 1 598,2 εκατ. EUR.</w:t>
      </w:r>
    </w:p>
    <w:p w:rsidR="0026148D" w:rsidRDefault="00695422">
      <w:pPr>
        <w:spacing w:before="120" w:after="120" w:line="240" w:lineRule="auto"/>
        <w:ind w:left="850"/>
        <w:jc w:val="both"/>
        <w:rPr>
          <w:rFonts w:ascii="Times New Roman" w:hAnsi="Times New Roman"/>
          <w:noProof/>
          <w:sz w:val="24"/>
          <w:szCs w:val="24"/>
        </w:rPr>
      </w:pPr>
      <w:r>
        <w:rPr>
          <w:rFonts w:ascii="Times New Roman" w:hAnsi="Times New Roman"/>
          <w:noProof/>
          <w:sz w:val="24"/>
          <w:szCs w:val="24"/>
        </w:rPr>
        <w:t>Σε σύγκριση με τα εκτιμώμενα ποσά, τα έσοδα από αποφάσεις εκκαθάρισης λογαριασμών είναι κατά 125,5 εκατ. EUR υψηλότερα, ενώ για τις παρατυπίες το τελικό πο</w:t>
      </w:r>
      <w:r>
        <w:rPr>
          <w:rFonts w:ascii="Times New Roman" w:hAnsi="Times New Roman"/>
          <w:noProof/>
          <w:sz w:val="24"/>
          <w:szCs w:val="24"/>
        </w:rPr>
        <w:t>σό ανέρχεται περίπου στο αναμενόμενο (-0,4 εκατ. EUR). Ορισμένα από τα εναπομένοντα έσοδα από την καταβαλλόμενη από τους παραγωγούς γάλακτος υπερεισφορά έχουν επίσης εγγραφεί (3,9 εκατ. EUR).</w:t>
      </w:r>
    </w:p>
    <w:p w:rsidR="0026148D" w:rsidRDefault="00695422">
      <w:pPr>
        <w:spacing w:before="120" w:after="120" w:line="240" w:lineRule="auto"/>
        <w:ind w:left="850"/>
        <w:jc w:val="both"/>
        <w:rPr>
          <w:noProof/>
        </w:rPr>
      </w:pPr>
      <w:r>
        <w:rPr>
          <w:rFonts w:ascii="Times New Roman" w:hAnsi="Times New Roman"/>
          <w:noProof/>
          <w:sz w:val="24"/>
          <w:szCs w:val="24"/>
        </w:rPr>
        <w:t>Τα υπόλοιπα των εσόδων που δεν χρησιμοποιήθηκαν θα μεταφερθούν σ</w:t>
      </w:r>
      <w:r>
        <w:rPr>
          <w:rFonts w:ascii="Times New Roman" w:hAnsi="Times New Roman"/>
          <w:noProof/>
          <w:sz w:val="24"/>
          <w:szCs w:val="24"/>
        </w:rPr>
        <w:t xml:space="preserve">το οικονομικό έτος 2019 για να συμβάλουν στη χρηματοδότηση των δαπανών του ΕΓΤΕ για το εν λόγω έτος. </w:t>
      </w:r>
    </w:p>
    <w:p w:rsidR="0026148D" w:rsidRDefault="00695422">
      <w:pPr>
        <w:pStyle w:val="Heading1"/>
        <w:rPr>
          <w:noProof/>
        </w:rPr>
      </w:pPr>
      <w:bookmarkStart w:id="42" w:name="_Toc244054030"/>
      <w:bookmarkStart w:id="43" w:name="_Toc413145211"/>
      <w:bookmarkStart w:id="44" w:name="_Toc534726431"/>
      <w:bookmarkEnd w:id="41"/>
      <w:r>
        <w:rPr>
          <w:noProof/>
        </w:rPr>
        <w:t>Συμπεράσματα</w:t>
      </w:r>
      <w:bookmarkEnd w:id="42"/>
      <w:bookmarkEnd w:id="43"/>
      <w:bookmarkEnd w:id="44"/>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Οι προσωρινές δαπάνες του προϋπολογισμού του ΕΓΤΕ 2018, συμπεριλαμβανομένων των εκτιμώμενων δαπανών για δράσεις στο πλαίσιο της άμεσης διαχεί</w:t>
      </w:r>
      <w:r>
        <w:rPr>
          <w:rFonts w:ascii="Times New Roman" w:hAnsi="Times New Roman"/>
          <w:noProof/>
          <w:sz w:val="24"/>
          <w:szCs w:val="24"/>
        </w:rPr>
        <w:t>ρισης από την Επιτροπή έως τις 31 Δεκεμβρίου 2018, υποδηλώνουν υπέρβαση εκτέλεσης ύψους 1 152 εκατ. EUR σε σύγκριση με τις εγκριθείσες πιστώσεις του προϋπολογισμού. Η εν λόγω υπέρβαση εκτέλεσης καλύπτεται από τα διαθέσιμα έσοδα ειδικού προορισμού ύψους 1 5</w:t>
      </w:r>
      <w:r>
        <w:rPr>
          <w:rFonts w:ascii="Times New Roman" w:hAnsi="Times New Roman"/>
          <w:noProof/>
          <w:sz w:val="24"/>
          <w:szCs w:val="24"/>
        </w:rPr>
        <w:t>98 εκατ. EUR.</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Το αποθεματικό κρίσης δεν έχει κινητοποιηθεί το 2018 (459,5 εκατ. EUR). Επομένως, το ποσό της δημοσιονομικής πειθαρχίας που εφαρμόστηκε το 2018 θα είναι διαθέσιμo στο πλαίσιο της μεταφοράς πιστώσεων στο 2019 για την επιστροφή των άμεσων ενισχ</w:t>
      </w:r>
      <w:r>
        <w:rPr>
          <w:rFonts w:ascii="Times New Roman" w:hAnsi="Times New Roman"/>
          <w:noProof/>
          <w:sz w:val="24"/>
          <w:szCs w:val="24"/>
        </w:rPr>
        <w:t>ύσεων στους δικαιούχους.</w:t>
      </w:r>
    </w:p>
    <w:p w:rsidR="0026148D" w:rsidRDefault="00695422">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Ορισμένες προσαρμογές του τέλους του έτους και μεταφορές πιστώσεων που δεν έχουν πραγματοποιηθεί ακόμη θα επηρεάσουν ελαφρώς το τελικό υπόλοιπο των εσόδων ειδικού προορισμού που θα μεταφερθούν στον προϋπολογισμό του 2019. Στο πλαίσ</w:t>
      </w:r>
      <w:r>
        <w:rPr>
          <w:rFonts w:ascii="Times New Roman" w:hAnsi="Times New Roman"/>
          <w:noProof/>
          <w:sz w:val="24"/>
          <w:szCs w:val="24"/>
        </w:rPr>
        <w:t>ιο της διαδικασίας συνδιαλλαγής σχετικά με τον προϋπολογισμό του 2019, το τελικό υπόλοιπο προς μεταφορά στο έτος 2019 υπολογίστηκε κατ’ εκτίμηση σε 444 εκατ. EUR.</w:t>
      </w:r>
    </w:p>
    <w:p w:rsidR="0026148D" w:rsidRDefault="0026148D">
      <w:pPr>
        <w:spacing w:before="120" w:after="120" w:line="240" w:lineRule="auto"/>
        <w:ind w:left="850"/>
        <w:jc w:val="both"/>
        <w:rPr>
          <w:rFonts w:ascii="Times New Roman" w:eastAsia="Times New Roman" w:hAnsi="Times New Roman"/>
          <w:i/>
          <w:noProof/>
          <w:sz w:val="24"/>
          <w:szCs w:val="24"/>
        </w:rPr>
      </w:pPr>
    </w:p>
    <w:p w:rsidR="0026148D" w:rsidRDefault="0026148D">
      <w:pPr>
        <w:spacing w:before="120" w:after="120" w:line="240" w:lineRule="auto"/>
        <w:ind w:left="850"/>
        <w:jc w:val="both"/>
        <w:rPr>
          <w:noProof/>
        </w:rPr>
      </w:pPr>
    </w:p>
    <w:sectPr w:rsidR="0026148D">
      <w:headerReference w:type="even" r:id="rId21"/>
      <w:headerReference w:type="default" r:id="rId22"/>
      <w:footerReference w:type="even" r:id="rId23"/>
      <w:footerReference w:type="default" r:id="rId24"/>
      <w:headerReference w:type="first" r:id="rId25"/>
      <w:footerReference w:type="first" r:id="rId26"/>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8D" w:rsidRDefault="00695422">
      <w:pPr>
        <w:spacing w:after="0" w:line="240" w:lineRule="auto"/>
      </w:pPr>
      <w:r>
        <w:separator/>
      </w:r>
    </w:p>
  </w:endnote>
  <w:endnote w:type="continuationSeparator" w:id="0">
    <w:p w:rsidR="0026148D" w:rsidRDefault="0069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695422">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695422">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rsidR="0026148D" w:rsidRDefault="002614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695422">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4</w:t>
    </w:r>
    <w:r>
      <w:rPr>
        <w:szCs w:val="24"/>
      </w:rPr>
      <w:fldChar w:fldCharType="end"/>
    </w:r>
  </w:p>
  <w:p w:rsidR="0026148D" w:rsidRDefault="002614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8D" w:rsidRDefault="00695422">
      <w:pPr>
        <w:spacing w:after="0" w:line="240" w:lineRule="auto"/>
      </w:pPr>
      <w:r>
        <w:separator/>
      </w:r>
    </w:p>
  </w:footnote>
  <w:footnote w:type="continuationSeparator" w:id="0">
    <w:p w:rsidR="0026148D" w:rsidRDefault="00695422">
      <w:pPr>
        <w:spacing w:after="0" w:line="240" w:lineRule="auto"/>
      </w:pPr>
      <w:r>
        <w:continuationSeparator/>
      </w:r>
    </w:p>
  </w:footnote>
  <w:footnote w:id="1">
    <w:p w:rsidR="0026148D" w:rsidRDefault="00695422">
      <w:pPr>
        <w:pStyle w:val="FootnoteText"/>
        <w:spacing w:after="60"/>
        <w:ind w:left="851" w:hanging="851"/>
        <w:jc w:val="both"/>
        <w:rPr>
          <w:rFonts w:ascii="Times New Roman" w:hAnsi="Times New Roman"/>
        </w:rPr>
      </w:pPr>
      <w:r>
        <w:rPr>
          <w:rStyle w:val="FootnoteReference"/>
          <w:rFonts w:ascii="Times New Roman" w:hAnsi="Times New Roman"/>
        </w:rPr>
        <w:footnoteRef/>
      </w:r>
      <w:r>
        <w:rPr>
          <w:rFonts w:ascii="Times New Roman" w:hAnsi="Times New Roman"/>
        </w:rPr>
        <w:tab/>
      </w:r>
      <w:r>
        <w:rPr>
          <w:rFonts w:ascii="Times New Roman" w:hAnsi="Times New Roman"/>
        </w:rPr>
        <w:t>Το άρθρο 12 παράγραφος 4 σημείο β) του κανονισμού (ΕΕ, Ευρατόμ) αριθ. 2018/1046 του Ευρωπαϊκού Κοινοβουλίου και του Συμβουλίου σχετικά με τους δημοσιονομικούς κανόνες που εφαρμόζονται στον γενικό προϋπολογισμό της Ένωσης ορίζει ότι πιστώσεις που αντιστοιχο</w:t>
      </w:r>
      <w:r>
        <w:rPr>
          <w:rFonts w:ascii="Times New Roman" w:hAnsi="Times New Roman"/>
        </w:rPr>
        <w:t>ύν σε εσωτερικά έσοδα ειδικού προορισμού μπορούν να μεταφέρονται μόνο στο επόμενο οικονομικό έτος. Ως εκ τούτου, για λόγους χρηστής δημοσιονομικής διαχείρισης, τα εν λόγω έσοδα ειδικού προορισμού χρησιμοποιούνται γενικά πριν από τις εγκριθείσες πιστώσεις τ</w:t>
      </w:r>
      <w:r>
        <w:rPr>
          <w:rFonts w:ascii="Times New Roman" w:hAnsi="Times New Roman"/>
        </w:rPr>
        <w:t xml:space="preserve">ου σχετικού άρθρου του προϋπολογισμού.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8D" w:rsidRDefault="0026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15:restartNumberingAfterBreak="0">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15:restartNumberingAfterBreak="0">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B877CBC-FF54-4840-A091-A593C6ACDBD1"/>
    <w:docVar w:name="LW_COVERPAGE_TYPE" w:val="1"/>
    <w:docVar w:name="LW_CROSSREFERENCE" w:val="&lt;UNUSED&gt;"/>
    <w:docVar w:name="LW_DocType" w:val="NORMAL"/>
    <w:docVar w:name="LW_EMISSION" w:val="1.2.2019"/>
    <w:docVar w:name="LW_EMISSION_ISODATE" w:val="2019-02-01"/>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963?\u967?\u949?\u964?\u953?\u954?\u940? \u956?\u949? \u964?\u953?\u962? \u948?\u945?\u960?\u940?\u957?\u949?\u962? \u964?\u959?\u965? \u917?\u915?\u932?\u917?_x000d__x000d__x000d__x000d__x000b__x000d__x000b__x000b_\u931?\u973?\u963?\u964?\u951?\u956?\u945? \u941?\u947?\u954?\u945?\u953?\u961?\u951?\u962? \u960?\u961?\u959?\u949?\u953?\u948?\u959?\u960?\u959?\u943?\u951?\u963?\u951?\u962? \u945?\u961?\u953?\u952?. 11-12/2018_x000d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w:rsids>
    <w:rsidRoot w:val="0026148D"/>
    <w:rsid w:val="0026148D"/>
    <w:rsid w:val="0069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5:docId w15:val="{9A8C0C4D-0118-46D1-8C3F-15BDDBE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9EDD-0C0F-4B6B-803B-054FDB3D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1953</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KONONIUK Agnieszka (SG)</cp:lastModifiedBy>
  <cp:revision>29</cp:revision>
  <cp:lastPrinted>2018-11-22T13:29:00Z</cp:lastPrinted>
  <dcterms:created xsi:type="dcterms:W3CDTF">2018-11-22T15:08:00Z</dcterms:created>
  <dcterms:modified xsi:type="dcterms:W3CDTF">2019-02-01T14:38:00Z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