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6C" w:rsidRDefault="00BB2B8B">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D2B5F97-C49D-4F9B-A9C5-9FA511B8DB85" style="width:450.75pt;height:361.5pt">
            <v:imagedata r:id="rId8" o:title=""/>
          </v:shape>
        </w:pict>
      </w:r>
      <w:bookmarkEnd w:id="1"/>
    </w:p>
    <w:bookmarkEnd w:id="0"/>
    <w:p w:rsidR="00A8726C" w:rsidRDefault="00A8726C">
      <w:pPr>
        <w:rPr>
          <w:noProof/>
        </w:rPr>
        <w:sectPr w:rsidR="00A8726C">
          <w:headerReference w:type="even" r:id="rId9"/>
          <w:headerReference w:type="default" r:id="rId10"/>
          <w:footerReference w:type="even" r:id="rId11"/>
          <w:footerReference w:type="default" r:id="rId12"/>
          <w:headerReference w:type="first" r:id="rId13"/>
          <w:footerReference w:type="first" r:id="rId14"/>
          <w:pgSz w:w="11907" w:h="16840"/>
          <w:pgMar w:top="1134" w:right="1417" w:bottom="1134" w:left="1417" w:header="709" w:footer="709" w:gutter="0"/>
          <w:pgNumType w:start="1"/>
          <w:cols w:space="720"/>
          <w:docGrid w:linePitch="299"/>
        </w:sectPr>
      </w:pPr>
    </w:p>
    <w:p w:rsidR="00A8726C" w:rsidRDefault="00A8726C">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rsidR="00A8726C" w:rsidRDefault="00BB2B8B">
          <w:pPr>
            <w:pStyle w:val="TOCHeading"/>
            <w:rPr>
              <w:noProof/>
            </w:rPr>
          </w:pPr>
          <w:r>
            <w:rPr>
              <w:noProof/>
            </w:rPr>
            <w:t>Съдържание</w:t>
          </w:r>
        </w:p>
        <w:p w:rsidR="00A8726C" w:rsidRDefault="00BB2B8B">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34729255"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Бюджетната процедура за ЕФГЗ за 2018 г.</w:t>
            </w:r>
            <w:r>
              <w:rPr>
                <w:noProof/>
                <w:webHidden/>
              </w:rPr>
              <w:tab/>
            </w:r>
            <w:r>
              <w:rPr>
                <w:noProof/>
                <w:webHidden/>
              </w:rPr>
              <w:fldChar w:fldCharType="begin"/>
            </w:r>
            <w:r>
              <w:rPr>
                <w:noProof/>
                <w:webHidden/>
              </w:rPr>
              <w:instrText xml:space="preserve"> PAGEREF _Toc534729255 \h </w:instrText>
            </w:r>
            <w:r>
              <w:rPr>
                <w:noProof/>
                <w:webHidden/>
              </w:rPr>
            </w:r>
            <w:r>
              <w:rPr>
                <w:noProof/>
                <w:webHidden/>
              </w:rPr>
              <w:fldChar w:fldCharType="separate"/>
            </w:r>
            <w:r>
              <w:rPr>
                <w:noProof/>
                <w:webHidden/>
              </w:rPr>
              <w:t>2</w:t>
            </w:r>
            <w:r>
              <w:rPr>
                <w:noProof/>
                <w:webHidden/>
              </w:rPr>
              <w:fldChar w:fldCharType="end"/>
            </w:r>
          </w:hyperlink>
        </w:p>
        <w:p w:rsidR="00A8726C" w:rsidRDefault="00BB2B8B">
          <w:pPr>
            <w:pStyle w:val="TOC1"/>
            <w:rPr>
              <w:rFonts w:asciiTheme="minorHAnsi" w:eastAsiaTheme="minorEastAsia" w:hAnsiTheme="minorHAnsi" w:cstheme="minorBidi"/>
              <w:noProof/>
              <w:sz w:val="22"/>
              <w:szCs w:val="22"/>
              <w:lang w:val="en-GB" w:eastAsia="en-GB" w:bidi="ar-SA"/>
            </w:rPr>
          </w:pPr>
          <w:hyperlink w:anchor="_Toc534729256"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Целеви приходи за ЕФГЗ</w:t>
            </w:r>
            <w:r>
              <w:rPr>
                <w:noProof/>
                <w:webHidden/>
              </w:rPr>
              <w:tab/>
            </w:r>
            <w:r>
              <w:rPr>
                <w:noProof/>
                <w:webHidden/>
              </w:rPr>
              <w:fldChar w:fldCharType="begin"/>
            </w:r>
            <w:r>
              <w:rPr>
                <w:noProof/>
                <w:webHidden/>
              </w:rPr>
              <w:instrText xml:space="preserve"> PAGEREF _Toc534729256 \h </w:instrText>
            </w:r>
            <w:r>
              <w:rPr>
                <w:noProof/>
                <w:webHidden/>
              </w:rPr>
            </w:r>
            <w:r>
              <w:rPr>
                <w:noProof/>
                <w:webHidden/>
              </w:rPr>
              <w:fldChar w:fldCharType="separate"/>
            </w:r>
            <w:r>
              <w:rPr>
                <w:noProof/>
                <w:webHidden/>
              </w:rPr>
              <w:t>2</w:t>
            </w:r>
            <w:r>
              <w:rPr>
                <w:noProof/>
                <w:webHidden/>
              </w:rPr>
              <w:fldChar w:fldCharType="end"/>
            </w:r>
          </w:hyperlink>
        </w:p>
        <w:p w:rsidR="00A8726C" w:rsidRDefault="00BB2B8B">
          <w:pPr>
            <w:pStyle w:val="TOC1"/>
            <w:rPr>
              <w:rFonts w:asciiTheme="minorHAnsi" w:eastAsiaTheme="minorEastAsia" w:hAnsiTheme="minorHAnsi" w:cstheme="minorBidi"/>
              <w:noProof/>
              <w:sz w:val="22"/>
              <w:szCs w:val="22"/>
              <w:lang w:val="en-GB" w:eastAsia="en-GB" w:bidi="ar-SA"/>
            </w:rPr>
          </w:pPr>
          <w:hyperlink w:anchor="_Toc534729257"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Бележки относно предварителните данни за изпълнението на бюджета на ЕФГЗ за 2018 г.</w:t>
            </w:r>
            <w:r>
              <w:rPr>
                <w:noProof/>
                <w:webHidden/>
              </w:rPr>
              <w:tab/>
            </w:r>
            <w:r>
              <w:rPr>
                <w:noProof/>
                <w:webHidden/>
              </w:rPr>
              <w:fldChar w:fldCharType="begin"/>
            </w:r>
            <w:r>
              <w:rPr>
                <w:noProof/>
                <w:webHidden/>
              </w:rPr>
              <w:instrText xml:space="preserve"> PAGEREF _Toc534729257 \h </w:instrText>
            </w:r>
            <w:r>
              <w:rPr>
                <w:noProof/>
                <w:webHidden/>
              </w:rPr>
            </w:r>
            <w:r>
              <w:rPr>
                <w:noProof/>
                <w:webHidden/>
              </w:rPr>
              <w:fldChar w:fldCharType="separate"/>
            </w:r>
            <w:r>
              <w:rPr>
                <w:noProof/>
                <w:webHidden/>
              </w:rPr>
              <w:t>3</w:t>
            </w:r>
            <w:r>
              <w:rPr>
                <w:noProof/>
                <w:webHidden/>
              </w:rPr>
              <w:fldChar w:fldCharType="end"/>
            </w:r>
          </w:hyperlink>
        </w:p>
        <w:p w:rsidR="00A8726C" w:rsidRDefault="00BB2B8B">
          <w:pPr>
            <w:pStyle w:val="TOC2"/>
            <w:tabs>
              <w:tab w:val="left" w:pos="850"/>
              <w:tab w:val="right" w:leader="dot" w:pos="9039"/>
            </w:tabs>
            <w:rPr>
              <w:rFonts w:asciiTheme="minorHAnsi" w:eastAsiaTheme="minorEastAsia" w:hAnsiTheme="minorHAnsi" w:cstheme="minorBidi"/>
              <w:noProof/>
              <w:lang w:val="en-GB" w:eastAsia="en-GB" w:bidi="ar-SA"/>
            </w:rPr>
          </w:pPr>
          <w:hyperlink w:anchor="_Toc534729258" w:history="1">
            <w:r>
              <w:rPr>
                <w:rStyle w:val="Hyperlink"/>
                <w:noProof/>
              </w:rPr>
              <w:t>3.1.</w:t>
            </w:r>
            <w:r>
              <w:rPr>
                <w:rFonts w:asciiTheme="minorHAnsi" w:eastAsiaTheme="minorEastAsia" w:hAnsiTheme="minorHAnsi" w:cstheme="minorBidi"/>
                <w:noProof/>
                <w:lang w:val="en-GB" w:eastAsia="en-GB" w:bidi="ar-SA"/>
              </w:rPr>
              <w:tab/>
            </w:r>
            <w:r>
              <w:rPr>
                <w:rStyle w:val="Hyperlink"/>
                <w:noProof/>
              </w:rPr>
              <w:t>Пазарни мерки</w:t>
            </w:r>
            <w:r>
              <w:rPr>
                <w:noProof/>
                <w:webHidden/>
              </w:rPr>
              <w:tab/>
            </w:r>
            <w:r>
              <w:rPr>
                <w:noProof/>
                <w:webHidden/>
              </w:rPr>
              <w:fldChar w:fldCharType="begin"/>
            </w:r>
            <w:r>
              <w:rPr>
                <w:noProof/>
                <w:webHidden/>
              </w:rPr>
              <w:instrText xml:space="preserve"> PAGEREF _Toc534729258 \h</w:instrText>
            </w:r>
            <w:r>
              <w:rPr>
                <w:noProof/>
                <w:webHidden/>
              </w:rPr>
              <w:instrText xml:space="preserve">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59" w:history="1">
            <w:r>
              <w:rPr>
                <w:rStyle w:val="Hyperlink"/>
                <w:noProof/>
              </w:rPr>
              <w:t>3.1.1.</w:t>
            </w:r>
            <w:r>
              <w:rPr>
                <w:rFonts w:asciiTheme="minorHAnsi" w:eastAsiaTheme="minorEastAsia" w:hAnsiTheme="minorHAnsi" w:cstheme="minorBidi"/>
                <w:noProof/>
                <w:lang w:val="en-GB" w:eastAsia="en-GB" w:bidi="ar-SA"/>
              </w:rPr>
              <w:tab/>
            </w:r>
            <w:r>
              <w:rPr>
                <w:rStyle w:val="Hyperlink"/>
                <w:noProof/>
              </w:rPr>
              <w:t>Плодове и зеленчуци</w:t>
            </w:r>
            <w:r>
              <w:rPr>
                <w:noProof/>
                <w:webHidden/>
              </w:rPr>
              <w:tab/>
            </w:r>
            <w:r>
              <w:rPr>
                <w:noProof/>
                <w:webHidden/>
              </w:rPr>
              <w:fldChar w:fldCharType="begin"/>
            </w:r>
            <w:r>
              <w:rPr>
                <w:noProof/>
                <w:webHidden/>
              </w:rPr>
              <w:instrText xml:space="preserve"> PAGEREF _Toc534729259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0" w:history="1">
            <w:r>
              <w:rPr>
                <w:rStyle w:val="Hyperlink"/>
                <w:noProof/>
              </w:rPr>
              <w:t>3.1.2.</w:t>
            </w:r>
            <w:r>
              <w:rPr>
                <w:rFonts w:asciiTheme="minorHAnsi" w:eastAsiaTheme="minorEastAsia" w:hAnsiTheme="minorHAnsi" w:cstheme="minorBidi"/>
                <w:noProof/>
                <w:lang w:val="en-GB" w:eastAsia="en-GB" w:bidi="ar-SA"/>
              </w:rPr>
              <w:tab/>
            </w:r>
            <w:r>
              <w:rPr>
                <w:rStyle w:val="Hyperlink"/>
                <w:noProof/>
              </w:rPr>
              <w:t>Продукти от лозаро-винарския сектор</w:t>
            </w:r>
            <w:r>
              <w:rPr>
                <w:noProof/>
                <w:webHidden/>
              </w:rPr>
              <w:tab/>
            </w:r>
            <w:r>
              <w:rPr>
                <w:noProof/>
                <w:webHidden/>
              </w:rPr>
              <w:fldChar w:fldCharType="begin"/>
            </w:r>
            <w:r>
              <w:rPr>
                <w:noProof/>
                <w:webHidden/>
              </w:rPr>
              <w:instrText xml:space="preserve"> PAGEREF _Toc534729260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1" w:history="1">
            <w:r>
              <w:rPr>
                <w:rStyle w:val="Hyperlink"/>
                <w:noProof/>
              </w:rPr>
              <w:t>3.1.3.</w:t>
            </w:r>
            <w:r>
              <w:rPr>
                <w:rFonts w:asciiTheme="minorHAnsi" w:eastAsiaTheme="minorEastAsia" w:hAnsiTheme="minorHAnsi" w:cstheme="minorBidi"/>
                <w:noProof/>
                <w:lang w:val="en-GB" w:eastAsia="en-GB" w:bidi="ar-SA"/>
              </w:rPr>
              <w:tab/>
            </w:r>
            <w:r>
              <w:rPr>
                <w:rStyle w:val="Hyperlink"/>
                <w:noProof/>
              </w:rPr>
              <w:t>Мляко и млечни продукти</w:t>
            </w:r>
            <w:r>
              <w:rPr>
                <w:noProof/>
                <w:webHidden/>
              </w:rPr>
              <w:tab/>
            </w:r>
            <w:r>
              <w:rPr>
                <w:noProof/>
                <w:webHidden/>
              </w:rPr>
              <w:fldChar w:fldCharType="begin"/>
            </w:r>
            <w:r>
              <w:rPr>
                <w:noProof/>
                <w:webHidden/>
              </w:rPr>
              <w:instrText xml:space="preserve"> PAGEREF _Toc534729261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2" w:history="1">
            <w:r>
              <w:rPr>
                <w:rStyle w:val="Hyperlink"/>
                <w:noProof/>
              </w:rPr>
              <w:t>3.1.4.</w:t>
            </w:r>
            <w:r>
              <w:rPr>
                <w:rFonts w:asciiTheme="minorHAnsi" w:eastAsiaTheme="minorEastAsia" w:hAnsiTheme="minorHAnsi" w:cstheme="minorBidi"/>
                <w:noProof/>
                <w:lang w:val="en-GB" w:eastAsia="en-GB" w:bidi="ar-SA"/>
              </w:rPr>
              <w:tab/>
            </w:r>
            <w:r>
              <w:rPr>
                <w:rStyle w:val="Hyperlink"/>
                <w:noProof/>
              </w:rPr>
              <w:t>Свинско месо, яйца и птиче месо, пчеларство и други животински продукти</w:t>
            </w:r>
            <w:r>
              <w:rPr>
                <w:noProof/>
                <w:webHidden/>
              </w:rPr>
              <w:tab/>
            </w:r>
            <w:r>
              <w:rPr>
                <w:noProof/>
                <w:webHidden/>
              </w:rPr>
              <w:fldChar w:fldCharType="begin"/>
            </w:r>
            <w:r>
              <w:rPr>
                <w:noProof/>
                <w:webHidden/>
              </w:rPr>
              <w:instrText xml:space="preserve"> PAGEREF _Toc534729262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3" w:history="1">
            <w:r>
              <w:rPr>
                <w:rStyle w:val="Hyperlink"/>
                <w:noProof/>
              </w:rPr>
              <w:t>3.1.5.</w:t>
            </w:r>
            <w:r>
              <w:rPr>
                <w:rFonts w:asciiTheme="minorHAnsi" w:eastAsiaTheme="minorEastAsia" w:hAnsiTheme="minorHAnsi" w:cstheme="minorBidi"/>
                <w:noProof/>
                <w:lang w:val="en-GB" w:eastAsia="en-GB" w:bidi="ar-SA"/>
              </w:rPr>
              <w:tab/>
            </w:r>
            <w:r>
              <w:rPr>
                <w:rStyle w:val="Hyperlink"/>
                <w:noProof/>
              </w:rPr>
              <w:t>Училищни схеми</w:t>
            </w:r>
            <w:r>
              <w:rPr>
                <w:noProof/>
                <w:webHidden/>
              </w:rPr>
              <w:tab/>
            </w:r>
            <w:r>
              <w:rPr>
                <w:noProof/>
                <w:webHidden/>
              </w:rPr>
              <w:fldChar w:fldCharType="begin"/>
            </w:r>
            <w:r>
              <w:rPr>
                <w:noProof/>
                <w:webHidden/>
              </w:rPr>
              <w:instrText xml:space="preserve"> PAGEREF _Toc534729263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2"/>
            <w:tabs>
              <w:tab w:val="left" w:pos="850"/>
              <w:tab w:val="right" w:leader="dot" w:pos="9039"/>
            </w:tabs>
            <w:rPr>
              <w:rFonts w:asciiTheme="minorHAnsi" w:eastAsiaTheme="minorEastAsia" w:hAnsiTheme="minorHAnsi" w:cstheme="minorBidi"/>
              <w:noProof/>
              <w:lang w:val="en-GB" w:eastAsia="en-GB" w:bidi="ar-SA"/>
            </w:rPr>
          </w:pPr>
          <w:hyperlink w:anchor="_Toc534729264" w:history="1">
            <w:r>
              <w:rPr>
                <w:rStyle w:val="Hyperlink"/>
                <w:noProof/>
              </w:rPr>
              <w:t>3.2.</w:t>
            </w:r>
            <w:r>
              <w:rPr>
                <w:rFonts w:asciiTheme="minorHAnsi" w:eastAsiaTheme="minorEastAsia" w:hAnsiTheme="minorHAnsi" w:cstheme="minorBidi"/>
                <w:noProof/>
                <w:lang w:val="en-GB" w:eastAsia="en-GB" w:bidi="ar-SA"/>
              </w:rPr>
              <w:tab/>
            </w:r>
            <w:r>
              <w:rPr>
                <w:rStyle w:val="Hyperlink"/>
                <w:noProof/>
              </w:rPr>
              <w:t>Директни плащания</w:t>
            </w:r>
            <w:r>
              <w:rPr>
                <w:noProof/>
                <w:webHidden/>
              </w:rPr>
              <w:tab/>
            </w:r>
            <w:r>
              <w:rPr>
                <w:noProof/>
                <w:webHidden/>
              </w:rPr>
              <w:fldChar w:fldCharType="begin"/>
            </w:r>
            <w:r>
              <w:rPr>
                <w:noProof/>
                <w:webHidden/>
              </w:rPr>
              <w:instrText xml:space="preserve"> PA</w:instrText>
            </w:r>
            <w:r>
              <w:rPr>
                <w:noProof/>
                <w:webHidden/>
              </w:rPr>
              <w:instrText xml:space="preserve">GEREF _Toc534729264 \h </w:instrText>
            </w:r>
            <w:r>
              <w:rPr>
                <w:noProof/>
                <w:webHidden/>
              </w:rPr>
            </w:r>
            <w:r>
              <w:rPr>
                <w:noProof/>
                <w:webHidden/>
              </w:rPr>
              <w:fldChar w:fldCharType="separate"/>
            </w:r>
            <w:r>
              <w:rPr>
                <w:noProof/>
                <w:webHidden/>
              </w:rPr>
              <w:t>4</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5" w:history="1">
            <w:r>
              <w:rPr>
                <w:rStyle w:val="Hyperlink"/>
                <w:noProof/>
              </w:rPr>
              <w:t>3.2.1.</w:t>
            </w:r>
            <w:r>
              <w:rPr>
                <w:rFonts w:asciiTheme="minorHAnsi" w:eastAsiaTheme="minorEastAsia" w:hAnsiTheme="minorHAnsi" w:cstheme="minorBidi"/>
                <w:noProof/>
                <w:lang w:val="en-GB" w:eastAsia="en-GB" w:bidi="ar-SA"/>
              </w:rPr>
              <w:tab/>
            </w:r>
            <w:r>
              <w:rPr>
                <w:rStyle w:val="Hyperlink"/>
                <w:noProof/>
              </w:rPr>
              <w:t>Отделени от производството директни плащания</w:t>
            </w:r>
            <w:r>
              <w:rPr>
                <w:noProof/>
                <w:webHidden/>
              </w:rPr>
              <w:tab/>
            </w:r>
            <w:r>
              <w:rPr>
                <w:noProof/>
                <w:webHidden/>
              </w:rPr>
              <w:fldChar w:fldCharType="begin"/>
            </w:r>
            <w:r>
              <w:rPr>
                <w:noProof/>
                <w:webHidden/>
              </w:rPr>
              <w:instrText xml:space="preserve"> PAGEREF _Toc534729265 \h </w:instrText>
            </w:r>
            <w:r>
              <w:rPr>
                <w:noProof/>
                <w:webHidden/>
              </w:rPr>
            </w:r>
            <w:r>
              <w:rPr>
                <w:noProof/>
                <w:webHidden/>
              </w:rPr>
              <w:fldChar w:fldCharType="separate"/>
            </w:r>
            <w:r>
              <w:rPr>
                <w:noProof/>
                <w:webHidden/>
              </w:rPr>
              <w:t>5</w:t>
            </w:r>
            <w:r>
              <w:rPr>
                <w:noProof/>
                <w:webHidden/>
              </w:rPr>
              <w:fldChar w:fldCharType="end"/>
            </w:r>
          </w:hyperlink>
        </w:p>
        <w:p w:rsidR="00A8726C" w:rsidRDefault="00BB2B8B">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29266" w:history="1">
            <w:r>
              <w:rPr>
                <w:rStyle w:val="Hyperlink"/>
                <w:noProof/>
              </w:rPr>
              <w:t>3.2.2.</w:t>
            </w:r>
            <w:r>
              <w:rPr>
                <w:rFonts w:asciiTheme="minorHAnsi" w:eastAsiaTheme="minorEastAsia" w:hAnsiTheme="minorHAnsi" w:cstheme="minorBidi"/>
                <w:noProof/>
                <w:lang w:val="en-GB" w:eastAsia="en-GB" w:bidi="ar-SA"/>
              </w:rPr>
              <w:tab/>
            </w:r>
            <w:r>
              <w:rPr>
                <w:rStyle w:val="Hyperlink"/>
                <w:noProof/>
              </w:rPr>
              <w:t>Други директни плащания</w:t>
            </w:r>
            <w:r>
              <w:rPr>
                <w:noProof/>
                <w:webHidden/>
              </w:rPr>
              <w:tab/>
            </w:r>
            <w:r>
              <w:rPr>
                <w:noProof/>
                <w:webHidden/>
              </w:rPr>
              <w:fldChar w:fldCharType="begin"/>
            </w:r>
            <w:r>
              <w:rPr>
                <w:noProof/>
                <w:webHidden/>
              </w:rPr>
              <w:instrText xml:space="preserve"> PAGEREF _Toc534729266 \h </w:instrText>
            </w:r>
            <w:r>
              <w:rPr>
                <w:noProof/>
                <w:webHidden/>
              </w:rPr>
            </w:r>
            <w:r>
              <w:rPr>
                <w:noProof/>
                <w:webHidden/>
              </w:rPr>
              <w:fldChar w:fldCharType="separate"/>
            </w:r>
            <w:r>
              <w:rPr>
                <w:noProof/>
                <w:webHidden/>
              </w:rPr>
              <w:t>5</w:t>
            </w:r>
            <w:r>
              <w:rPr>
                <w:noProof/>
                <w:webHidden/>
              </w:rPr>
              <w:fldChar w:fldCharType="end"/>
            </w:r>
          </w:hyperlink>
        </w:p>
        <w:p w:rsidR="00A8726C" w:rsidRDefault="00BB2B8B">
          <w:pPr>
            <w:pStyle w:val="TOC2"/>
            <w:tabs>
              <w:tab w:val="left" w:pos="850"/>
              <w:tab w:val="right" w:leader="dot" w:pos="9039"/>
            </w:tabs>
            <w:rPr>
              <w:rFonts w:asciiTheme="minorHAnsi" w:eastAsiaTheme="minorEastAsia" w:hAnsiTheme="minorHAnsi" w:cstheme="minorBidi"/>
              <w:noProof/>
              <w:lang w:val="en-GB" w:eastAsia="en-GB" w:bidi="ar-SA"/>
            </w:rPr>
          </w:pPr>
          <w:hyperlink w:anchor="_Toc534729267" w:history="1">
            <w:r>
              <w:rPr>
                <w:rStyle w:val="Hyperlink"/>
                <w:noProof/>
              </w:rPr>
              <w:t>3.3.</w:t>
            </w:r>
            <w:r>
              <w:rPr>
                <w:rFonts w:asciiTheme="minorHAnsi" w:eastAsiaTheme="minorEastAsia" w:hAnsiTheme="minorHAnsi" w:cstheme="minorBidi"/>
                <w:noProof/>
                <w:lang w:val="en-GB" w:eastAsia="en-GB" w:bidi="ar-SA"/>
              </w:rPr>
              <w:tab/>
            </w:r>
            <w:r>
              <w:rPr>
                <w:rStyle w:val="Hyperlink"/>
                <w:noProof/>
              </w:rPr>
              <w:t>Одит на разходите за земеделие</w:t>
            </w:r>
            <w:r>
              <w:rPr>
                <w:noProof/>
                <w:webHidden/>
              </w:rPr>
              <w:tab/>
            </w:r>
            <w:r>
              <w:rPr>
                <w:noProof/>
                <w:webHidden/>
              </w:rPr>
              <w:fldChar w:fldCharType="begin"/>
            </w:r>
            <w:r>
              <w:rPr>
                <w:noProof/>
                <w:webHidden/>
              </w:rPr>
              <w:instrText xml:space="preserve"> PAGEREF _Toc534729267 \h </w:instrText>
            </w:r>
            <w:r>
              <w:rPr>
                <w:noProof/>
                <w:webHidden/>
              </w:rPr>
            </w:r>
            <w:r>
              <w:rPr>
                <w:noProof/>
                <w:webHidden/>
              </w:rPr>
              <w:fldChar w:fldCharType="separate"/>
            </w:r>
            <w:r>
              <w:rPr>
                <w:noProof/>
                <w:webHidden/>
              </w:rPr>
              <w:t>5</w:t>
            </w:r>
            <w:r>
              <w:rPr>
                <w:noProof/>
                <w:webHidden/>
              </w:rPr>
              <w:fldChar w:fldCharType="end"/>
            </w:r>
          </w:hyperlink>
        </w:p>
        <w:p w:rsidR="00A8726C" w:rsidRDefault="00BB2B8B">
          <w:pPr>
            <w:pStyle w:val="TOC1"/>
            <w:rPr>
              <w:rFonts w:asciiTheme="minorHAnsi" w:eastAsiaTheme="minorEastAsia" w:hAnsiTheme="minorHAnsi" w:cstheme="minorBidi"/>
              <w:noProof/>
              <w:sz w:val="22"/>
              <w:szCs w:val="22"/>
              <w:lang w:val="en-GB" w:eastAsia="en-GB" w:bidi="ar-SA"/>
            </w:rPr>
          </w:pPr>
          <w:hyperlink w:anchor="_Toc534729268"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Изпълнение на целевите приходи по линия на ЕФГЗ</w:t>
            </w:r>
            <w:r>
              <w:rPr>
                <w:noProof/>
                <w:webHidden/>
              </w:rPr>
              <w:tab/>
            </w:r>
            <w:r>
              <w:rPr>
                <w:noProof/>
                <w:webHidden/>
              </w:rPr>
              <w:fldChar w:fldCharType="begin"/>
            </w:r>
            <w:r>
              <w:rPr>
                <w:noProof/>
                <w:webHidden/>
              </w:rPr>
              <w:instrText xml:space="preserve"> PAGEREF _Toc534729268 \h </w:instrText>
            </w:r>
            <w:r>
              <w:rPr>
                <w:noProof/>
                <w:webHidden/>
              </w:rPr>
            </w:r>
            <w:r>
              <w:rPr>
                <w:noProof/>
                <w:webHidden/>
              </w:rPr>
              <w:fldChar w:fldCharType="separate"/>
            </w:r>
            <w:r>
              <w:rPr>
                <w:noProof/>
                <w:webHidden/>
              </w:rPr>
              <w:t>5</w:t>
            </w:r>
            <w:r>
              <w:rPr>
                <w:noProof/>
                <w:webHidden/>
              </w:rPr>
              <w:fldChar w:fldCharType="end"/>
            </w:r>
          </w:hyperlink>
        </w:p>
        <w:p w:rsidR="00A8726C" w:rsidRDefault="00BB2B8B">
          <w:pPr>
            <w:pStyle w:val="TOC1"/>
            <w:rPr>
              <w:rFonts w:asciiTheme="minorHAnsi" w:eastAsiaTheme="minorEastAsia" w:hAnsiTheme="minorHAnsi" w:cstheme="minorBidi"/>
              <w:noProof/>
              <w:sz w:val="22"/>
              <w:szCs w:val="22"/>
              <w:lang w:val="en-GB" w:eastAsia="en-GB" w:bidi="ar-SA"/>
            </w:rPr>
          </w:pPr>
          <w:hyperlink w:anchor="_Toc534729269"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Заключения</w:t>
            </w:r>
            <w:r>
              <w:rPr>
                <w:noProof/>
                <w:webHidden/>
              </w:rPr>
              <w:tab/>
            </w:r>
            <w:r>
              <w:rPr>
                <w:noProof/>
                <w:webHidden/>
              </w:rPr>
              <w:fldChar w:fldCharType="begin"/>
            </w:r>
            <w:r>
              <w:rPr>
                <w:noProof/>
                <w:webHidden/>
              </w:rPr>
              <w:instrText xml:space="preserve"> PAGEREF _Toc534729269 \h </w:instrText>
            </w:r>
            <w:r>
              <w:rPr>
                <w:noProof/>
                <w:webHidden/>
              </w:rPr>
            </w:r>
            <w:r>
              <w:rPr>
                <w:noProof/>
                <w:webHidden/>
              </w:rPr>
              <w:fldChar w:fldCharType="separate"/>
            </w:r>
            <w:r>
              <w:rPr>
                <w:noProof/>
                <w:webHidden/>
              </w:rPr>
              <w:t>5</w:t>
            </w:r>
            <w:r>
              <w:rPr>
                <w:noProof/>
                <w:webHidden/>
              </w:rPr>
              <w:fldChar w:fldCharType="end"/>
            </w:r>
          </w:hyperlink>
        </w:p>
        <w:p w:rsidR="00A8726C" w:rsidRDefault="00BB2B8B">
          <w:pPr>
            <w:pStyle w:val="TOC1"/>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fldChar w:fldCharType="end"/>
          </w:r>
        </w:p>
      </w:sdtContent>
    </w:sdt>
    <w:p w:rsidR="00A8726C" w:rsidRDefault="00A8726C">
      <w:pPr>
        <w:spacing w:after="0"/>
        <w:rPr>
          <w:rFonts w:ascii="Times New Roman" w:hAnsi="Times New Roman"/>
          <w:noProof/>
          <w:sz w:val="24"/>
          <w:szCs w:val="24"/>
        </w:rPr>
      </w:pPr>
    </w:p>
    <w:tbl>
      <w:tblPr>
        <w:tblW w:w="0" w:type="auto"/>
        <w:tblLook w:val="01E0" w:firstRow="1" w:lastRow="1" w:firstColumn="1" w:lastColumn="1" w:noHBand="0" w:noVBand="0"/>
      </w:tblPr>
      <w:tblGrid>
        <w:gridCol w:w="2111"/>
        <w:gridCol w:w="7154"/>
      </w:tblGrid>
      <w:tr w:rsidR="00A8726C">
        <w:tc>
          <w:tcPr>
            <w:tcW w:w="1908" w:type="dxa"/>
            <w:hideMark/>
          </w:tcPr>
          <w:p w:rsidR="00A8726C" w:rsidRDefault="00BB2B8B">
            <w:pPr>
              <w:spacing w:before="120" w:after="120"/>
              <w:ind w:right="612"/>
              <w:rPr>
                <w:rFonts w:ascii="Times New Roman" w:hAnsi="Times New Roman"/>
                <w:smallCaps/>
                <w:noProof/>
              </w:rPr>
            </w:pPr>
            <w:r>
              <w:rPr>
                <w:rFonts w:ascii="Times New Roman" w:hAnsi="Times New Roman"/>
                <w:smallCaps/>
                <w:noProof/>
              </w:rPr>
              <w:t>Приложение 1:</w:t>
            </w:r>
          </w:p>
          <w:p w:rsidR="00A8726C" w:rsidRDefault="00A8726C">
            <w:pPr>
              <w:spacing w:before="120" w:after="120"/>
              <w:ind w:right="612"/>
              <w:rPr>
                <w:rFonts w:ascii="Times New Roman" w:hAnsi="Times New Roman"/>
                <w:smallCaps/>
                <w:noProof/>
                <w:sz w:val="24"/>
                <w:szCs w:val="24"/>
              </w:rPr>
            </w:pPr>
          </w:p>
        </w:tc>
        <w:tc>
          <w:tcPr>
            <w:tcW w:w="7320" w:type="dxa"/>
            <w:hideMark/>
          </w:tcPr>
          <w:p w:rsidR="00A8726C" w:rsidRDefault="00BB2B8B">
            <w:pPr>
              <w:spacing w:before="120" w:after="120"/>
              <w:rPr>
                <w:rFonts w:ascii="Times New Roman" w:hAnsi="Times New Roman"/>
                <w:smallCaps/>
                <w:noProof/>
                <w:sz w:val="24"/>
                <w:szCs w:val="24"/>
              </w:rPr>
            </w:pPr>
            <w:r>
              <w:rPr>
                <w:rFonts w:ascii="Times New Roman" w:hAnsi="Times New Roman"/>
                <w:smallCaps/>
                <w:noProof/>
              </w:rPr>
              <w:t xml:space="preserve">предварителни данни за </w:t>
            </w:r>
            <w:r>
              <w:rPr>
                <w:rFonts w:ascii="Times New Roman" w:hAnsi="Times New Roman"/>
                <w:smallCaps/>
                <w:noProof/>
              </w:rPr>
              <w:t>усвояването на бюджетните кредити по линия на ЕФГЗ към 31.12.2018 г.</w:t>
            </w:r>
          </w:p>
        </w:tc>
      </w:tr>
    </w:tbl>
    <w:p w:rsidR="00A8726C" w:rsidRDefault="00A8726C">
      <w:pPr>
        <w:spacing w:after="0"/>
        <w:rPr>
          <w:noProof/>
        </w:rPr>
      </w:pPr>
    </w:p>
    <w:p w:rsidR="00A8726C" w:rsidRDefault="00A8726C">
      <w:pPr>
        <w:spacing w:after="0"/>
        <w:rPr>
          <w:noProof/>
        </w:rPr>
        <w:sectPr w:rsidR="00A8726C">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134" w:left="1440" w:header="595" w:footer="567" w:gutter="0"/>
          <w:pgNumType w:start="1"/>
          <w:cols w:space="720"/>
        </w:sectPr>
      </w:pPr>
    </w:p>
    <w:p w:rsidR="00A8726C" w:rsidRDefault="00BB2B8B">
      <w:pPr>
        <w:pStyle w:val="Heading1"/>
        <w:numPr>
          <w:ilvl w:val="0"/>
          <w:numId w:val="4"/>
        </w:numPr>
        <w:rPr>
          <w:noProof/>
        </w:rPr>
      </w:pPr>
      <w:bookmarkStart w:id="2" w:name="_Toc229306111"/>
      <w:bookmarkStart w:id="3" w:name="_Toc413145207"/>
      <w:bookmarkStart w:id="4" w:name="_Toc530432429"/>
      <w:bookmarkStart w:id="5" w:name="_Toc534729255"/>
      <w:bookmarkStart w:id="6" w:name="_Toc244054012"/>
      <w:bookmarkStart w:id="7" w:name="_Toc244054013"/>
      <w:r>
        <w:rPr>
          <w:noProof/>
        </w:rPr>
        <w:lastRenderedPageBreak/>
        <w:t>Бюджетната процедура за ЕФГЗ за 2018 г.</w:t>
      </w:r>
      <w:bookmarkEnd w:id="2"/>
      <w:bookmarkEnd w:id="3"/>
      <w:bookmarkEnd w:id="4"/>
      <w:bookmarkEnd w:id="5"/>
    </w:p>
    <w:p w:rsidR="00A8726C" w:rsidRDefault="00BB2B8B">
      <w:pPr>
        <w:pStyle w:val="Text1"/>
        <w:rPr>
          <w:noProof/>
        </w:rPr>
      </w:pPr>
      <w:r>
        <w:rPr>
          <w:noProof/>
        </w:rPr>
        <w:t xml:space="preserve">Бюджетът на ЕС за 2018 г. бе приет от Европейския парламент на 30 ноември 2017 г. По </w:t>
      </w:r>
      <w:r>
        <w:rPr>
          <w:noProof/>
        </w:rPr>
        <w:t>линия на Европейския фонд за гарантиране на земеделието (ЕФГЗ) той включваше бюджетни кредити за поети задължения и бюджетни кредити за плащания съответно в размер на 43 235 млн. евро и 43 189 млн. евро, за директни плащания и за разходи, свързани с пазара</w:t>
      </w:r>
      <w:r>
        <w:rPr>
          <w:noProof/>
        </w:rPr>
        <w:t>.</w:t>
      </w:r>
    </w:p>
    <w:p w:rsidR="00A8726C" w:rsidRDefault="00BB2B8B">
      <w:pPr>
        <w:pStyle w:val="Text1"/>
        <w:rPr>
          <w:noProof/>
        </w:rPr>
      </w:pPr>
      <w:r>
        <w:rPr>
          <w:noProof/>
        </w:rPr>
        <w:t>Разликата между размера на бюджетните кредити за поети задължения и бюджетните кредити за плащания се дължи на факта, че за някои мерки, прилагани пряко от Комисията, се използват многогодишни бюджетни кредити. Те са свързани главно с мерките за насърчав</w:t>
      </w:r>
      <w:r>
        <w:rPr>
          <w:noProof/>
        </w:rPr>
        <w:t>ане на продажбите на селскостопански продукти и с мерките за стратегическо планиране и координиране на политиките.</w:t>
      </w:r>
    </w:p>
    <w:p w:rsidR="00A8726C" w:rsidRDefault="00BB2B8B">
      <w:pPr>
        <w:pStyle w:val="Heading1"/>
        <w:rPr>
          <w:noProof/>
        </w:rPr>
      </w:pPr>
      <w:bookmarkStart w:id="8" w:name="_Toc413145208"/>
      <w:bookmarkStart w:id="9" w:name="_Toc530432430"/>
      <w:bookmarkStart w:id="10" w:name="_Toc534729256"/>
      <w:bookmarkEnd w:id="6"/>
      <w:r>
        <w:rPr>
          <w:noProof/>
        </w:rPr>
        <w:t>Целеви приходи за ЕФГЗ</w:t>
      </w:r>
      <w:bookmarkEnd w:id="7"/>
      <w:bookmarkEnd w:id="8"/>
      <w:bookmarkEnd w:id="9"/>
      <w:bookmarkEnd w:id="10"/>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На основание на разпоредбите на член 43 от Регламент (ЕС) № 1306/2013 приходите от финансови корекции по силата на реш</w:t>
      </w:r>
      <w:r>
        <w:rPr>
          <w:rFonts w:ascii="Times New Roman" w:hAnsi="Times New Roman"/>
          <w:noProof/>
          <w:sz w:val="24"/>
        </w:rPr>
        <w:t xml:space="preserve">ения за счетоводно уравняване и уравняване по съответствие и вследствие на нередности се определят като целеви приходи за финансирането на разходите по линия на ЕФГЗ. </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В съответствие с посочените разпоредби целевите приходи могат да се използват за финанси</w:t>
      </w:r>
      <w:r>
        <w:rPr>
          <w:rFonts w:ascii="Times New Roman" w:hAnsi="Times New Roman"/>
          <w:noProof/>
          <w:sz w:val="24"/>
        </w:rPr>
        <w:t>ране на всякакви разходи по линия на ЕФГЗ. Ако част от тези приходи не е усвоена в рамките на бюджетната година, тя автоматично се пренася към следващата бюджетна година</w:t>
      </w:r>
      <w:r>
        <w:rPr>
          <w:rFonts w:ascii="Times New Roman" w:hAnsi="Times New Roman"/>
          <w:noProof/>
          <w:sz w:val="24"/>
          <w:vertAlign w:val="superscript"/>
        </w:rPr>
        <w:footnoteReference w:id="1"/>
      </w:r>
      <w:r>
        <w:rPr>
          <w:rFonts w:ascii="Times New Roman" w:hAnsi="Times New Roman"/>
          <w:noProof/>
          <w:sz w:val="24"/>
        </w:rPr>
        <w:t>.</w:t>
      </w:r>
    </w:p>
    <w:p w:rsidR="00A8726C" w:rsidRDefault="00BB2B8B">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Бюджетът на ЕФГЗ за 2018 г. включва:</w:t>
      </w:r>
    </w:p>
    <w:p w:rsidR="00A8726C" w:rsidRDefault="00BB2B8B">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най-актуалните разчети на Комисията относно пот</w:t>
      </w:r>
      <w:r>
        <w:rPr>
          <w:rFonts w:ascii="Times New Roman" w:hAnsi="Times New Roman"/>
          <w:noProof/>
          <w:sz w:val="24"/>
        </w:rPr>
        <w:t>ребностите от финансиране за пазарни мерки и директни плащания,</w:t>
      </w:r>
    </w:p>
    <w:p w:rsidR="00A8726C" w:rsidRDefault="00BB2B8B">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разчетите относно целевите приходи, които се очаква да бъдат събрани през съответната бюджетна година,</w:t>
      </w:r>
    </w:p>
    <w:p w:rsidR="00A8726C" w:rsidRDefault="00BB2B8B">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пренесените неусвоени целеви приходи от предходната бюджетна година.</w:t>
      </w:r>
    </w:p>
    <w:p w:rsidR="00A8726C" w:rsidRDefault="00BB2B8B">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В предложението си о</w:t>
      </w:r>
      <w:r>
        <w:rPr>
          <w:rFonts w:ascii="Times New Roman" w:hAnsi="Times New Roman"/>
          <w:noProof/>
          <w:sz w:val="24"/>
        </w:rPr>
        <w:t>тносно бюджетните кредити за ЕФГЗ за 2018 г. Комисията взе предвид общия размер на очакваните целеви приходи и поиска в бюджета за 2018 г. кредити, чийто размер възлиза на разликата между потребностите и целевите приходи по разчет. Бюджетният орган прие бю</w:t>
      </w:r>
      <w:r>
        <w:rPr>
          <w:rFonts w:ascii="Times New Roman" w:hAnsi="Times New Roman"/>
          <w:noProof/>
          <w:sz w:val="24"/>
        </w:rPr>
        <w:t xml:space="preserve">джета на ЕФГЗ, като взе предвид очакваните целеви приходи. </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Според разчетите на Комисията наличните целеви приходи към момента на съставяне на бюджета за 2018 г. възлизаха на 1 475,9 млн. евро и включваха: </w:t>
      </w:r>
    </w:p>
    <w:p w:rsidR="00A8726C" w:rsidRDefault="00BB2B8B">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lastRenderedPageBreak/>
        <w:t>целевите приходи, които се очаква да се генерират</w:t>
      </w:r>
      <w:r>
        <w:rPr>
          <w:rFonts w:ascii="Times New Roman" w:hAnsi="Times New Roman"/>
          <w:noProof/>
          <w:sz w:val="24"/>
        </w:rPr>
        <w:t xml:space="preserve"> през бюджетната 2018 година и чийто разчетен размер беше 865,9 млн. евро (733,9 млн. евро от корек</w:t>
      </w:r>
      <w:r>
        <w:rPr>
          <w:rFonts w:ascii="Times New Roman" w:hAnsi="Times New Roman"/>
          <w:noProof/>
        </w:rPr>
        <w:t>ц</w:t>
      </w:r>
      <w:r>
        <w:rPr>
          <w:rFonts w:ascii="Times New Roman" w:hAnsi="Times New Roman"/>
          <w:noProof/>
          <w:sz w:val="24"/>
        </w:rPr>
        <w:t>ии от уравняване по съответствие и 132 млн. евро вследствие на нередности);</w:t>
      </w:r>
    </w:p>
    <w:p w:rsidR="00A8726C" w:rsidRDefault="00BB2B8B">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целевите приходи за пренос от 2017 г. към 2018 г., чийто размер по разчет беше </w:t>
      </w:r>
      <w:r>
        <w:rPr>
          <w:rFonts w:ascii="Times New Roman" w:hAnsi="Times New Roman"/>
          <w:noProof/>
          <w:sz w:val="24"/>
        </w:rPr>
        <w:t>610 млн. евро.</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Комисията разпредели тези приходи в размер на 1 475,9 млн. евро по разчет за следните схеми: </w:t>
      </w:r>
    </w:p>
    <w:p w:rsidR="00A8726C" w:rsidRDefault="00BB2B8B">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400 млн. евро за оперативните фондове за организациите на производители на плодове и зеленчуци,</w:t>
      </w:r>
    </w:p>
    <w:p w:rsidR="00A8726C" w:rsidRDefault="00BB2B8B">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1 075,9 млн. евро за схемата за основно плащане. </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С</w:t>
      </w:r>
      <w:r>
        <w:rPr>
          <w:rFonts w:ascii="Times New Roman" w:hAnsi="Times New Roman"/>
          <w:noProof/>
          <w:sz w:val="24"/>
        </w:rPr>
        <w:t>борът на одобрените бюджетни кредити и целевите приходи за тези схеми е следният:</w:t>
      </w:r>
    </w:p>
    <w:p w:rsidR="00A8726C" w:rsidRDefault="00BB2B8B">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872 млн. евро за оперативните фондове за организациите на производители на плодове и зеленчуци, и</w:t>
      </w:r>
    </w:p>
    <w:p w:rsidR="00A8726C" w:rsidRDefault="00BB2B8B">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17 402 млн. евро за схемата за основно плащане.</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В приложението, в което се п</w:t>
      </w:r>
      <w:r>
        <w:rPr>
          <w:rFonts w:ascii="Times New Roman" w:hAnsi="Times New Roman"/>
          <w:noProof/>
          <w:sz w:val="24"/>
        </w:rPr>
        <w:t>редставят предварителните данни за изпълнението на бюджета за 2018 г., гореспоменатите целеви приходи не са отчетени в данните за бюджетните кредити по статиите за плодовете и зеленчуците и за отделените от производството директни плащания. Данните предста</w:t>
      </w:r>
      <w:r>
        <w:rPr>
          <w:rFonts w:ascii="Times New Roman" w:hAnsi="Times New Roman"/>
          <w:noProof/>
          <w:sz w:val="24"/>
        </w:rPr>
        <w:t xml:space="preserve">вляват одобрените бюджетни кредити по тези статии, възлизащи съответно на 531,8 млн. евро и 34 309,1 млн. евро. </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С включването на целевите приходи по тези статии общият размер на средствата, предвидени в бюджета за 2018 г., е 931,8 млн. евро за сектора на </w:t>
      </w:r>
      <w:r>
        <w:rPr>
          <w:rFonts w:ascii="Times New Roman" w:hAnsi="Times New Roman"/>
          <w:noProof/>
          <w:sz w:val="24"/>
        </w:rPr>
        <w:t xml:space="preserve">плодовете и зеленчуците и 35 385 млн. евро за отделените от производството директни плащания. </w:t>
      </w:r>
    </w:p>
    <w:p w:rsidR="00A8726C" w:rsidRDefault="00BB2B8B">
      <w:pPr>
        <w:pStyle w:val="Heading1"/>
        <w:rPr>
          <w:noProof/>
        </w:rPr>
      </w:pPr>
      <w:bookmarkStart w:id="11" w:name="_Toc244054015"/>
      <w:bookmarkStart w:id="12" w:name="_Toc413145209"/>
      <w:bookmarkStart w:id="13" w:name="_Toc530432431"/>
      <w:bookmarkStart w:id="14" w:name="_Toc534729257"/>
      <w:r>
        <w:rPr>
          <w:noProof/>
        </w:rPr>
        <w:t>Бележки относно предварителните данни за изпълнението на бюджета на ЕФГЗ за 2018 г.</w:t>
      </w:r>
      <w:bookmarkEnd w:id="11"/>
      <w:bookmarkEnd w:id="12"/>
      <w:bookmarkEnd w:id="13"/>
      <w:bookmarkEnd w:id="14"/>
    </w:p>
    <w:p w:rsidR="00A8726C" w:rsidRDefault="00BB2B8B">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В настоящия доклад са представени предварителните данни за изпълнението на бю</w:t>
      </w:r>
      <w:r>
        <w:rPr>
          <w:rFonts w:ascii="Times New Roman" w:hAnsi="Times New Roman"/>
          <w:noProof/>
          <w:sz w:val="24"/>
        </w:rPr>
        <w:t>джета за 2018 година по линия на ЕФГЗ, като подробни данни са дадени в приложението. Общият размер на разходите от 43 926,6 млн. евро включва основно разходите по линия на ЕФГЗ при споделено управление, декларирани от държавите членки между 16 октомври 201</w:t>
      </w:r>
      <w:r>
        <w:rPr>
          <w:rFonts w:ascii="Times New Roman" w:hAnsi="Times New Roman"/>
          <w:noProof/>
          <w:sz w:val="24"/>
        </w:rPr>
        <w:t>7 г. и 15 октомври 2018 г., както и намаляванията на месечните плащания по възстановяване на направените разходи, наложени в течение на бюджетната година. Освен това в него е включен разчет на разходите при пряко управление, възлизащи на около 15,6 млн. ев</w:t>
      </w:r>
      <w:r>
        <w:rPr>
          <w:rFonts w:ascii="Times New Roman" w:hAnsi="Times New Roman"/>
          <w:noProof/>
          <w:sz w:val="24"/>
        </w:rPr>
        <w:t>ро, които се предвижда да бъдат направени до 31 декември 2018 г.</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По-долу е представен кратък коментар за някои бюджетни статии, по които се наблюдават най-значителните отклонения между действително направените разходи и съответните бюджетни кредити, предви</w:t>
      </w:r>
      <w:r>
        <w:rPr>
          <w:rFonts w:ascii="Times New Roman" w:hAnsi="Times New Roman"/>
          <w:noProof/>
          <w:sz w:val="24"/>
        </w:rPr>
        <w:t>дени в бюджета за 2018 г.</w:t>
      </w:r>
    </w:p>
    <w:p w:rsidR="00A8726C" w:rsidRDefault="00BB2B8B">
      <w:pPr>
        <w:pStyle w:val="Heading2"/>
        <w:rPr>
          <w:noProof/>
        </w:rPr>
      </w:pPr>
      <w:bookmarkStart w:id="16" w:name="_Toc530432432"/>
      <w:bookmarkStart w:id="17" w:name="_Toc534729258"/>
      <w:r>
        <w:rPr>
          <w:noProof/>
        </w:rPr>
        <w:t>Пазарни мерки</w:t>
      </w:r>
      <w:bookmarkEnd w:id="15"/>
      <w:bookmarkEnd w:id="16"/>
      <w:bookmarkEnd w:id="17"/>
    </w:p>
    <w:p w:rsidR="00A8726C" w:rsidRDefault="00BB2B8B">
      <w:pPr>
        <w:pStyle w:val="Text1"/>
        <w:rPr>
          <w:noProof/>
        </w:rPr>
      </w:pPr>
      <w:r>
        <w:rPr>
          <w:noProof/>
        </w:rPr>
        <w:t>Усвоените бюджетни кредити за интервенции на селскостопанските пазари бяха с 351,3 млн. евро повече от бюджетните кредити. В тях са включени прогнозни 6,4 млн. евро разходи при пряко управление за мерки за популяризи</w:t>
      </w:r>
      <w:r>
        <w:rPr>
          <w:noProof/>
        </w:rPr>
        <w:t>ране, които се планира да бъдат извършени до 31 декември 2018 г. Въпреки това, като се вземат предвид целевите приходи в размер на 400 млн. евро, разпределени за схемата за плодовете и зеленчуците, резултатът е неизпълнение в размер на -48,7 млн. евро (или</w:t>
      </w:r>
      <w:r>
        <w:rPr>
          <w:noProof/>
        </w:rPr>
        <w:t xml:space="preserve"> само -1,8 %).</w:t>
      </w:r>
    </w:p>
    <w:p w:rsidR="00A8726C" w:rsidRDefault="00BB2B8B">
      <w:pPr>
        <w:pStyle w:val="Heading3"/>
        <w:rPr>
          <w:noProof/>
        </w:rPr>
      </w:pPr>
      <w:bookmarkStart w:id="18" w:name="_Toc525722902"/>
      <w:bookmarkStart w:id="19" w:name="_Toc525734906"/>
      <w:bookmarkStart w:id="20" w:name="_Toc525736637"/>
      <w:bookmarkStart w:id="21" w:name="_Toc526175165"/>
      <w:bookmarkStart w:id="22" w:name="_Toc530432433"/>
      <w:bookmarkStart w:id="23" w:name="_Toc534729259"/>
      <w:bookmarkEnd w:id="18"/>
      <w:bookmarkEnd w:id="19"/>
      <w:bookmarkEnd w:id="20"/>
      <w:bookmarkEnd w:id="21"/>
      <w:r>
        <w:rPr>
          <w:noProof/>
        </w:rPr>
        <w:t>Плодове и зеленчуци</w:t>
      </w:r>
      <w:bookmarkEnd w:id="22"/>
      <w:bookmarkEnd w:id="23"/>
    </w:p>
    <w:p w:rsidR="00A8726C" w:rsidRDefault="00BB2B8B">
      <w:pPr>
        <w:pStyle w:val="Text1"/>
        <w:rPr>
          <w:noProof/>
        </w:rPr>
      </w:pPr>
      <w:r>
        <w:rPr>
          <w:noProof/>
        </w:rPr>
        <w:t>В привидното преизпълнение, възлизащо на 333,3 млн. евро, не са отчетени целевите приходи по бюджетната статия. Ако бъдат взети предвид тези приходи, е налице неизпълнение от -66,7 млн. евро (вж. бележката под линия, отбе</w:t>
      </w:r>
      <w:r>
        <w:rPr>
          <w:noProof/>
        </w:rPr>
        <w:t>лязана със знака (*) в приложението). Това се дължи главно на намалените плащания по оперативните програми на организациите на производители в някои държави членки.</w:t>
      </w:r>
    </w:p>
    <w:p w:rsidR="00A8726C" w:rsidRDefault="00BB2B8B">
      <w:pPr>
        <w:pStyle w:val="Heading3"/>
        <w:rPr>
          <w:noProof/>
        </w:rPr>
      </w:pPr>
      <w:bookmarkStart w:id="24" w:name="_Toc530432434"/>
      <w:bookmarkStart w:id="25" w:name="_Toc534729260"/>
      <w:r>
        <w:rPr>
          <w:noProof/>
        </w:rPr>
        <w:t>Продукти от лозаро-винарския сектор</w:t>
      </w:r>
      <w:bookmarkEnd w:id="24"/>
      <w:bookmarkEnd w:id="25"/>
    </w:p>
    <w:p w:rsidR="00A8726C" w:rsidRDefault="00BB2B8B">
      <w:pPr>
        <w:pStyle w:val="Text1"/>
        <w:rPr>
          <w:noProof/>
        </w:rPr>
      </w:pPr>
      <w:r>
        <w:rPr>
          <w:noProof/>
        </w:rPr>
        <w:t xml:space="preserve">Окончателно усвоените средства по тази бюджетна статия </w:t>
      </w:r>
      <w:r>
        <w:rPr>
          <w:noProof/>
        </w:rPr>
        <w:t>показват неизпълнение от -89,9 млн. евро, което се дължи главно на по-ниски от очакваните плащания в някои държави членки.</w:t>
      </w:r>
    </w:p>
    <w:p w:rsidR="00A8726C" w:rsidRDefault="00BB2B8B">
      <w:pPr>
        <w:pStyle w:val="Heading3"/>
        <w:rPr>
          <w:noProof/>
        </w:rPr>
      </w:pPr>
      <w:bookmarkStart w:id="26" w:name="_Toc530432435"/>
      <w:bookmarkStart w:id="27" w:name="_Toc534729261"/>
      <w:r>
        <w:rPr>
          <w:noProof/>
        </w:rPr>
        <w:t>Мляко и млечни продукти</w:t>
      </w:r>
      <w:bookmarkEnd w:id="26"/>
      <w:bookmarkEnd w:id="27"/>
      <w:r>
        <w:rPr>
          <w:noProof/>
        </w:rPr>
        <w:t xml:space="preserve"> </w:t>
      </w:r>
    </w:p>
    <w:p w:rsidR="00A8726C" w:rsidRDefault="00BB2B8B">
      <w:pPr>
        <w:pStyle w:val="Text1"/>
        <w:rPr>
          <w:noProof/>
        </w:rPr>
      </w:pPr>
      <w:r>
        <w:rPr>
          <w:noProof/>
        </w:rPr>
        <w:t xml:space="preserve">Преизпълнението от 167 млн. евро в сектора на млякото се обяснява с продажбите на обезмаслено мляко на прах </w:t>
      </w:r>
      <w:r>
        <w:rPr>
          <w:noProof/>
        </w:rPr>
        <w:t xml:space="preserve">на загуба, и главно с обезценяването в края на годината на запасите от обезмаслено мляко на прах. </w:t>
      </w:r>
    </w:p>
    <w:p w:rsidR="00A8726C" w:rsidRDefault="00BB2B8B">
      <w:pPr>
        <w:pStyle w:val="Heading3"/>
        <w:rPr>
          <w:noProof/>
        </w:rPr>
      </w:pPr>
      <w:bookmarkStart w:id="28" w:name="_Toc530432436"/>
      <w:bookmarkStart w:id="29" w:name="_Toc534729262"/>
      <w:r>
        <w:rPr>
          <w:noProof/>
        </w:rPr>
        <w:t>Свинско месо, яйца и птиче месо, пчеларство и други животински продукти</w:t>
      </w:r>
      <w:bookmarkEnd w:id="28"/>
      <w:bookmarkEnd w:id="29"/>
      <w:r>
        <w:rPr>
          <w:noProof/>
        </w:rPr>
        <w:t xml:space="preserve"> </w:t>
      </w:r>
    </w:p>
    <w:p w:rsidR="00A8726C" w:rsidRDefault="00BB2B8B">
      <w:pPr>
        <w:pStyle w:val="Text1"/>
        <w:ind w:left="851"/>
        <w:rPr>
          <w:noProof/>
        </w:rPr>
      </w:pPr>
      <w:r>
        <w:rPr>
          <w:noProof/>
        </w:rPr>
        <w:t xml:space="preserve">През предишните години по тази бюджетна статия се включваха разходите за </w:t>
      </w:r>
      <w:r>
        <w:rPr>
          <w:noProof/>
        </w:rPr>
        <w:t>пчеларството и мерките за сектора на свинското месо. През 2018 г. по тази статия се финансират помощта за пчеларството и извънредните мерки за подпомагане на пазара във връзка със заболяванията при животните. Затова тази година изпълнението се различава от</w:t>
      </w:r>
      <w:r>
        <w:rPr>
          <w:noProof/>
        </w:rPr>
        <w:t xml:space="preserve"> профила, изчислен въз основа на изпълнението през предходните години. Общите разходи по тази бюджетна статия са с 31,1  млн. евро по-ниски от първоначално предвидените в бюджета, особено след като окончателните разходи, декларирани от държавите членки за </w:t>
      </w:r>
      <w:r>
        <w:rPr>
          <w:noProof/>
        </w:rPr>
        <w:t>извънредни мерки за подпомагане, бяха под предвидените в бюджета суми.</w:t>
      </w:r>
    </w:p>
    <w:p w:rsidR="00A8726C" w:rsidRDefault="00BB2B8B">
      <w:pPr>
        <w:pStyle w:val="Heading3"/>
        <w:rPr>
          <w:noProof/>
        </w:rPr>
      </w:pPr>
      <w:bookmarkStart w:id="30" w:name="_Toc530432437"/>
      <w:bookmarkStart w:id="31" w:name="_Toc534729263"/>
      <w:r>
        <w:rPr>
          <w:noProof/>
        </w:rPr>
        <w:t>Училищни схеми</w:t>
      </w:r>
      <w:bookmarkEnd w:id="30"/>
      <w:bookmarkEnd w:id="31"/>
    </w:p>
    <w:p w:rsidR="00A8726C" w:rsidRDefault="00BB2B8B">
      <w:pPr>
        <w:pStyle w:val="Text1"/>
        <w:ind w:left="851"/>
        <w:rPr>
          <w:noProof/>
        </w:rPr>
      </w:pPr>
      <w:r>
        <w:rPr>
          <w:noProof/>
        </w:rPr>
        <w:t>От началото на учебната 2017/2018 година предишните две отделни училищни схеми за предлагане — съответно на плодове и зеленчуци и на мляко — бяха обединени. Профилът на р</w:t>
      </w:r>
      <w:r>
        <w:rPr>
          <w:noProof/>
        </w:rPr>
        <w:t>азходите по бюджетна статия 05 02 18 бе съставен въз основа на данните за изпълнението на предишните отделни училищни схеми. Общите разходи по тази бюджетна статия в края на годината се оказват с 32,2 млн. евро по-ниски от предвиденото в бюджета.</w:t>
      </w:r>
    </w:p>
    <w:p w:rsidR="00A8726C" w:rsidRDefault="00BB2B8B">
      <w:pPr>
        <w:pStyle w:val="Heading2"/>
        <w:rPr>
          <w:noProof/>
        </w:rPr>
      </w:pPr>
      <w:bookmarkStart w:id="32" w:name="_Toc530432438"/>
      <w:bookmarkStart w:id="33" w:name="_Toc534729264"/>
      <w:bookmarkStart w:id="34" w:name="_Toc244054022"/>
      <w:r>
        <w:rPr>
          <w:noProof/>
        </w:rPr>
        <w:t xml:space="preserve">Директни </w:t>
      </w:r>
      <w:r>
        <w:rPr>
          <w:noProof/>
        </w:rPr>
        <w:t>плащания</w:t>
      </w:r>
      <w:bookmarkEnd w:id="32"/>
      <w:bookmarkEnd w:id="33"/>
      <w:r>
        <w:rPr>
          <w:noProof/>
        </w:rPr>
        <w:t xml:space="preserve"> </w:t>
      </w:r>
      <w:bookmarkEnd w:id="34"/>
    </w:p>
    <w:p w:rsidR="00A8726C" w:rsidRDefault="00BB2B8B">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Разходите за директни плащания бяха с 845,6 млн. евро повече от бюджетните кредити. Като се вземат предвид целевите приходи по тази глава от бюджета (вж. също точка 2 по-горе), изпълнението е много близо до предвиденото (- 230,3 млн. евро или сам</w:t>
      </w:r>
      <w:r>
        <w:rPr>
          <w:rFonts w:ascii="Times New Roman" w:hAnsi="Times New Roman"/>
          <w:noProof/>
          <w:sz w:val="24"/>
        </w:rPr>
        <w:t>о -0,6 %).</w:t>
      </w:r>
    </w:p>
    <w:p w:rsidR="00A8726C" w:rsidRDefault="00BB2B8B">
      <w:pPr>
        <w:pStyle w:val="Heading3"/>
        <w:rPr>
          <w:noProof/>
        </w:rPr>
      </w:pPr>
      <w:bookmarkStart w:id="36" w:name="_Toc530432439"/>
      <w:bookmarkStart w:id="37" w:name="_Toc534729265"/>
      <w:r>
        <w:rPr>
          <w:noProof/>
        </w:rPr>
        <w:t>Отделени от производството директни плащания</w:t>
      </w:r>
      <w:bookmarkEnd w:id="36"/>
      <w:bookmarkEnd w:id="37"/>
    </w:p>
    <w:p w:rsidR="00A8726C" w:rsidRDefault="00BB2B8B">
      <w:pPr>
        <w:pStyle w:val="Text1"/>
        <w:rPr>
          <w:noProof/>
        </w:rPr>
      </w:pPr>
      <w:r>
        <w:rPr>
          <w:noProof/>
        </w:rPr>
        <w:t xml:space="preserve">Декларираните разходи надвишават бюджетните кредити с 995,7 млн. евро. Като се вземат предвид целевите приходи по тази статия (1 075,9 млн. евро), изпълнението е почти равно на предвиденото в бюджета </w:t>
      </w:r>
      <w:r>
        <w:rPr>
          <w:noProof/>
        </w:rPr>
        <w:t>(- 80,2 млн. евро); вж. бележката под линия в приложението, отбелязана със знака (*).</w:t>
      </w:r>
    </w:p>
    <w:p w:rsidR="00A8726C" w:rsidRDefault="00BB2B8B">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30432440"/>
      <w:bookmarkStart w:id="48" w:name="_Toc534729266"/>
      <w:bookmarkEnd w:id="38"/>
      <w:bookmarkEnd w:id="39"/>
      <w:bookmarkEnd w:id="40"/>
      <w:bookmarkEnd w:id="41"/>
      <w:bookmarkEnd w:id="42"/>
      <w:bookmarkEnd w:id="43"/>
      <w:bookmarkEnd w:id="44"/>
      <w:bookmarkEnd w:id="45"/>
      <w:bookmarkEnd w:id="46"/>
      <w:r>
        <w:rPr>
          <w:noProof/>
        </w:rPr>
        <w:t>Други директни плащания</w:t>
      </w:r>
      <w:bookmarkEnd w:id="47"/>
      <w:bookmarkEnd w:id="48"/>
    </w:p>
    <w:p w:rsidR="00A8726C" w:rsidRDefault="00BB2B8B">
      <w:pPr>
        <w:spacing w:before="120" w:after="120" w:line="240" w:lineRule="auto"/>
        <w:ind w:left="850"/>
        <w:jc w:val="both"/>
        <w:rPr>
          <w:rFonts w:ascii="Times New Roman" w:eastAsia="Times New Roman" w:hAnsi="Times New Roman"/>
          <w:i/>
          <w:noProof/>
          <w:sz w:val="24"/>
          <w:szCs w:val="24"/>
        </w:rPr>
      </w:pPr>
      <w:bookmarkStart w:id="49" w:name="_Toc244054027"/>
      <w:bookmarkEnd w:id="35"/>
      <w:r>
        <w:rPr>
          <w:rFonts w:ascii="Times New Roman" w:hAnsi="Times New Roman"/>
          <w:noProof/>
          <w:sz w:val="24"/>
        </w:rPr>
        <w:t>Окончателните разходи за „Други директни плащания“ се приближават до профила (-150,0 млн. евро). По-специално по схемата за дребните земеделски ст</w:t>
      </w:r>
      <w:r>
        <w:rPr>
          <w:rFonts w:ascii="Times New Roman" w:hAnsi="Times New Roman"/>
          <w:noProof/>
          <w:sz w:val="24"/>
        </w:rPr>
        <w:t>опани плащанията бяха по-ниски от очакваните. От друга страна разходите по схемата за доброволно обвързано с производството подпомагане бяха по-високи от предвидените.</w:t>
      </w:r>
    </w:p>
    <w:p w:rsidR="00A8726C" w:rsidRDefault="00BB2B8B">
      <w:pPr>
        <w:pStyle w:val="Heading2"/>
        <w:rPr>
          <w:noProof/>
        </w:rPr>
      </w:pPr>
      <w:bookmarkStart w:id="50" w:name="_Toc530432441"/>
      <w:bookmarkStart w:id="51" w:name="_Toc534729267"/>
      <w:r>
        <w:rPr>
          <w:noProof/>
        </w:rPr>
        <w:t>Одит на разходите за земеделие</w:t>
      </w:r>
      <w:bookmarkEnd w:id="50"/>
      <w:bookmarkEnd w:id="51"/>
    </w:p>
    <w:p w:rsidR="00A8726C" w:rsidRDefault="00BB2B8B">
      <w:pPr>
        <w:pStyle w:val="Text1"/>
        <w:rPr>
          <w:noProof/>
        </w:rPr>
      </w:pPr>
      <w:r>
        <w:rPr>
          <w:noProof/>
        </w:rPr>
        <w:t>По отношение на бюджетна глава 05 07 е налице неусвояване</w:t>
      </w:r>
      <w:r>
        <w:rPr>
          <w:noProof/>
        </w:rPr>
        <w:t xml:space="preserve"> в размер на -44,9 млн. евро, главно защото по бюджетен ред 05 07 02 (уреждане на спорове) се очаква във връзка с дело C585/15, „Tirlemontoise“, на Съда на Европейския съюз да бъде декларирана значителна сума през 2019, вместо през 2018 година.  </w:t>
      </w:r>
    </w:p>
    <w:p w:rsidR="00A8726C" w:rsidRDefault="00BB2B8B">
      <w:pPr>
        <w:pStyle w:val="Heading1"/>
        <w:rPr>
          <w:noProof/>
        </w:rPr>
      </w:pPr>
      <w:bookmarkStart w:id="52" w:name="_Toc413145210"/>
      <w:bookmarkStart w:id="53" w:name="_Toc530432442"/>
      <w:bookmarkStart w:id="54" w:name="_Toc534729268"/>
      <w:r>
        <w:rPr>
          <w:noProof/>
        </w:rPr>
        <w:t>Изпълнени</w:t>
      </w:r>
      <w:r>
        <w:rPr>
          <w:noProof/>
        </w:rPr>
        <w:t>е на целевите приходи по линия на ЕФГЗ</w:t>
      </w:r>
      <w:bookmarkEnd w:id="49"/>
      <w:bookmarkEnd w:id="52"/>
      <w:bookmarkEnd w:id="53"/>
      <w:bookmarkEnd w:id="54"/>
    </w:p>
    <w:p w:rsidR="00A8726C" w:rsidRDefault="00BB2B8B">
      <w:pPr>
        <w:spacing w:before="120" w:after="120" w:line="240" w:lineRule="auto"/>
        <w:ind w:left="850"/>
        <w:jc w:val="both"/>
        <w:rPr>
          <w:rFonts w:ascii="Times New Roman" w:hAnsi="Times New Roman"/>
          <w:noProof/>
          <w:sz w:val="24"/>
          <w:szCs w:val="24"/>
        </w:rPr>
      </w:pPr>
      <w:bookmarkStart w:id="55" w:name="_Toc244054028"/>
      <w:r>
        <w:rPr>
          <w:rFonts w:ascii="Times New Roman" w:hAnsi="Times New Roman"/>
          <w:noProof/>
          <w:sz w:val="24"/>
        </w:rPr>
        <w:t>От приложението се вижда, че окончателно наличните за 2018 г. общи целеви приходи възлизат на 1598,2 млн. евро.</w:t>
      </w:r>
    </w:p>
    <w:p w:rsidR="00A8726C" w:rsidRDefault="00BB2B8B">
      <w:pPr>
        <w:spacing w:before="120" w:after="120" w:line="240" w:lineRule="auto"/>
        <w:ind w:left="850"/>
        <w:jc w:val="both"/>
        <w:rPr>
          <w:rFonts w:ascii="Times New Roman" w:hAnsi="Times New Roman"/>
          <w:noProof/>
          <w:sz w:val="24"/>
          <w:szCs w:val="24"/>
        </w:rPr>
      </w:pPr>
      <w:r>
        <w:rPr>
          <w:rFonts w:ascii="Times New Roman" w:hAnsi="Times New Roman"/>
          <w:noProof/>
          <w:sz w:val="24"/>
        </w:rPr>
        <w:t xml:space="preserve">В сравнение с прогнозните размери, приходите от уравняванията на сметки са със 125,5 млн. евро повече, а </w:t>
      </w:r>
      <w:r>
        <w:rPr>
          <w:rFonts w:ascii="Times New Roman" w:hAnsi="Times New Roman"/>
          <w:noProof/>
          <w:sz w:val="24"/>
        </w:rPr>
        <w:t>при нередностите крайната сума е почти равна на очакваната (-0,4 млн. евро). Някои остатъчни приходи от допълнителния налог от производителите на мляко бяха също отразени (3,9 млн. евро).</w:t>
      </w:r>
    </w:p>
    <w:p w:rsidR="00A8726C" w:rsidRDefault="00BB2B8B">
      <w:pPr>
        <w:spacing w:before="120" w:after="120" w:line="240" w:lineRule="auto"/>
        <w:ind w:left="850"/>
        <w:jc w:val="both"/>
        <w:rPr>
          <w:noProof/>
        </w:rPr>
      </w:pPr>
      <w:r>
        <w:rPr>
          <w:rFonts w:ascii="Times New Roman" w:hAnsi="Times New Roman"/>
          <w:noProof/>
          <w:sz w:val="24"/>
        </w:rPr>
        <w:t xml:space="preserve">Остатъкът от неизползваните приходи ще бъде пренесен във финансовата 2019 г., за да допринесе за финансиране на разходите по линия на ЕФГЗ през посочената година. </w:t>
      </w:r>
    </w:p>
    <w:p w:rsidR="00A8726C" w:rsidRDefault="00BB2B8B">
      <w:pPr>
        <w:pStyle w:val="Heading1"/>
        <w:rPr>
          <w:noProof/>
        </w:rPr>
      </w:pPr>
      <w:bookmarkStart w:id="56" w:name="_Toc244054030"/>
      <w:bookmarkStart w:id="57" w:name="_Toc413145211"/>
      <w:bookmarkStart w:id="58" w:name="_Toc530432443"/>
      <w:bookmarkStart w:id="59" w:name="_Toc534729269"/>
      <w:bookmarkEnd w:id="55"/>
      <w:r>
        <w:rPr>
          <w:noProof/>
        </w:rPr>
        <w:t>Заключения</w:t>
      </w:r>
      <w:bookmarkEnd w:id="56"/>
      <w:bookmarkEnd w:id="57"/>
      <w:bookmarkEnd w:id="58"/>
      <w:bookmarkEnd w:id="59"/>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Предварителните данни за изпълнението на бюджета на ЕФГЗ за 2018 г., включително </w:t>
      </w:r>
      <w:r>
        <w:rPr>
          <w:rFonts w:ascii="Times New Roman" w:hAnsi="Times New Roman"/>
          <w:noProof/>
          <w:sz w:val="24"/>
        </w:rPr>
        <w:t>разчетните разходи по мерките за контрол при пряко управление от Комисията до 31 декември 2018 г., показват преизпълнение с 1 152 млн. евро в сравнение с одобрените бюджетни кредити. Това преизпълнение е покрито от наличните целеви приходи в размер на 1 59</w:t>
      </w:r>
      <w:r>
        <w:rPr>
          <w:rFonts w:ascii="Times New Roman" w:hAnsi="Times New Roman"/>
          <w:noProof/>
          <w:sz w:val="24"/>
        </w:rPr>
        <w:t>8 млн.евро.</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Резервът при кризи не бе мобилизиран през 2018 г. (459,5 млн.евро). Затова сумата от действително приложената през 2018 г. финансова дисциплина ще бъде на разположение за пренос на бюджетните кредити към 2019 г. с цел възстановяване на разходит</w:t>
      </w:r>
      <w:r>
        <w:rPr>
          <w:rFonts w:ascii="Times New Roman" w:hAnsi="Times New Roman"/>
          <w:noProof/>
          <w:sz w:val="24"/>
        </w:rPr>
        <w:t>е за директни плащания към бенефициерите.</w:t>
      </w:r>
    </w:p>
    <w:p w:rsidR="00A8726C" w:rsidRDefault="00BB2B8B">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Трябва да се извършат още няколко корекции и трансфери на бюджетни кредити в края на годината, които ще окажат слабо въздействие върху крайния размер на целевите приходи за пренос към бюджета за 2019 г. В контекста</w:t>
      </w:r>
      <w:r>
        <w:rPr>
          <w:rFonts w:ascii="Times New Roman" w:hAnsi="Times New Roman"/>
          <w:noProof/>
          <w:sz w:val="24"/>
        </w:rPr>
        <w:t xml:space="preserve"> на помирителната процедура по бюджета за 2019 г. този краен размер за пренос към 2019 година се изчисляваше на 444 млн. евро.</w:t>
      </w:r>
    </w:p>
    <w:p w:rsidR="00A8726C" w:rsidRDefault="00A8726C">
      <w:pPr>
        <w:spacing w:before="120" w:after="120" w:line="240" w:lineRule="auto"/>
        <w:ind w:left="850"/>
        <w:jc w:val="both"/>
        <w:rPr>
          <w:rFonts w:ascii="Times New Roman" w:eastAsia="Times New Roman" w:hAnsi="Times New Roman"/>
          <w:i/>
          <w:noProof/>
          <w:sz w:val="24"/>
          <w:szCs w:val="24"/>
        </w:rPr>
      </w:pPr>
    </w:p>
    <w:p w:rsidR="00A8726C" w:rsidRDefault="00A8726C">
      <w:pPr>
        <w:spacing w:before="120" w:after="120" w:line="240" w:lineRule="auto"/>
        <w:ind w:left="850"/>
        <w:jc w:val="both"/>
        <w:rPr>
          <w:noProof/>
        </w:rPr>
      </w:pPr>
    </w:p>
    <w:sectPr w:rsidR="00A8726C">
      <w:headerReference w:type="even" r:id="rId21"/>
      <w:headerReference w:type="default" r:id="rId22"/>
      <w:footerReference w:type="even" r:id="rId23"/>
      <w:footerReference w:type="default" r:id="rId24"/>
      <w:headerReference w:type="first" r:id="rId25"/>
      <w:footerReference w:type="first" r:id="rId26"/>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6C" w:rsidRDefault="00BB2B8B">
      <w:pPr>
        <w:spacing w:after="0" w:line="240" w:lineRule="auto"/>
      </w:pPr>
      <w:r>
        <w:separator/>
      </w:r>
    </w:p>
  </w:endnote>
  <w:endnote w:type="continuationSeparator" w:id="0">
    <w:p w:rsidR="00A8726C" w:rsidRDefault="00BB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BB2B8B">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BB2B8B">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rsidR="00A8726C" w:rsidRDefault="00A872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BB2B8B">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w:t>
    </w:r>
    <w:r>
      <w:rPr>
        <w:noProof/>
        <w:szCs w:val="24"/>
      </w:rPr>
      <w:fldChar w:fldCharType="end"/>
    </w:r>
  </w:p>
  <w:p w:rsidR="00A8726C" w:rsidRDefault="00A872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6C" w:rsidRDefault="00BB2B8B">
      <w:pPr>
        <w:spacing w:after="0" w:line="240" w:lineRule="auto"/>
      </w:pPr>
      <w:r>
        <w:separator/>
      </w:r>
    </w:p>
  </w:footnote>
  <w:footnote w:type="continuationSeparator" w:id="0">
    <w:p w:rsidR="00A8726C" w:rsidRDefault="00BB2B8B">
      <w:pPr>
        <w:spacing w:after="0" w:line="240" w:lineRule="auto"/>
      </w:pPr>
      <w:r>
        <w:continuationSeparator/>
      </w:r>
    </w:p>
  </w:footnote>
  <w:footnote w:id="1">
    <w:p w:rsidR="00A8726C" w:rsidRDefault="00BB2B8B">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В член 12, параграф 4, буква б) от Регламент (ЕС, Евратом) № 2018/1046 на Европейския парламент и на Съвета за финансовите правила, приложими за общия бюджет на Съюза, се определя, че бюджетните кредити, съответстващи на вътрешни целеви приходи, може да бъ</w:t>
      </w:r>
      <w:r>
        <w:rPr>
          <w:rFonts w:ascii="Times New Roman" w:hAnsi="Times New Roman"/>
        </w:rPr>
        <w:t xml:space="preserve">дат пренасяни само за следващата финансова година. Поради това и в интерес на доброто бюджетно управление тези целеви приходи по принцип се използват преди всички одобрени бюджетни кредити по съответната бюджетна статия.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6C" w:rsidRDefault="00A87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15:restartNumberingAfterBreak="0">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D2B5F97-C49D-4F9B-A9C5-9FA511B8DB85"/>
    <w:docVar w:name="LW_COVERPAGE_TYPE" w:val="1"/>
    <w:docVar w:name="LW_CROSSREFERENCE" w:val="&lt;UNUSED&gt;"/>
    <w:docVar w:name="LW_DocType" w:val="NORMAL"/>
    <w:docVar w:name="LW_EMISSION" w:val="1.2.2019"/>
    <w:docVar w:name="LW_EMISSION_ISODATE" w:val="2019-02-01"/>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79?\u1072? \u1088?\u1072?\u1079?\u1093?\u1086?\u1076?\u1080?\u1090?\u1077? \u1087?\u1086? \u1083?\u1080?\u1085?\u1080?\u1103? \u1085?\u1072? \u1045?\u1074?\u1088?\u1086?\u1087?\u1077?\u1081?\u1089?\u1082?\u1080?\u1103? \u1092?\u1086?\u1085?\u1076? \u1079?\u1072? \u1075?\u1072?\u1088?\u1072?\u1085?\u1090?\u1080?\u1088?\u1072?\u1085?\u1077? \u1085?\u1072? \u1079?\u1077?\u1084?\u1077?\u1076?\u1077?\u1083?\u1080?\u1077?\u1090?\u1086? (\u1045?\u1060?\u1043?\u1047?)_x000d__x000b__x000d__x000d__x000d__x000b__x000d__x000d__x000d__x000b__x000d__x000d__x000d__x000b_\u1057?\u1080?\u1089?\u1090?\u1077?\u1084?\u1072? \u1079?\u1072? \u1088?\u1072?\u1085?\u1085?\u1086? \u1087?\u1088?\u1077?\u1076?\u1091?\u1087?\u1088?\u1077?\u1078?\u1076?\u1077?\u1085?\u1080?\u1077? \u8470? 11-12/2018"/>
    <w:docVar w:name="LW_TYPE.DOC.CP" w:val="\u1044?\u1054?\u1050?\u1051?\u1040?\u1044? \u1053?\u1040? \u1050?\u1054?\u1052?\u1048?\u1057?\u1048?\u1071?\u1058?\u1040? \u1044?\u1054? \u1045?\u1042?\u1056?\u1054?\u1055?\u1045?\u1049?\u1057?\u1050?\u1048?\u1071? \u1055?\u1040?\u1056?\u1051?\u1040?\u1052?\u1045?\u1053?\u1058? \u1048? \u1057?\u1066?\u1042?\u1045?\u1058?\u1040?"/>
  </w:docVars>
  <w:rsids>
    <w:rsidRoot w:val="00A8726C"/>
    <w:rsid w:val="00A8726C"/>
    <w:rsid w:val="00BB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7B0B0667-1D22-479A-BDEB-92268DC8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bg-BG"/>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bg-BG"/>
    </w:rPr>
  </w:style>
  <w:style w:type="character" w:customStyle="1" w:styleId="Heading2Char">
    <w:name w:val="Heading 2 Char"/>
    <w:link w:val="Heading2"/>
    <w:rPr>
      <w:rFonts w:ascii="Times New Roman" w:eastAsia="Times New Roman" w:hAnsi="Times New Roman"/>
      <w:b/>
      <w:bCs/>
      <w:iCs/>
      <w:sz w:val="24"/>
      <w:szCs w:val="28"/>
      <w:lang w:eastAsia="bg-BG"/>
    </w:rPr>
  </w:style>
  <w:style w:type="character" w:customStyle="1" w:styleId="Heading3Char">
    <w:name w:val="Heading 3 Char"/>
    <w:link w:val="Heading3"/>
    <w:rPr>
      <w:rFonts w:ascii="Times New Roman" w:eastAsia="Times New Roman" w:hAnsi="Times New Roman"/>
      <w:bCs/>
      <w:i/>
      <w:sz w:val="24"/>
      <w:szCs w:val="26"/>
      <w:lang w:eastAsia="bg-BG"/>
    </w:rPr>
  </w:style>
  <w:style w:type="character" w:customStyle="1" w:styleId="Heading4Char">
    <w:name w:val="Heading 4 Char"/>
    <w:link w:val="Heading4"/>
    <w:semiHidden/>
    <w:rPr>
      <w:rFonts w:ascii="Times New Roman" w:eastAsia="Times New Roman" w:hAnsi="Times New Roman"/>
      <w:bCs/>
      <w:sz w:val="24"/>
      <w:szCs w:val="28"/>
      <w:lang w:eastAsia="bg-BG"/>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bg-BG"/>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bg-BG"/>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3DD4-4B4E-4AD9-A2B5-F6AF88A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1789</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KONONIUK Agnieszka (SG)</cp:lastModifiedBy>
  <cp:revision>28</cp:revision>
  <cp:lastPrinted>2018-11-22T13:29:00Z</cp:lastPrinted>
  <dcterms:created xsi:type="dcterms:W3CDTF">2018-11-22T15:08:00Z</dcterms:created>
  <dcterms:modified xsi:type="dcterms:W3CDTF">2019-02-01T14:24:00Z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