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52F" w:rsidRDefault="00F762BC">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C9E8F96-4E04-400F-9574-AB1CEC2684AF" style="width:450.75pt;height:348pt">
            <v:imagedata r:id="rId8" o:title=""/>
          </v:shape>
        </w:pict>
      </w:r>
    </w:p>
    <w:bookmarkEnd w:id="0"/>
    <w:p w:rsidR="0012152F" w:rsidRDefault="0012152F">
      <w:pPr>
        <w:rPr>
          <w:noProof/>
        </w:rPr>
        <w:sectPr w:rsidR="0012152F">
          <w:headerReference w:type="even" r:id="rId9"/>
          <w:headerReference w:type="default" r:id="rId10"/>
          <w:footerReference w:type="even" r:id="rId11"/>
          <w:footerReference w:type="default" r:id="rId12"/>
          <w:headerReference w:type="first" r:id="rId13"/>
          <w:footerReference w:type="first" r:id="rId14"/>
          <w:pgSz w:w="11907" w:h="16840"/>
          <w:pgMar w:top="1134" w:right="1417" w:bottom="1134" w:left="1417" w:header="709" w:footer="709" w:gutter="0"/>
          <w:pgNumType w:start="1"/>
          <w:cols w:space="720"/>
          <w:docGrid w:linePitch="299"/>
        </w:sectPr>
      </w:pPr>
    </w:p>
    <w:p w:rsidR="0012152F" w:rsidRDefault="0012152F">
      <w:pPr>
        <w:spacing w:after="0"/>
        <w:rPr>
          <w:rFonts w:ascii="Times New Roman" w:hAnsi="Times New Roman"/>
          <w:noProof/>
          <w:sz w:val="24"/>
          <w:szCs w:val="24"/>
        </w:rPr>
      </w:pPr>
      <w:bookmarkStart w:id="1" w:name="_GoBack"/>
      <w:bookmarkEnd w:id="1"/>
    </w:p>
    <w:sdt>
      <w:sdtPr>
        <w:rPr>
          <w:rFonts w:ascii="Calibri" w:eastAsia="Calibri" w:hAnsi="Calibri"/>
          <w:b w:val="0"/>
          <w:noProof/>
          <w:sz w:val="22"/>
          <w:szCs w:val="22"/>
        </w:rPr>
        <w:id w:val="670845034"/>
        <w:docPartObj>
          <w:docPartGallery w:val="Table of Contents"/>
          <w:docPartUnique/>
        </w:docPartObj>
      </w:sdtPr>
      <w:sdtEndPr>
        <w:rPr>
          <w:bCs/>
        </w:rPr>
      </w:sdtEndPr>
      <w:sdtContent>
        <w:p w:rsidR="0012152F" w:rsidRDefault="00F762BC">
          <w:pPr>
            <w:pStyle w:val="TOCHeading"/>
            <w:rPr>
              <w:noProof/>
            </w:rPr>
          </w:pPr>
          <w:r>
            <w:rPr>
              <w:noProof/>
            </w:rPr>
            <w:t>Obsah</w:t>
          </w:r>
        </w:p>
        <w:p w:rsidR="0012152F" w:rsidRDefault="00F762BC">
          <w:pPr>
            <w:pStyle w:val="TOC1"/>
            <w:rPr>
              <w:rFonts w:asciiTheme="minorHAnsi" w:eastAsiaTheme="minorEastAsia" w:hAnsiTheme="minorHAnsi" w:cstheme="minorBidi"/>
              <w:noProof/>
              <w:sz w:val="22"/>
              <w:szCs w:val="22"/>
              <w:lang w:val="en-GB" w:eastAsia="en-GB" w:bidi="ar-SA"/>
            </w:rPr>
          </w:pPr>
          <w:r>
            <w:rPr>
              <w:noProof/>
            </w:rPr>
            <w:fldChar w:fldCharType="begin"/>
          </w:r>
          <w:r>
            <w:rPr>
              <w:noProof/>
            </w:rPr>
            <w:instrText xml:space="preserve"> TOC \o "1-3" \h \z \u </w:instrText>
          </w:r>
          <w:r>
            <w:rPr>
              <w:noProof/>
            </w:rPr>
            <w:fldChar w:fldCharType="separate"/>
          </w:r>
          <w:hyperlink w:anchor="_Toc534708605" w:history="1">
            <w:r>
              <w:rPr>
                <w:rStyle w:val="Hyperlink"/>
                <w:noProof/>
              </w:rPr>
              <w:t>1.</w:t>
            </w:r>
            <w:r>
              <w:rPr>
                <w:rFonts w:asciiTheme="minorHAnsi" w:eastAsiaTheme="minorEastAsia" w:hAnsiTheme="minorHAnsi" w:cstheme="minorBidi"/>
                <w:noProof/>
                <w:sz w:val="22"/>
                <w:szCs w:val="22"/>
                <w:lang w:val="en-GB" w:eastAsia="en-GB" w:bidi="ar-SA"/>
              </w:rPr>
              <w:tab/>
            </w:r>
            <w:r>
              <w:rPr>
                <w:rStyle w:val="Hyperlink"/>
                <w:noProof/>
              </w:rPr>
              <w:t>Rozpočtový proces EZZF na rok 2018</w:t>
            </w:r>
            <w:r>
              <w:rPr>
                <w:noProof/>
                <w:webHidden/>
              </w:rPr>
              <w:tab/>
            </w:r>
            <w:r>
              <w:rPr>
                <w:noProof/>
                <w:webHidden/>
              </w:rPr>
              <w:fldChar w:fldCharType="begin"/>
            </w:r>
            <w:r>
              <w:rPr>
                <w:noProof/>
                <w:webHidden/>
              </w:rPr>
              <w:instrText xml:space="preserve"> PAGEREF _Toc534708605 \h </w:instrText>
            </w:r>
            <w:r>
              <w:rPr>
                <w:noProof/>
                <w:webHidden/>
              </w:rPr>
            </w:r>
            <w:r>
              <w:rPr>
                <w:noProof/>
                <w:webHidden/>
              </w:rPr>
              <w:fldChar w:fldCharType="separate"/>
            </w:r>
            <w:r>
              <w:rPr>
                <w:noProof/>
                <w:webHidden/>
              </w:rPr>
              <w:t>2</w:t>
            </w:r>
            <w:r>
              <w:rPr>
                <w:noProof/>
                <w:webHidden/>
              </w:rPr>
              <w:fldChar w:fldCharType="end"/>
            </w:r>
          </w:hyperlink>
        </w:p>
        <w:p w:rsidR="0012152F" w:rsidRDefault="00F762BC">
          <w:pPr>
            <w:pStyle w:val="TOC1"/>
            <w:rPr>
              <w:rFonts w:asciiTheme="minorHAnsi" w:eastAsiaTheme="minorEastAsia" w:hAnsiTheme="minorHAnsi" w:cstheme="minorBidi"/>
              <w:noProof/>
              <w:sz w:val="22"/>
              <w:szCs w:val="22"/>
              <w:lang w:val="en-GB" w:eastAsia="en-GB" w:bidi="ar-SA"/>
            </w:rPr>
          </w:pPr>
          <w:hyperlink w:anchor="_Toc534708606" w:history="1">
            <w:r>
              <w:rPr>
                <w:rStyle w:val="Hyperlink"/>
                <w:noProof/>
              </w:rPr>
              <w:t>2.</w:t>
            </w:r>
            <w:r>
              <w:rPr>
                <w:rFonts w:asciiTheme="minorHAnsi" w:eastAsiaTheme="minorEastAsia" w:hAnsiTheme="minorHAnsi" w:cstheme="minorBidi"/>
                <w:noProof/>
                <w:sz w:val="22"/>
                <w:szCs w:val="22"/>
                <w:lang w:val="en-GB" w:eastAsia="en-GB" w:bidi="ar-SA"/>
              </w:rPr>
              <w:tab/>
            </w:r>
            <w:r>
              <w:rPr>
                <w:rStyle w:val="Hyperlink"/>
                <w:noProof/>
              </w:rPr>
              <w:t>Účelově vázané příjmy EZZF</w:t>
            </w:r>
            <w:r>
              <w:rPr>
                <w:noProof/>
                <w:webHidden/>
              </w:rPr>
              <w:tab/>
            </w:r>
            <w:r>
              <w:rPr>
                <w:noProof/>
                <w:webHidden/>
              </w:rPr>
              <w:fldChar w:fldCharType="begin"/>
            </w:r>
            <w:r>
              <w:rPr>
                <w:noProof/>
                <w:webHidden/>
              </w:rPr>
              <w:instrText xml:space="preserve"> PAGEREF _Toc534708606 \h </w:instrText>
            </w:r>
            <w:r>
              <w:rPr>
                <w:noProof/>
                <w:webHidden/>
              </w:rPr>
            </w:r>
            <w:r>
              <w:rPr>
                <w:noProof/>
                <w:webHidden/>
              </w:rPr>
              <w:fldChar w:fldCharType="separate"/>
            </w:r>
            <w:r>
              <w:rPr>
                <w:noProof/>
                <w:webHidden/>
              </w:rPr>
              <w:t>2</w:t>
            </w:r>
            <w:r>
              <w:rPr>
                <w:noProof/>
                <w:webHidden/>
              </w:rPr>
              <w:fldChar w:fldCharType="end"/>
            </w:r>
          </w:hyperlink>
        </w:p>
        <w:p w:rsidR="0012152F" w:rsidRDefault="00F762BC">
          <w:pPr>
            <w:pStyle w:val="TOC1"/>
            <w:rPr>
              <w:rFonts w:asciiTheme="minorHAnsi" w:eastAsiaTheme="minorEastAsia" w:hAnsiTheme="minorHAnsi" w:cstheme="minorBidi"/>
              <w:noProof/>
              <w:sz w:val="22"/>
              <w:szCs w:val="22"/>
              <w:lang w:val="en-GB" w:eastAsia="en-GB" w:bidi="ar-SA"/>
            </w:rPr>
          </w:pPr>
          <w:hyperlink w:anchor="_Toc534708607" w:history="1">
            <w:r>
              <w:rPr>
                <w:rStyle w:val="Hyperlink"/>
                <w:noProof/>
              </w:rPr>
              <w:t>3.</w:t>
            </w:r>
            <w:r>
              <w:rPr>
                <w:rFonts w:asciiTheme="minorHAnsi" w:eastAsiaTheme="minorEastAsia" w:hAnsiTheme="minorHAnsi" w:cstheme="minorBidi"/>
                <w:noProof/>
                <w:sz w:val="22"/>
                <w:szCs w:val="22"/>
                <w:lang w:val="en-GB" w:eastAsia="en-GB" w:bidi="ar-SA"/>
              </w:rPr>
              <w:tab/>
            </w:r>
            <w:r>
              <w:rPr>
                <w:rStyle w:val="Hyperlink"/>
                <w:noProof/>
              </w:rPr>
              <w:t>Poznámky k prozatímnímu plnění rozpočtu EZZF na rok 2018</w:t>
            </w:r>
            <w:r>
              <w:rPr>
                <w:noProof/>
                <w:webHidden/>
              </w:rPr>
              <w:tab/>
            </w:r>
            <w:r>
              <w:rPr>
                <w:noProof/>
                <w:webHidden/>
              </w:rPr>
              <w:fldChar w:fldCharType="begin"/>
            </w:r>
            <w:r>
              <w:rPr>
                <w:noProof/>
                <w:webHidden/>
              </w:rPr>
              <w:instrText xml:space="preserve"> PAGEREF _Toc534708607 \h </w:instrText>
            </w:r>
            <w:r>
              <w:rPr>
                <w:noProof/>
                <w:webHidden/>
              </w:rPr>
            </w:r>
            <w:r>
              <w:rPr>
                <w:noProof/>
                <w:webHidden/>
              </w:rPr>
              <w:fldChar w:fldCharType="separate"/>
            </w:r>
            <w:r>
              <w:rPr>
                <w:noProof/>
                <w:webHidden/>
              </w:rPr>
              <w:t>3</w:t>
            </w:r>
            <w:r>
              <w:rPr>
                <w:noProof/>
                <w:webHidden/>
              </w:rPr>
              <w:fldChar w:fldCharType="end"/>
            </w:r>
          </w:hyperlink>
        </w:p>
        <w:p w:rsidR="0012152F" w:rsidRDefault="00F762BC">
          <w:pPr>
            <w:pStyle w:val="TOC2"/>
            <w:tabs>
              <w:tab w:val="left" w:pos="850"/>
              <w:tab w:val="right" w:leader="dot" w:pos="9039"/>
            </w:tabs>
            <w:rPr>
              <w:rFonts w:asciiTheme="minorHAnsi" w:eastAsiaTheme="minorEastAsia" w:hAnsiTheme="minorHAnsi" w:cstheme="minorBidi"/>
              <w:noProof/>
              <w:lang w:val="en-GB" w:eastAsia="en-GB" w:bidi="ar-SA"/>
            </w:rPr>
          </w:pPr>
          <w:hyperlink w:anchor="_Toc534708608" w:history="1">
            <w:r>
              <w:rPr>
                <w:rStyle w:val="Hyperlink"/>
                <w:noProof/>
              </w:rPr>
              <w:t>3.1.</w:t>
            </w:r>
            <w:r>
              <w:rPr>
                <w:rFonts w:asciiTheme="minorHAnsi" w:eastAsiaTheme="minorEastAsia" w:hAnsiTheme="minorHAnsi" w:cstheme="minorBidi"/>
                <w:noProof/>
                <w:lang w:val="en-GB" w:eastAsia="en-GB" w:bidi="ar-SA"/>
              </w:rPr>
              <w:tab/>
            </w:r>
            <w:r>
              <w:rPr>
                <w:rStyle w:val="Hyperlink"/>
                <w:noProof/>
              </w:rPr>
              <w:t>Tržní opatření</w:t>
            </w:r>
            <w:r>
              <w:rPr>
                <w:noProof/>
                <w:webHidden/>
              </w:rPr>
              <w:tab/>
            </w:r>
            <w:r>
              <w:rPr>
                <w:noProof/>
                <w:webHidden/>
              </w:rPr>
              <w:fldChar w:fldCharType="begin"/>
            </w:r>
            <w:r>
              <w:rPr>
                <w:noProof/>
                <w:webHidden/>
              </w:rPr>
              <w:instrText xml:space="preserve"> PAGEREF _Toc534708608 \h </w:instrText>
            </w:r>
            <w:r>
              <w:rPr>
                <w:noProof/>
                <w:webHidden/>
              </w:rPr>
            </w:r>
            <w:r>
              <w:rPr>
                <w:noProof/>
                <w:webHidden/>
              </w:rPr>
              <w:fldChar w:fldCharType="separate"/>
            </w:r>
            <w:r>
              <w:rPr>
                <w:noProof/>
                <w:webHidden/>
              </w:rPr>
              <w:t>3</w:t>
            </w:r>
            <w:r>
              <w:rPr>
                <w:noProof/>
                <w:webHidden/>
              </w:rPr>
              <w:fldChar w:fldCharType="end"/>
            </w:r>
          </w:hyperlink>
        </w:p>
        <w:p w:rsidR="0012152F" w:rsidRDefault="00F762BC">
          <w:pPr>
            <w:pStyle w:val="TOC3"/>
            <w:tabs>
              <w:tab w:val="left" w:pos="1320"/>
              <w:tab w:val="right" w:leader="dot" w:pos="9039"/>
            </w:tabs>
            <w:rPr>
              <w:rFonts w:asciiTheme="minorHAnsi" w:eastAsiaTheme="minorEastAsia" w:hAnsiTheme="minorHAnsi" w:cstheme="minorBidi"/>
              <w:noProof/>
              <w:lang w:val="en-GB" w:eastAsia="en-GB" w:bidi="ar-SA"/>
            </w:rPr>
          </w:pPr>
          <w:hyperlink w:anchor="_Toc534708609" w:history="1">
            <w:r>
              <w:rPr>
                <w:rStyle w:val="Hyperlink"/>
                <w:noProof/>
              </w:rPr>
              <w:t>3.1.1.</w:t>
            </w:r>
            <w:r>
              <w:rPr>
                <w:rFonts w:asciiTheme="minorHAnsi" w:eastAsiaTheme="minorEastAsia" w:hAnsiTheme="minorHAnsi" w:cstheme="minorBidi"/>
                <w:noProof/>
                <w:lang w:val="en-GB" w:eastAsia="en-GB" w:bidi="ar-SA"/>
              </w:rPr>
              <w:tab/>
            </w:r>
            <w:r>
              <w:rPr>
                <w:rStyle w:val="Hyperlink"/>
                <w:noProof/>
              </w:rPr>
              <w:t>Ovoce a zelenina</w:t>
            </w:r>
            <w:r>
              <w:rPr>
                <w:noProof/>
                <w:webHidden/>
              </w:rPr>
              <w:tab/>
            </w:r>
            <w:r>
              <w:rPr>
                <w:noProof/>
                <w:webHidden/>
              </w:rPr>
              <w:fldChar w:fldCharType="begin"/>
            </w:r>
            <w:r>
              <w:rPr>
                <w:noProof/>
                <w:webHidden/>
              </w:rPr>
              <w:instrText xml:space="preserve"> PAGEREF _Toc534708609 \h </w:instrText>
            </w:r>
            <w:r>
              <w:rPr>
                <w:noProof/>
                <w:webHidden/>
              </w:rPr>
            </w:r>
            <w:r>
              <w:rPr>
                <w:noProof/>
                <w:webHidden/>
              </w:rPr>
              <w:fldChar w:fldCharType="separate"/>
            </w:r>
            <w:r>
              <w:rPr>
                <w:noProof/>
                <w:webHidden/>
              </w:rPr>
              <w:t>3</w:t>
            </w:r>
            <w:r>
              <w:rPr>
                <w:noProof/>
                <w:webHidden/>
              </w:rPr>
              <w:fldChar w:fldCharType="end"/>
            </w:r>
          </w:hyperlink>
        </w:p>
        <w:p w:rsidR="0012152F" w:rsidRDefault="00F762BC">
          <w:pPr>
            <w:pStyle w:val="TOC3"/>
            <w:tabs>
              <w:tab w:val="left" w:pos="1320"/>
              <w:tab w:val="right" w:leader="dot" w:pos="9039"/>
            </w:tabs>
            <w:rPr>
              <w:rFonts w:asciiTheme="minorHAnsi" w:eastAsiaTheme="minorEastAsia" w:hAnsiTheme="minorHAnsi" w:cstheme="minorBidi"/>
              <w:noProof/>
              <w:lang w:val="en-GB" w:eastAsia="en-GB" w:bidi="ar-SA"/>
            </w:rPr>
          </w:pPr>
          <w:hyperlink w:anchor="_Toc534708610" w:history="1">
            <w:r>
              <w:rPr>
                <w:rStyle w:val="Hyperlink"/>
                <w:noProof/>
              </w:rPr>
              <w:t>3.1.2.</w:t>
            </w:r>
            <w:r>
              <w:rPr>
                <w:rFonts w:asciiTheme="minorHAnsi" w:eastAsiaTheme="minorEastAsia" w:hAnsiTheme="minorHAnsi" w:cstheme="minorBidi"/>
                <w:noProof/>
                <w:lang w:val="en-GB" w:eastAsia="en-GB" w:bidi="ar-SA"/>
              </w:rPr>
              <w:tab/>
            </w:r>
            <w:r>
              <w:rPr>
                <w:rStyle w:val="Hyperlink"/>
                <w:noProof/>
              </w:rPr>
              <w:t>Vinařské produkty</w:t>
            </w:r>
            <w:r>
              <w:rPr>
                <w:noProof/>
                <w:webHidden/>
              </w:rPr>
              <w:tab/>
            </w:r>
            <w:r>
              <w:rPr>
                <w:noProof/>
                <w:webHidden/>
              </w:rPr>
              <w:fldChar w:fldCharType="begin"/>
            </w:r>
            <w:r>
              <w:rPr>
                <w:noProof/>
                <w:webHidden/>
              </w:rPr>
              <w:instrText xml:space="preserve"> PAGEREF _Toc534708610 \h </w:instrText>
            </w:r>
            <w:r>
              <w:rPr>
                <w:noProof/>
                <w:webHidden/>
              </w:rPr>
            </w:r>
            <w:r>
              <w:rPr>
                <w:noProof/>
                <w:webHidden/>
              </w:rPr>
              <w:fldChar w:fldCharType="separate"/>
            </w:r>
            <w:r>
              <w:rPr>
                <w:noProof/>
                <w:webHidden/>
              </w:rPr>
              <w:t>4</w:t>
            </w:r>
            <w:r>
              <w:rPr>
                <w:noProof/>
                <w:webHidden/>
              </w:rPr>
              <w:fldChar w:fldCharType="end"/>
            </w:r>
          </w:hyperlink>
        </w:p>
        <w:p w:rsidR="0012152F" w:rsidRDefault="00F762BC">
          <w:pPr>
            <w:pStyle w:val="TOC3"/>
            <w:tabs>
              <w:tab w:val="left" w:pos="1320"/>
              <w:tab w:val="right" w:leader="dot" w:pos="9039"/>
            </w:tabs>
            <w:rPr>
              <w:rFonts w:asciiTheme="minorHAnsi" w:eastAsiaTheme="minorEastAsia" w:hAnsiTheme="minorHAnsi" w:cstheme="minorBidi"/>
              <w:noProof/>
              <w:lang w:val="en-GB" w:eastAsia="en-GB" w:bidi="ar-SA"/>
            </w:rPr>
          </w:pPr>
          <w:hyperlink w:anchor="_Toc534708611" w:history="1">
            <w:r>
              <w:rPr>
                <w:rStyle w:val="Hyperlink"/>
                <w:noProof/>
              </w:rPr>
              <w:t>3.1.3.</w:t>
            </w:r>
            <w:r>
              <w:rPr>
                <w:rFonts w:asciiTheme="minorHAnsi" w:eastAsiaTheme="minorEastAsia" w:hAnsiTheme="minorHAnsi" w:cstheme="minorBidi"/>
                <w:noProof/>
                <w:lang w:val="en-GB" w:eastAsia="en-GB" w:bidi="ar-SA"/>
              </w:rPr>
              <w:tab/>
            </w:r>
            <w:r>
              <w:rPr>
                <w:rStyle w:val="Hyperlink"/>
                <w:noProof/>
              </w:rPr>
              <w:t>Mléko a mléčné výrobky</w:t>
            </w:r>
            <w:r>
              <w:rPr>
                <w:noProof/>
                <w:webHidden/>
              </w:rPr>
              <w:tab/>
            </w:r>
            <w:r>
              <w:rPr>
                <w:noProof/>
                <w:webHidden/>
              </w:rPr>
              <w:fldChar w:fldCharType="begin"/>
            </w:r>
            <w:r>
              <w:rPr>
                <w:noProof/>
                <w:webHidden/>
              </w:rPr>
              <w:instrText xml:space="preserve"> PAGEREF _Toc534708611 \h </w:instrText>
            </w:r>
            <w:r>
              <w:rPr>
                <w:noProof/>
                <w:webHidden/>
              </w:rPr>
            </w:r>
            <w:r>
              <w:rPr>
                <w:noProof/>
                <w:webHidden/>
              </w:rPr>
              <w:fldChar w:fldCharType="separate"/>
            </w:r>
            <w:r>
              <w:rPr>
                <w:noProof/>
                <w:webHidden/>
              </w:rPr>
              <w:t>4</w:t>
            </w:r>
            <w:r>
              <w:rPr>
                <w:noProof/>
                <w:webHidden/>
              </w:rPr>
              <w:fldChar w:fldCharType="end"/>
            </w:r>
          </w:hyperlink>
        </w:p>
        <w:p w:rsidR="0012152F" w:rsidRDefault="00F762BC">
          <w:pPr>
            <w:pStyle w:val="TOC3"/>
            <w:tabs>
              <w:tab w:val="left" w:pos="1320"/>
              <w:tab w:val="right" w:leader="dot" w:pos="9039"/>
            </w:tabs>
            <w:rPr>
              <w:rFonts w:asciiTheme="minorHAnsi" w:eastAsiaTheme="minorEastAsia" w:hAnsiTheme="minorHAnsi" w:cstheme="minorBidi"/>
              <w:noProof/>
              <w:lang w:val="en-GB" w:eastAsia="en-GB" w:bidi="ar-SA"/>
            </w:rPr>
          </w:pPr>
          <w:hyperlink w:anchor="_Toc534708612" w:history="1">
            <w:r>
              <w:rPr>
                <w:rStyle w:val="Hyperlink"/>
                <w:noProof/>
              </w:rPr>
              <w:t>3.1.4.</w:t>
            </w:r>
            <w:r>
              <w:rPr>
                <w:rFonts w:asciiTheme="minorHAnsi" w:eastAsiaTheme="minorEastAsia" w:hAnsiTheme="minorHAnsi" w:cstheme="minorBidi"/>
                <w:noProof/>
                <w:lang w:val="en-GB" w:eastAsia="en-GB" w:bidi="ar-SA"/>
              </w:rPr>
              <w:tab/>
            </w:r>
            <w:r>
              <w:rPr>
                <w:rStyle w:val="Hyperlink"/>
                <w:noProof/>
              </w:rPr>
              <w:t>Vepřové, vejce a drůbež, včelařství a ostatní živočišné produkty</w:t>
            </w:r>
            <w:r>
              <w:rPr>
                <w:noProof/>
                <w:webHidden/>
              </w:rPr>
              <w:tab/>
            </w:r>
            <w:r>
              <w:rPr>
                <w:noProof/>
                <w:webHidden/>
              </w:rPr>
              <w:fldChar w:fldCharType="begin"/>
            </w:r>
            <w:r>
              <w:rPr>
                <w:noProof/>
                <w:webHidden/>
              </w:rPr>
              <w:instrText xml:space="preserve"> PAGEREF _Toc534708612 \h </w:instrText>
            </w:r>
            <w:r>
              <w:rPr>
                <w:noProof/>
                <w:webHidden/>
              </w:rPr>
            </w:r>
            <w:r>
              <w:rPr>
                <w:noProof/>
                <w:webHidden/>
              </w:rPr>
              <w:fldChar w:fldCharType="separate"/>
            </w:r>
            <w:r>
              <w:rPr>
                <w:noProof/>
                <w:webHidden/>
              </w:rPr>
              <w:t>4</w:t>
            </w:r>
            <w:r>
              <w:rPr>
                <w:noProof/>
                <w:webHidden/>
              </w:rPr>
              <w:fldChar w:fldCharType="end"/>
            </w:r>
          </w:hyperlink>
        </w:p>
        <w:p w:rsidR="0012152F" w:rsidRDefault="00F762BC">
          <w:pPr>
            <w:pStyle w:val="TOC3"/>
            <w:tabs>
              <w:tab w:val="left" w:pos="1320"/>
              <w:tab w:val="right" w:leader="dot" w:pos="9039"/>
            </w:tabs>
            <w:rPr>
              <w:rFonts w:asciiTheme="minorHAnsi" w:eastAsiaTheme="minorEastAsia" w:hAnsiTheme="minorHAnsi" w:cstheme="minorBidi"/>
              <w:noProof/>
              <w:lang w:val="en-GB" w:eastAsia="en-GB" w:bidi="ar-SA"/>
            </w:rPr>
          </w:pPr>
          <w:hyperlink w:anchor="_Toc534708613" w:history="1">
            <w:r>
              <w:rPr>
                <w:rStyle w:val="Hyperlink"/>
                <w:noProof/>
              </w:rPr>
              <w:t>3.1.5.</w:t>
            </w:r>
            <w:r>
              <w:rPr>
                <w:rFonts w:asciiTheme="minorHAnsi" w:eastAsiaTheme="minorEastAsia" w:hAnsiTheme="minorHAnsi" w:cstheme="minorBidi"/>
                <w:noProof/>
                <w:lang w:val="en-GB" w:eastAsia="en-GB" w:bidi="ar-SA"/>
              </w:rPr>
              <w:tab/>
            </w:r>
            <w:r>
              <w:rPr>
                <w:rStyle w:val="Hyperlink"/>
                <w:noProof/>
              </w:rPr>
              <w:t>Projekty pro školy</w:t>
            </w:r>
            <w:r>
              <w:rPr>
                <w:noProof/>
                <w:webHidden/>
              </w:rPr>
              <w:tab/>
            </w:r>
            <w:r>
              <w:rPr>
                <w:noProof/>
                <w:webHidden/>
              </w:rPr>
              <w:fldChar w:fldCharType="begin"/>
            </w:r>
            <w:r>
              <w:rPr>
                <w:noProof/>
                <w:webHidden/>
              </w:rPr>
              <w:instrText xml:space="preserve"> PAGEREF _Toc534708613 \h </w:instrText>
            </w:r>
            <w:r>
              <w:rPr>
                <w:noProof/>
                <w:webHidden/>
              </w:rPr>
            </w:r>
            <w:r>
              <w:rPr>
                <w:noProof/>
                <w:webHidden/>
              </w:rPr>
              <w:fldChar w:fldCharType="separate"/>
            </w:r>
            <w:r>
              <w:rPr>
                <w:noProof/>
                <w:webHidden/>
              </w:rPr>
              <w:t>4</w:t>
            </w:r>
            <w:r>
              <w:rPr>
                <w:noProof/>
                <w:webHidden/>
              </w:rPr>
              <w:fldChar w:fldCharType="end"/>
            </w:r>
          </w:hyperlink>
        </w:p>
        <w:p w:rsidR="0012152F" w:rsidRDefault="00F762BC">
          <w:pPr>
            <w:pStyle w:val="TOC2"/>
            <w:tabs>
              <w:tab w:val="left" w:pos="850"/>
              <w:tab w:val="right" w:leader="dot" w:pos="9039"/>
            </w:tabs>
            <w:rPr>
              <w:rFonts w:asciiTheme="minorHAnsi" w:eastAsiaTheme="minorEastAsia" w:hAnsiTheme="minorHAnsi" w:cstheme="minorBidi"/>
              <w:noProof/>
              <w:lang w:val="en-GB" w:eastAsia="en-GB" w:bidi="ar-SA"/>
            </w:rPr>
          </w:pPr>
          <w:hyperlink w:anchor="_Toc534708614" w:history="1">
            <w:r>
              <w:rPr>
                <w:rStyle w:val="Hyperlink"/>
                <w:noProof/>
              </w:rPr>
              <w:t>3.2.</w:t>
            </w:r>
            <w:r>
              <w:rPr>
                <w:rFonts w:asciiTheme="minorHAnsi" w:eastAsiaTheme="minorEastAsia" w:hAnsiTheme="minorHAnsi" w:cstheme="minorBidi"/>
                <w:noProof/>
                <w:lang w:val="en-GB" w:eastAsia="en-GB" w:bidi="ar-SA"/>
              </w:rPr>
              <w:tab/>
            </w:r>
            <w:r>
              <w:rPr>
                <w:rStyle w:val="Hyperlink"/>
                <w:noProof/>
              </w:rPr>
              <w:t>Přímé platby</w:t>
            </w:r>
            <w:r>
              <w:rPr>
                <w:noProof/>
                <w:webHidden/>
              </w:rPr>
              <w:tab/>
            </w:r>
            <w:r>
              <w:rPr>
                <w:noProof/>
                <w:webHidden/>
              </w:rPr>
              <w:fldChar w:fldCharType="begin"/>
            </w:r>
            <w:r>
              <w:rPr>
                <w:noProof/>
                <w:webHidden/>
              </w:rPr>
              <w:instrText xml:space="preserve"> PAGEREF _Toc534708614 \h </w:instrText>
            </w:r>
            <w:r>
              <w:rPr>
                <w:noProof/>
                <w:webHidden/>
              </w:rPr>
            </w:r>
            <w:r>
              <w:rPr>
                <w:noProof/>
                <w:webHidden/>
              </w:rPr>
              <w:fldChar w:fldCharType="separate"/>
            </w:r>
            <w:r>
              <w:rPr>
                <w:noProof/>
                <w:webHidden/>
              </w:rPr>
              <w:t>4</w:t>
            </w:r>
            <w:r>
              <w:rPr>
                <w:noProof/>
                <w:webHidden/>
              </w:rPr>
              <w:fldChar w:fldCharType="end"/>
            </w:r>
          </w:hyperlink>
        </w:p>
        <w:p w:rsidR="0012152F" w:rsidRDefault="00F762BC">
          <w:pPr>
            <w:pStyle w:val="TOC3"/>
            <w:tabs>
              <w:tab w:val="left" w:pos="1320"/>
              <w:tab w:val="right" w:leader="dot" w:pos="9039"/>
            </w:tabs>
            <w:rPr>
              <w:rFonts w:asciiTheme="minorHAnsi" w:eastAsiaTheme="minorEastAsia" w:hAnsiTheme="minorHAnsi" w:cstheme="minorBidi"/>
              <w:noProof/>
              <w:lang w:val="en-GB" w:eastAsia="en-GB" w:bidi="ar-SA"/>
            </w:rPr>
          </w:pPr>
          <w:hyperlink w:anchor="_Toc534708615" w:history="1">
            <w:r>
              <w:rPr>
                <w:rStyle w:val="Hyperlink"/>
                <w:noProof/>
              </w:rPr>
              <w:t>3.2.1.</w:t>
            </w:r>
            <w:r>
              <w:rPr>
                <w:rFonts w:asciiTheme="minorHAnsi" w:eastAsiaTheme="minorEastAsia" w:hAnsiTheme="minorHAnsi" w:cstheme="minorBidi"/>
                <w:noProof/>
                <w:lang w:val="en-GB" w:eastAsia="en-GB" w:bidi="ar-SA"/>
              </w:rPr>
              <w:tab/>
            </w:r>
            <w:r>
              <w:rPr>
                <w:rStyle w:val="Hyperlink"/>
                <w:noProof/>
              </w:rPr>
              <w:t>Přímé platby oddělené od produkce</w:t>
            </w:r>
            <w:r>
              <w:rPr>
                <w:noProof/>
                <w:webHidden/>
              </w:rPr>
              <w:tab/>
            </w:r>
            <w:r>
              <w:rPr>
                <w:noProof/>
                <w:webHidden/>
              </w:rPr>
              <w:fldChar w:fldCharType="begin"/>
            </w:r>
            <w:r>
              <w:rPr>
                <w:noProof/>
                <w:webHidden/>
              </w:rPr>
              <w:instrText xml:space="preserve"> PAGEREF _Toc534708615 \h </w:instrText>
            </w:r>
            <w:r>
              <w:rPr>
                <w:noProof/>
                <w:webHidden/>
              </w:rPr>
            </w:r>
            <w:r>
              <w:rPr>
                <w:noProof/>
                <w:webHidden/>
              </w:rPr>
              <w:fldChar w:fldCharType="separate"/>
            </w:r>
            <w:r>
              <w:rPr>
                <w:noProof/>
                <w:webHidden/>
              </w:rPr>
              <w:t>4</w:t>
            </w:r>
            <w:r>
              <w:rPr>
                <w:noProof/>
                <w:webHidden/>
              </w:rPr>
              <w:fldChar w:fldCharType="end"/>
            </w:r>
          </w:hyperlink>
        </w:p>
        <w:p w:rsidR="0012152F" w:rsidRDefault="00F762BC">
          <w:pPr>
            <w:pStyle w:val="TOC3"/>
            <w:tabs>
              <w:tab w:val="left" w:pos="1320"/>
              <w:tab w:val="right" w:leader="dot" w:pos="9039"/>
            </w:tabs>
            <w:rPr>
              <w:rFonts w:asciiTheme="minorHAnsi" w:eastAsiaTheme="minorEastAsia" w:hAnsiTheme="minorHAnsi" w:cstheme="minorBidi"/>
              <w:noProof/>
              <w:lang w:val="en-GB" w:eastAsia="en-GB" w:bidi="ar-SA"/>
            </w:rPr>
          </w:pPr>
          <w:hyperlink w:anchor="_Toc534708616" w:history="1">
            <w:r>
              <w:rPr>
                <w:rStyle w:val="Hyperlink"/>
                <w:noProof/>
              </w:rPr>
              <w:t>3.2.2.</w:t>
            </w:r>
            <w:r>
              <w:rPr>
                <w:rFonts w:asciiTheme="minorHAnsi" w:eastAsiaTheme="minorEastAsia" w:hAnsiTheme="minorHAnsi" w:cstheme="minorBidi"/>
                <w:noProof/>
                <w:lang w:val="en-GB" w:eastAsia="en-GB" w:bidi="ar-SA"/>
              </w:rPr>
              <w:tab/>
            </w:r>
            <w:r>
              <w:rPr>
                <w:rStyle w:val="Hyperlink"/>
                <w:noProof/>
              </w:rPr>
              <w:t>Ostatní přímé platby</w:t>
            </w:r>
            <w:r>
              <w:rPr>
                <w:noProof/>
                <w:webHidden/>
              </w:rPr>
              <w:tab/>
            </w:r>
            <w:r>
              <w:rPr>
                <w:noProof/>
                <w:webHidden/>
              </w:rPr>
              <w:fldChar w:fldCharType="begin"/>
            </w:r>
            <w:r>
              <w:rPr>
                <w:noProof/>
                <w:webHidden/>
              </w:rPr>
              <w:instrText xml:space="preserve"> PAGEREF _Toc534708616 \h </w:instrText>
            </w:r>
            <w:r>
              <w:rPr>
                <w:noProof/>
                <w:webHidden/>
              </w:rPr>
            </w:r>
            <w:r>
              <w:rPr>
                <w:noProof/>
                <w:webHidden/>
              </w:rPr>
              <w:fldChar w:fldCharType="separate"/>
            </w:r>
            <w:r>
              <w:rPr>
                <w:noProof/>
                <w:webHidden/>
              </w:rPr>
              <w:t>4</w:t>
            </w:r>
            <w:r>
              <w:rPr>
                <w:noProof/>
                <w:webHidden/>
              </w:rPr>
              <w:fldChar w:fldCharType="end"/>
            </w:r>
          </w:hyperlink>
        </w:p>
        <w:p w:rsidR="0012152F" w:rsidRDefault="00F762BC">
          <w:pPr>
            <w:pStyle w:val="TOC2"/>
            <w:tabs>
              <w:tab w:val="left" w:pos="850"/>
              <w:tab w:val="right" w:leader="dot" w:pos="9039"/>
            </w:tabs>
            <w:rPr>
              <w:rFonts w:asciiTheme="minorHAnsi" w:eastAsiaTheme="minorEastAsia" w:hAnsiTheme="minorHAnsi" w:cstheme="minorBidi"/>
              <w:noProof/>
              <w:lang w:val="en-GB" w:eastAsia="en-GB" w:bidi="ar-SA"/>
            </w:rPr>
          </w:pPr>
          <w:hyperlink w:anchor="_Toc534708617" w:history="1">
            <w:r>
              <w:rPr>
                <w:rStyle w:val="Hyperlink"/>
                <w:noProof/>
              </w:rPr>
              <w:t>3.</w:t>
            </w:r>
            <w:r>
              <w:rPr>
                <w:rStyle w:val="Hyperlink"/>
                <w:noProof/>
              </w:rPr>
              <w:t>3.</w:t>
            </w:r>
            <w:r>
              <w:rPr>
                <w:rFonts w:asciiTheme="minorHAnsi" w:eastAsiaTheme="minorEastAsia" w:hAnsiTheme="minorHAnsi" w:cstheme="minorBidi"/>
                <w:noProof/>
                <w:lang w:val="en-GB" w:eastAsia="en-GB" w:bidi="ar-SA"/>
              </w:rPr>
              <w:tab/>
            </w:r>
            <w:r>
              <w:rPr>
                <w:rStyle w:val="Hyperlink"/>
                <w:noProof/>
              </w:rPr>
              <w:t>Audit zemědělských výdajů</w:t>
            </w:r>
            <w:r>
              <w:rPr>
                <w:noProof/>
                <w:webHidden/>
              </w:rPr>
              <w:tab/>
            </w:r>
            <w:r>
              <w:rPr>
                <w:noProof/>
                <w:webHidden/>
              </w:rPr>
              <w:fldChar w:fldCharType="begin"/>
            </w:r>
            <w:r>
              <w:rPr>
                <w:noProof/>
                <w:webHidden/>
              </w:rPr>
              <w:instrText xml:space="preserve"> PAGEREF _Toc534708617 \h </w:instrText>
            </w:r>
            <w:r>
              <w:rPr>
                <w:noProof/>
                <w:webHidden/>
              </w:rPr>
            </w:r>
            <w:r>
              <w:rPr>
                <w:noProof/>
                <w:webHidden/>
              </w:rPr>
              <w:fldChar w:fldCharType="separate"/>
            </w:r>
            <w:r>
              <w:rPr>
                <w:noProof/>
                <w:webHidden/>
              </w:rPr>
              <w:t>4</w:t>
            </w:r>
            <w:r>
              <w:rPr>
                <w:noProof/>
                <w:webHidden/>
              </w:rPr>
              <w:fldChar w:fldCharType="end"/>
            </w:r>
          </w:hyperlink>
        </w:p>
        <w:p w:rsidR="0012152F" w:rsidRDefault="00F762BC">
          <w:pPr>
            <w:pStyle w:val="TOC1"/>
            <w:rPr>
              <w:rFonts w:asciiTheme="minorHAnsi" w:eastAsiaTheme="minorEastAsia" w:hAnsiTheme="minorHAnsi" w:cstheme="minorBidi"/>
              <w:noProof/>
              <w:sz w:val="22"/>
              <w:szCs w:val="22"/>
              <w:lang w:val="en-GB" w:eastAsia="en-GB" w:bidi="ar-SA"/>
            </w:rPr>
          </w:pPr>
          <w:hyperlink w:anchor="_Toc534708618" w:history="1">
            <w:r>
              <w:rPr>
                <w:rStyle w:val="Hyperlink"/>
                <w:noProof/>
              </w:rPr>
              <w:t>4.</w:t>
            </w:r>
            <w:r>
              <w:rPr>
                <w:rFonts w:asciiTheme="minorHAnsi" w:eastAsiaTheme="minorEastAsia" w:hAnsiTheme="minorHAnsi" w:cstheme="minorBidi"/>
                <w:noProof/>
                <w:sz w:val="22"/>
                <w:szCs w:val="22"/>
                <w:lang w:val="en-GB" w:eastAsia="en-GB" w:bidi="ar-SA"/>
              </w:rPr>
              <w:tab/>
            </w:r>
            <w:r>
              <w:rPr>
                <w:rStyle w:val="Hyperlink"/>
                <w:noProof/>
              </w:rPr>
              <w:t>Plnění příjmů účelově vázaných na EZZF</w:t>
            </w:r>
            <w:r>
              <w:rPr>
                <w:noProof/>
                <w:webHidden/>
              </w:rPr>
              <w:tab/>
            </w:r>
            <w:r>
              <w:rPr>
                <w:noProof/>
                <w:webHidden/>
              </w:rPr>
              <w:fldChar w:fldCharType="begin"/>
            </w:r>
            <w:r>
              <w:rPr>
                <w:noProof/>
                <w:webHidden/>
              </w:rPr>
              <w:instrText xml:space="preserve"> PAGEREF _Toc534708618 \h </w:instrText>
            </w:r>
            <w:r>
              <w:rPr>
                <w:noProof/>
                <w:webHidden/>
              </w:rPr>
            </w:r>
            <w:r>
              <w:rPr>
                <w:noProof/>
                <w:webHidden/>
              </w:rPr>
              <w:fldChar w:fldCharType="separate"/>
            </w:r>
            <w:r>
              <w:rPr>
                <w:noProof/>
                <w:webHidden/>
              </w:rPr>
              <w:t>5</w:t>
            </w:r>
            <w:r>
              <w:rPr>
                <w:noProof/>
                <w:webHidden/>
              </w:rPr>
              <w:fldChar w:fldCharType="end"/>
            </w:r>
          </w:hyperlink>
        </w:p>
        <w:p w:rsidR="0012152F" w:rsidRDefault="00F762BC">
          <w:pPr>
            <w:pStyle w:val="TOC1"/>
            <w:rPr>
              <w:rFonts w:asciiTheme="minorHAnsi" w:eastAsiaTheme="minorEastAsia" w:hAnsiTheme="minorHAnsi" w:cstheme="minorBidi"/>
              <w:noProof/>
              <w:sz w:val="22"/>
              <w:szCs w:val="22"/>
              <w:lang w:val="en-GB" w:eastAsia="en-GB" w:bidi="ar-SA"/>
            </w:rPr>
          </w:pPr>
          <w:hyperlink w:anchor="_Toc534708619" w:history="1">
            <w:r>
              <w:rPr>
                <w:rStyle w:val="Hyperlink"/>
                <w:noProof/>
              </w:rPr>
              <w:t>5.</w:t>
            </w:r>
            <w:r>
              <w:rPr>
                <w:rFonts w:asciiTheme="minorHAnsi" w:eastAsiaTheme="minorEastAsia" w:hAnsiTheme="minorHAnsi" w:cstheme="minorBidi"/>
                <w:noProof/>
                <w:sz w:val="22"/>
                <w:szCs w:val="22"/>
                <w:lang w:val="en-GB" w:eastAsia="en-GB" w:bidi="ar-SA"/>
              </w:rPr>
              <w:tab/>
            </w:r>
            <w:r>
              <w:rPr>
                <w:rStyle w:val="Hyperlink"/>
                <w:noProof/>
              </w:rPr>
              <w:t>Závěry</w:t>
            </w:r>
            <w:r>
              <w:rPr>
                <w:noProof/>
                <w:webHidden/>
              </w:rPr>
              <w:tab/>
            </w:r>
            <w:r>
              <w:rPr>
                <w:noProof/>
                <w:webHidden/>
              </w:rPr>
              <w:fldChar w:fldCharType="begin"/>
            </w:r>
            <w:r>
              <w:rPr>
                <w:noProof/>
                <w:webHidden/>
              </w:rPr>
              <w:instrText xml:space="preserve"> PAGEREF _Toc534708619 \h </w:instrText>
            </w:r>
            <w:r>
              <w:rPr>
                <w:noProof/>
                <w:webHidden/>
              </w:rPr>
            </w:r>
            <w:r>
              <w:rPr>
                <w:noProof/>
                <w:webHidden/>
              </w:rPr>
              <w:fldChar w:fldCharType="separate"/>
            </w:r>
            <w:r>
              <w:rPr>
                <w:noProof/>
                <w:webHidden/>
              </w:rPr>
              <w:t>5</w:t>
            </w:r>
            <w:r>
              <w:rPr>
                <w:noProof/>
                <w:webHidden/>
              </w:rPr>
              <w:fldChar w:fldCharType="end"/>
            </w:r>
          </w:hyperlink>
        </w:p>
        <w:p w:rsidR="0012152F" w:rsidRDefault="00F762BC">
          <w:pPr>
            <w:pStyle w:val="TOC1"/>
            <w:rPr>
              <w:rFonts w:asciiTheme="minorHAnsi" w:eastAsiaTheme="minorEastAsia" w:hAnsiTheme="minorHAnsi" w:cstheme="minorBidi"/>
              <w:noProof/>
              <w:sz w:val="22"/>
              <w:szCs w:val="22"/>
            </w:rPr>
          </w:pPr>
          <w:r>
            <w:rPr>
              <w:b/>
              <w:bCs/>
              <w:noProof/>
            </w:rPr>
            <w:fldChar w:fldCharType="end"/>
          </w:r>
        </w:p>
      </w:sdtContent>
    </w:sdt>
    <w:p w:rsidR="0012152F" w:rsidRDefault="0012152F">
      <w:pPr>
        <w:spacing w:after="0"/>
        <w:rPr>
          <w:rFonts w:ascii="Times New Roman" w:hAnsi="Times New Roman"/>
          <w:noProof/>
          <w:sz w:val="24"/>
          <w:szCs w:val="24"/>
        </w:rPr>
      </w:pPr>
    </w:p>
    <w:tbl>
      <w:tblPr>
        <w:tblW w:w="0" w:type="auto"/>
        <w:tblLook w:val="01E0" w:firstRow="1" w:lastRow="1" w:firstColumn="1" w:lastColumn="1" w:noHBand="0" w:noVBand="0"/>
      </w:tblPr>
      <w:tblGrid>
        <w:gridCol w:w="1908"/>
        <w:gridCol w:w="7320"/>
      </w:tblGrid>
      <w:tr w:rsidR="0012152F">
        <w:tc>
          <w:tcPr>
            <w:tcW w:w="1908" w:type="dxa"/>
            <w:hideMark/>
          </w:tcPr>
          <w:p w:rsidR="0012152F" w:rsidRDefault="00F762BC">
            <w:pPr>
              <w:spacing w:before="120" w:after="120"/>
              <w:ind w:right="612"/>
              <w:rPr>
                <w:rFonts w:ascii="Times New Roman" w:hAnsi="Times New Roman"/>
                <w:smallCaps/>
                <w:noProof/>
              </w:rPr>
            </w:pPr>
            <w:r>
              <w:rPr>
                <w:rFonts w:ascii="Times New Roman" w:hAnsi="Times New Roman"/>
                <w:smallCaps/>
                <w:noProof/>
              </w:rPr>
              <w:t>Příloha 1:</w:t>
            </w:r>
          </w:p>
          <w:p w:rsidR="0012152F" w:rsidRDefault="0012152F">
            <w:pPr>
              <w:spacing w:before="120" w:after="120"/>
              <w:ind w:right="612"/>
              <w:rPr>
                <w:rFonts w:ascii="Times New Roman" w:hAnsi="Times New Roman"/>
                <w:smallCaps/>
                <w:noProof/>
                <w:sz w:val="24"/>
                <w:szCs w:val="24"/>
              </w:rPr>
            </w:pPr>
          </w:p>
        </w:tc>
        <w:tc>
          <w:tcPr>
            <w:tcW w:w="7320" w:type="dxa"/>
            <w:hideMark/>
          </w:tcPr>
          <w:p w:rsidR="0012152F" w:rsidRDefault="00F762BC">
            <w:pPr>
              <w:spacing w:before="120" w:after="120"/>
              <w:rPr>
                <w:rFonts w:ascii="Times New Roman" w:hAnsi="Times New Roman"/>
                <w:smallCaps/>
                <w:noProof/>
                <w:sz w:val="24"/>
                <w:szCs w:val="24"/>
              </w:rPr>
            </w:pPr>
            <w:r>
              <w:rPr>
                <w:rFonts w:ascii="Times New Roman" w:hAnsi="Times New Roman"/>
                <w:smallCaps/>
                <w:noProof/>
              </w:rPr>
              <w:t>Prozatímní čerpání prostředků EZZF</w:t>
            </w:r>
            <w:r>
              <w:rPr>
                <w:rFonts w:ascii="Times New Roman" w:hAnsi="Times New Roman"/>
                <w:smallCaps/>
                <w:noProof/>
              </w:rPr>
              <w:t xml:space="preserve"> do 31.12.2018</w:t>
            </w:r>
          </w:p>
        </w:tc>
      </w:tr>
    </w:tbl>
    <w:p w:rsidR="0012152F" w:rsidRDefault="0012152F">
      <w:pPr>
        <w:spacing w:after="0"/>
        <w:rPr>
          <w:noProof/>
        </w:rPr>
      </w:pPr>
    </w:p>
    <w:p w:rsidR="0012152F" w:rsidRDefault="0012152F">
      <w:pPr>
        <w:spacing w:after="0"/>
        <w:rPr>
          <w:noProof/>
        </w:rPr>
        <w:sectPr w:rsidR="0012152F">
          <w:headerReference w:type="even" r:id="rId15"/>
          <w:headerReference w:type="default" r:id="rId16"/>
          <w:footerReference w:type="even" r:id="rId17"/>
          <w:footerReference w:type="default" r:id="rId18"/>
          <w:headerReference w:type="first" r:id="rId19"/>
          <w:footerReference w:type="first" r:id="rId20"/>
          <w:pgSz w:w="11907" w:h="16840"/>
          <w:pgMar w:top="1134" w:right="1418" w:bottom="1134" w:left="1440" w:header="595" w:footer="567" w:gutter="0"/>
          <w:pgNumType w:start="1"/>
          <w:cols w:space="720"/>
        </w:sectPr>
      </w:pPr>
    </w:p>
    <w:p w:rsidR="0012152F" w:rsidRDefault="00F762BC">
      <w:pPr>
        <w:pStyle w:val="Heading1"/>
        <w:numPr>
          <w:ilvl w:val="0"/>
          <w:numId w:val="4"/>
        </w:numPr>
        <w:rPr>
          <w:noProof/>
        </w:rPr>
      </w:pPr>
      <w:bookmarkStart w:id="2" w:name="_Toc229306111"/>
      <w:bookmarkStart w:id="3" w:name="_Toc413145207"/>
      <w:bookmarkStart w:id="4" w:name="_Toc530432429"/>
      <w:bookmarkStart w:id="5" w:name="_Toc534708605"/>
      <w:bookmarkStart w:id="6" w:name="_Toc244054012"/>
      <w:bookmarkStart w:id="7" w:name="_Toc244054013"/>
      <w:r>
        <w:rPr>
          <w:noProof/>
        </w:rPr>
        <w:lastRenderedPageBreak/>
        <w:t>Rozpočtový proces EZZF na rok 2018</w:t>
      </w:r>
      <w:bookmarkEnd w:id="2"/>
      <w:bookmarkEnd w:id="3"/>
      <w:bookmarkEnd w:id="4"/>
      <w:bookmarkEnd w:id="5"/>
    </w:p>
    <w:p w:rsidR="0012152F" w:rsidRDefault="00F762BC">
      <w:pPr>
        <w:pStyle w:val="Text1"/>
        <w:rPr>
          <w:noProof/>
        </w:rPr>
      </w:pPr>
      <w:r>
        <w:rPr>
          <w:noProof/>
        </w:rPr>
        <w:t xml:space="preserve">Rozpočet EU na rok 2018 schválil dne 30. listopadu 2017 Evropský parlament. Do rozpočtu pro Evropský zemědělský záruční fond (EZZF) byly zahrnuty </w:t>
      </w:r>
      <w:r>
        <w:rPr>
          <w:noProof/>
        </w:rPr>
        <w:t>prostředky na závazky ve výši 43 235 milionů EUR a prostředky na platby ve výši 43 189 milionů EUR určené na přímé platby a na tržní opatření.</w:t>
      </w:r>
    </w:p>
    <w:p w:rsidR="0012152F" w:rsidRDefault="00F762BC">
      <w:pPr>
        <w:pStyle w:val="Text1"/>
        <w:rPr>
          <w:noProof/>
        </w:rPr>
      </w:pPr>
      <w:r>
        <w:rPr>
          <w:noProof/>
        </w:rPr>
        <w:t>Rozdíl mezi prostředky na závazky a prostředky na platby je způsoben tím, že pro některá opatření prováděná přímo</w:t>
      </w:r>
      <w:r>
        <w:rPr>
          <w:noProof/>
        </w:rPr>
        <w:t xml:space="preserve"> Komisí se použijí rozlišené prostředky. Ty souvisejí především s opatřeními na propagaci zemědělských produktů a s opatřeními zaměřenými na politickou strategii a koordinaci.</w:t>
      </w:r>
    </w:p>
    <w:p w:rsidR="0012152F" w:rsidRDefault="00F762BC">
      <w:pPr>
        <w:pStyle w:val="Heading1"/>
        <w:rPr>
          <w:noProof/>
        </w:rPr>
      </w:pPr>
      <w:bookmarkStart w:id="8" w:name="_Toc413145208"/>
      <w:bookmarkStart w:id="9" w:name="_Toc530432430"/>
      <w:bookmarkStart w:id="10" w:name="_Toc534708606"/>
      <w:bookmarkEnd w:id="6"/>
      <w:r>
        <w:rPr>
          <w:noProof/>
        </w:rPr>
        <w:t>Účelově vázané příjmy EZZF</w:t>
      </w:r>
      <w:bookmarkEnd w:id="7"/>
      <w:bookmarkEnd w:id="8"/>
      <w:bookmarkEnd w:id="9"/>
      <w:bookmarkEnd w:id="10"/>
    </w:p>
    <w:p w:rsidR="0012152F" w:rsidRDefault="00F762BC">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Na základě ustanovení článku 43 nařízení (EU) č. 1306</w:t>
      </w:r>
      <w:r>
        <w:rPr>
          <w:rFonts w:ascii="Times New Roman" w:hAnsi="Times New Roman"/>
          <w:noProof/>
          <w:sz w:val="24"/>
        </w:rPr>
        <w:t xml:space="preserve">/2013 jsou jako účelově vázané na financování výdajů EZZF označovány příjmy, které plynou z finančních oprav podle rozhodnutí o schválení účetní závěrky a souladu a z nesrovnalostí. </w:t>
      </w:r>
    </w:p>
    <w:p w:rsidR="0012152F" w:rsidRDefault="00F762BC">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Podle těchto ustanovení lze účelově vázané příjmy použít na financování v</w:t>
      </w:r>
      <w:r>
        <w:rPr>
          <w:rFonts w:ascii="Times New Roman" w:hAnsi="Times New Roman"/>
          <w:noProof/>
          <w:sz w:val="24"/>
        </w:rPr>
        <w:t>eškerých výdajů EZZF. V případě, že se část těchto příjmů v daném rozpočtovém roce nepoužije, přenese se automaticky do následujícího rozpočtového roku</w:t>
      </w:r>
      <w:r>
        <w:rPr>
          <w:rFonts w:ascii="Times New Roman" w:hAnsi="Times New Roman"/>
          <w:noProof/>
          <w:sz w:val="24"/>
          <w:vertAlign w:val="superscript"/>
        </w:rPr>
        <w:footnoteReference w:id="1"/>
      </w:r>
      <w:r>
        <w:rPr>
          <w:rFonts w:ascii="Times New Roman" w:hAnsi="Times New Roman"/>
          <w:noProof/>
          <w:sz w:val="24"/>
        </w:rPr>
        <w:t>.</w:t>
      </w:r>
    </w:p>
    <w:p w:rsidR="0012152F" w:rsidRDefault="00F762BC">
      <w:pPr>
        <w:spacing w:before="120" w:after="0" w:line="240" w:lineRule="auto"/>
        <w:ind w:left="851"/>
        <w:jc w:val="both"/>
        <w:rPr>
          <w:rFonts w:ascii="Times New Roman" w:eastAsia="Times New Roman" w:hAnsi="Times New Roman"/>
          <w:noProof/>
          <w:sz w:val="24"/>
          <w:szCs w:val="24"/>
        </w:rPr>
      </w:pPr>
      <w:r>
        <w:rPr>
          <w:rFonts w:ascii="Times New Roman" w:hAnsi="Times New Roman"/>
          <w:noProof/>
          <w:sz w:val="24"/>
        </w:rPr>
        <w:t>Rozpočet EZZF na rok 2018 zahrnuje:</w:t>
      </w:r>
    </w:p>
    <w:p w:rsidR="0012152F" w:rsidRDefault="00F762BC">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rPr>
        <w:t>nejnovější odhady Komise týkající se prostředků, které budou zapot</w:t>
      </w:r>
      <w:r>
        <w:rPr>
          <w:rFonts w:ascii="Times New Roman" w:hAnsi="Times New Roman"/>
          <w:noProof/>
          <w:sz w:val="24"/>
        </w:rPr>
        <w:t>řebí k financování tržních opatření a přímých plateb,</w:t>
      </w:r>
    </w:p>
    <w:p w:rsidR="0012152F" w:rsidRDefault="00F762BC">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rPr>
        <w:t>odhady účelově vázaných příjmů, které mají být vybrány v průběhu příslušného rozpočtového roku</w:t>
      </w:r>
    </w:p>
    <w:p w:rsidR="0012152F" w:rsidRDefault="00F762BC">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rPr>
        <w:t>a přenos zůstatku účelově vázaných příjmů, který zůstal k dispozici z předchozího rozpočtového roku.</w:t>
      </w:r>
    </w:p>
    <w:p w:rsidR="0012152F" w:rsidRDefault="00F762BC">
      <w:pPr>
        <w:spacing w:before="120" w:after="0" w:line="240" w:lineRule="auto"/>
        <w:ind w:left="850"/>
        <w:jc w:val="both"/>
        <w:rPr>
          <w:rFonts w:ascii="Times New Roman" w:eastAsia="Times New Roman" w:hAnsi="Times New Roman"/>
          <w:noProof/>
          <w:sz w:val="24"/>
          <w:szCs w:val="24"/>
        </w:rPr>
      </w:pPr>
      <w:r>
        <w:rPr>
          <w:rFonts w:ascii="Times New Roman" w:hAnsi="Times New Roman"/>
          <w:noProof/>
          <w:sz w:val="24"/>
        </w:rPr>
        <w:t>Ve své</w:t>
      </w:r>
      <w:r>
        <w:rPr>
          <w:rFonts w:ascii="Times New Roman" w:hAnsi="Times New Roman"/>
          <w:noProof/>
          <w:sz w:val="24"/>
        </w:rPr>
        <w:t>m návrhu výše rozpočtových prostředků pro EZZF na rok 2018 vzala Komise v úvahu celkové očekávané účelově vázané příjmy a pro rozpočet na rok 2018 požádala o výši prostředků, která byla vypočtena tak, že se odhadované účelově vázané příjmy odečetly od odha</w:t>
      </w:r>
      <w:r>
        <w:rPr>
          <w:rFonts w:ascii="Times New Roman" w:hAnsi="Times New Roman"/>
          <w:noProof/>
          <w:sz w:val="24"/>
        </w:rPr>
        <w:t xml:space="preserve">dovaných potřeb. Rozpočtový orgán schválil rozpočet EZZF s přihlédnutím k očekávaným účelově vázaným příjmům. </w:t>
      </w:r>
    </w:p>
    <w:p w:rsidR="0012152F" w:rsidRDefault="00F762BC">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V době sestavování rozpočtu na rok 2018 Komise odhadovala, že dostupné účelově vázané příjmy dosáhnou výše 1 475,9 milionu EUR, přičemž je tvoří:</w:t>
      </w:r>
      <w:r>
        <w:rPr>
          <w:rFonts w:ascii="Times New Roman" w:hAnsi="Times New Roman"/>
          <w:noProof/>
          <w:sz w:val="24"/>
        </w:rPr>
        <w:t xml:space="preserve"> </w:t>
      </w:r>
    </w:p>
    <w:p w:rsidR="0012152F" w:rsidRDefault="00F762BC">
      <w:pPr>
        <w:numPr>
          <w:ilvl w:val="0"/>
          <w:numId w:val="13"/>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očekávané účelově vázané příjmy, které měly být vytvořeny v průběhu rozpočtového roku 2018, v odhadované výši 865,9 milionu EUR (733,9 milionu EUR z oprav v souvislosti se schvalováním souladu a 132 milionů EUR z nesrovnalostí),</w:t>
      </w:r>
    </w:p>
    <w:p w:rsidR="0012152F" w:rsidRDefault="00F762BC">
      <w:pPr>
        <w:numPr>
          <w:ilvl w:val="0"/>
          <w:numId w:val="13"/>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účelově vázané příjmy, </w:t>
      </w:r>
      <w:r>
        <w:rPr>
          <w:rFonts w:ascii="Times New Roman" w:hAnsi="Times New Roman"/>
          <w:noProof/>
          <w:sz w:val="24"/>
        </w:rPr>
        <w:t>které mají být přeneseny z rozpočtového roku 2017 do roku 2018, v odhadované výši 610 milionů EUR.</w:t>
      </w:r>
    </w:p>
    <w:p w:rsidR="0012152F" w:rsidRDefault="00F762BC">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lastRenderedPageBreak/>
        <w:t xml:space="preserve">Komise tyto odhadované příjmy ve výši 1 475,9 milionu EUR přidělila těmto režimům: </w:t>
      </w:r>
    </w:p>
    <w:p w:rsidR="0012152F" w:rsidRDefault="00F762BC">
      <w:pPr>
        <w:numPr>
          <w:ilvl w:val="0"/>
          <w:numId w:val="14"/>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400 milionů EUR na provozní fondy pro organizace producentů v odvětví ovo</w:t>
      </w:r>
      <w:r>
        <w:rPr>
          <w:rFonts w:ascii="Times New Roman" w:hAnsi="Times New Roman"/>
          <w:noProof/>
          <w:sz w:val="24"/>
        </w:rPr>
        <w:t>ce a zeleniny a</w:t>
      </w:r>
    </w:p>
    <w:p w:rsidR="0012152F" w:rsidRDefault="00F762BC">
      <w:pPr>
        <w:numPr>
          <w:ilvl w:val="0"/>
          <w:numId w:val="14"/>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1 075,9 milionu EUR na režim základní platby. </w:t>
      </w:r>
    </w:p>
    <w:p w:rsidR="0012152F" w:rsidRDefault="00F762BC">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Součet schválených prostředků a účelově vázaných příjmů pro tyto režimy představuje:</w:t>
      </w:r>
    </w:p>
    <w:p w:rsidR="0012152F" w:rsidRDefault="00F762BC">
      <w:pPr>
        <w:numPr>
          <w:ilvl w:val="0"/>
          <w:numId w:val="15"/>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872 milionů EUR na provozní fondy pro organizace producentů v odvětví ovoce a zeleniny a</w:t>
      </w:r>
    </w:p>
    <w:p w:rsidR="0012152F" w:rsidRDefault="00F762BC">
      <w:pPr>
        <w:numPr>
          <w:ilvl w:val="0"/>
          <w:numId w:val="15"/>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17 402 milionů EUR </w:t>
      </w:r>
      <w:r>
        <w:rPr>
          <w:rFonts w:ascii="Times New Roman" w:hAnsi="Times New Roman"/>
          <w:noProof/>
          <w:sz w:val="24"/>
        </w:rPr>
        <w:t>na režim základní platby.</w:t>
      </w:r>
    </w:p>
    <w:p w:rsidR="0012152F" w:rsidRDefault="00F762BC">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V příloze, která popisuje prozatímní čerpání rozpočtu na rok 2018 částky rozpočtových prostředků na úrovni článků pro odvětví ovoce a zeleniny a pro přímé platby oddělené od produkce nezohledňují výše zmíněné účelově vázané příjmy. Představují schválené pr</w:t>
      </w:r>
      <w:r>
        <w:rPr>
          <w:rFonts w:ascii="Times New Roman" w:hAnsi="Times New Roman"/>
          <w:noProof/>
          <w:sz w:val="24"/>
        </w:rPr>
        <w:t xml:space="preserve">ostředky pro tyto články ve výši 531,8 milionu EUR a 34 309,1 milionu EUR. </w:t>
      </w:r>
    </w:p>
    <w:p w:rsidR="0012152F" w:rsidRDefault="00F762BC">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Po zahrnutí příjmů účelově vázaných na tyto články dosahují částky plánované v rozpočtu na rok 2018 celkem 931,8 milionu EUR na odvětví ovoce a zeleniny a 35 385 milionů EUR na pří</w:t>
      </w:r>
      <w:r>
        <w:rPr>
          <w:rFonts w:ascii="Times New Roman" w:hAnsi="Times New Roman"/>
          <w:noProof/>
          <w:sz w:val="24"/>
        </w:rPr>
        <w:t xml:space="preserve">mé platby oddělené od produkce. </w:t>
      </w:r>
    </w:p>
    <w:p w:rsidR="0012152F" w:rsidRDefault="00F762BC">
      <w:pPr>
        <w:pStyle w:val="Heading1"/>
        <w:rPr>
          <w:noProof/>
        </w:rPr>
      </w:pPr>
      <w:bookmarkStart w:id="11" w:name="_Toc244054015"/>
      <w:bookmarkStart w:id="12" w:name="_Toc413145209"/>
      <w:bookmarkStart w:id="13" w:name="_Toc530432431"/>
      <w:bookmarkStart w:id="14" w:name="_Toc534708607"/>
      <w:r>
        <w:rPr>
          <w:noProof/>
        </w:rPr>
        <w:t>Poznámky k prozatímnímu plnění rozpočtu EZZF na rok 2018</w:t>
      </w:r>
      <w:bookmarkEnd w:id="11"/>
      <w:bookmarkEnd w:id="12"/>
      <w:bookmarkEnd w:id="13"/>
      <w:bookmarkEnd w:id="14"/>
    </w:p>
    <w:p w:rsidR="0012152F" w:rsidRDefault="00F762BC">
      <w:pPr>
        <w:spacing w:before="120" w:after="120" w:line="240" w:lineRule="auto"/>
        <w:ind w:left="850"/>
        <w:jc w:val="both"/>
        <w:rPr>
          <w:rFonts w:ascii="Times New Roman" w:eastAsia="Times New Roman" w:hAnsi="Times New Roman"/>
          <w:noProof/>
          <w:sz w:val="24"/>
          <w:szCs w:val="24"/>
        </w:rPr>
      </w:pPr>
      <w:bookmarkStart w:id="15" w:name="_Toc244054016"/>
      <w:r>
        <w:rPr>
          <w:rFonts w:ascii="Times New Roman" w:hAnsi="Times New Roman"/>
          <w:noProof/>
          <w:sz w:val="24"/>
        </w:rPr>
        <w:t>Tato zpráva představuje prozatímní plnění rozpočtu EZZF na rok 2018 s podrobnostmi uvedenými v příloze. Celkové výdaje ve výši 43 926,6 milionu EUR zahrnují zejména v</w:t>
      </w:r>
      <w:r>
        <w:rPr>
          <w:rFonts w:ascii="Times New Roman" w:hAnsi="Times New Roman"/>
          <w:noProof/>
          <w:sz w:val="24"/>
        </w:rPr>
        <w:t>ýdaje EZZF v rámci sdíleného řízení, jak je členské státy vykázaly mezi 16. říjnem 2017 a 15. říjnem 2018, a snížení měsíčních úhrad uložených v průběhu rozpočtového roku. Dále zahrnuje odhad výdajů v rámci přímého řízení ve výši přibližně 15,6 milionu EUR</w:t>
      </w:r>
      <w:r>
        <w:rPr>
          <w:rFonts w:ascii="Times New Roman" w:hAnsi="Times New Roman"/>
          <w:noProof/>
          <w:sz w:val="24"/>
        </w:rPr>
        <w:t>, které mohou být podle předpokladu stále vynaloženy do 31. prosince 2018.</w:t>
      </w:r>
    </w:p>
    <w:p w:rsidR="0012152F" w:rsidRDefault="00F762BC">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 xml:space="preserve">Stručný komentář týkající se některých článků rozpočtu, které vykazují nejvýznamnější rozdíly mezi skutečně vzniklými výdaji a odpovídajícími prostředky uvedenými v rozpočtu na rok </w:t>
      </w:r>
      <w:r>
        <w:rPr>
          <w:rFonts w:ascii="Times New Roman" w:hAnsi="Times New Roman"/>
          <w:noProof/>
          <w:sz w:val="24"/>
        </w:rPr>
        <w:t>2018, následuje níže.</w:t>
      </w:r>
    </w:p>
    <w:p w:rsidR="0012152F" w:rsidRDefault="00F762BC">
      <w:pPr>
        <w:pStyle w:val="Heading2"/>
        <w:rPr>
          <w:noProof/>
        </w:rPr>
      </w:pPr>
      <w:bookmarkStart w:id="16" w:name="_Toc530432432"/>
      <w:bookmarkStart w:id="17" w:name="_Toc534708608"/>
      <w:r>
        <w:rPr>
          <w:noProof/>
        </w:rPr>
        <w:t>Tržní opatření</w:t>
      </w:r>
      <w:bookmarkEnd w:id="15"/>
      <w:bookmarkEnd w:id="16"/>
      <w:bookmarkEnd w:id="17"/>
    </w:p>
    <w:p w:rsidR="0012152F" w:rsidRDefault="00F762BC">
      <w:pPr>
        <w:pStyle w:val="Text1"/>
        <w:rPr>
          <w:noProof/>
        </w:rPr>
      </w:pPr>
      <w:r>
        <w:rPr>
          <w:noProof/>
        </w:rPr>
        <w:t>Čerpání prostředků na intervence na zemědělských trzích bylo o 351,3 milionu EUR vyšší než prostředky. Toto čerpání zahrnuje i odhad výdajů v rámci přímého řízení propagačních opatření ve výši 6,4 milionu EUR, které moh</w:t>
      </w:r>
      <w:r>
        <w:rPr>
          <w:noProof/>
        </w:rPr>
        <w:t xml:space="preserve">ou být podle předpokladu stále vynaloženy do 31. prosince 2018. Při zohlednění účelově vázaných příjmů ve výši 400 milionů EUR přidělených na režim v odvětví ovoce a zeleniny jsou však výsledkem nevyčerpané prostředky ve výši –48,7 milionu EUR (nebo pouze </w:t>
      </w:r>
      <w:r>
        <w:rPr>
          <w:noProof/>
        </w:rPr>
        <w:t>–1,8 %).</w:t>
      </w:r>
    </w:p>
    <w:p w:rsidR="0012152F" w:rsidRDefault="00F762BC">
      <w:pPr>
        <w:pStyle w:val="Heading3"/>
        <w:rPr>
          <w:noProof/>
        </w:rPr>
      </w:pPr>
      <w:bookmarkStart w:id="18" w:name="_Toc525722902"/>
      <w:bookmarkStart w:id="19" w:name="_Toc525734906"/>
      <w:bookmarkStart w:id="20" w:name="_Toc525736637"/>
      <w:bookmarkStart w:id="21" w:name="_Toc526175165"/>
      <w:bookmarkStart w:id="22" w:name="_Toc530432433"/>
      <w:bookmarkStart w:id="23" w:name="_Toc534708609"/>
      <w:bookmarkEnd w:id="18"/>
      <w:bookmarkEnd w:id="19"/>
      <w:bookmarkEnd w:id="20"/>
      <w:bookmarkEnd w:id="21"/>
      <w:r>
        <w:rPr>
          <w:noProof/>
        </w:rPr>
        <w:t>Ovoce a zelenina</w:t>
      </w:r>
      <w:bookmarkEnd w:id="22"/>
      <w:bookmarkEnd w:id="23"/>
    </w:p>
    <w:p w:rsidR="0012152F" w:rsidRDefault="00F762BC">
      <w:pPr>
        <w:pStyle w:val="Text1"/>
        <w:rPr>
          <w:noProof/>
        </w:rPr>
      </w:pPr>
      <w:r>
        <w:rPr>
          <w:noProof/>
        </w:rPr>
        <w:t>Zdánlivé přečerpání ve výši 333,3 milionu EUR nezohledňuje příjmy účelově vázané na článek rozpočtu. Po zahrnutí těchto příjmů dosahují nevyčerpané prostředky výše – 66,7 milionu EUR (viz poznámka pod čarou (*) v příloze). Je to z</w:t>
      </w:r>
      <w:r>
        <w:rPr>
          <w:noProof/>
        </w:rPr>
        <w:t>působeno především nižšími platbami na operační programy organizací producentů v některých členských státech.</w:t>
      </w:r>
    </w:p>
    <w:p w:rsidR="0012152F" w:rsidRDefault="00F762BC">
      <w:pPr>
        <w:pStyle w:val="Heading3"/>
        <w:rPr>
          <w:noProof/>
        </w:rPr>
      </w:pPr>
      <w:bookmarkStart w:id="24" w:name="_Toc530432434"/>
      <w:bookmarkStart w:id="25" w:name="_Toc534708610"/>
      <w:r>
        <w:rPr>
          <w:noProof/>
        </w:rPr>
        <w:t>Vinařské produkty</w:t>
      </w:r>
      <w:bookmarkEnd w:id="24"/>
      <w:bookmarkEnd w:id="25"/>
    </w:p>
    <w:p w:rsidR="0012152F" w:rsidRDefault="00F762BC">
      <w:pPr>
        <w:pStyle w:val="Text1"/>
        <w:rPr>
          <w:noProof/>
        </w:rPr>
      </w:pPr>
      <w:r>
        <w:rPr>
          <w:noProof/>
        </w:rPr>
        <w:t>Konečné čerpání tohoto článku rozpočtu má za následek nevyčerpané prostředky ve výši –89,9 milionu EUR, a to zejména z důvodu ni</w:t>
      </w:r>
      <w:r>
        <w:rPr>
          <w:noProof/>
        </w:rPr>
        <w:t>žších výdajů v některých členských státech, než se očekávalo.</w:t>
      </w:r>
    </w:p>
    <w:p w:rsidR="0012152F" w:rsidRDefault="00F762BC">
      <w:pPr>
        <w:pStyle w:val="Heading3"/>
        <w:rPr>
          <w:noProof/>
        </w:rPr>
      </w:pPr>
      <w:bookmarkStart w:id="26" w:name="_Toc530432435"/>
      <w:bookmarkStart w:id="27" w:name="_Toc534708611"/>
      <w:r>
        <w:rPr>
          <w:noProof/>
        </w:rPr>
        <w:t>Mléko a mléčné výrobky</w:t>
      </w:r>
      <w:bookmarkEnd w:id="26"/>
      <w:bookmarkEnd w:id="27"/>
      <w:r>
        <w:rPr>
          <w:noProof/>
        </w:rPr>
        <w:t xml:space="preserve"> </w:t>
      </w:r>
    </w:p>
    <w:p w:rsidR="0012152F" w:rsidRDefault="00F762BC">
      <w:pPr>
        <w:pStyle w:val="Text1"/>
        <w:rPr>
          <w:noProof/>
        </w:rPr>
      </w:pPr>
      <w:r>
        <w:rPr>
          <w:noProof/>
        </w:rPr>
        <w:t>Přečerpání ve výši 167 milionů EUR v odvětví mléka je vysvětleno prodejem sušeného odstředěného mléka se ztrátou, a zejména znehodnocení zásob sušeného odstředěného mléka</w:t>
      </w:r>
      <w:r>
        <w:rPr>
          <w:noProof/>
        </w:rPr>
        <w:t xml:space="preserve"> na konci roku. </w:t>
      </w:r>
    </w:p>
    <w:p w:rsidR="0012152F" w:rsidRDefault="00F762BC">
      <w:pPr>
        <w:pStyle w:val="Heading3"/>
        <w:rPr>
          <w:noProof/>
        </w:rPr>
      </w:pPr>
      <w:bookmarkStart w:id="28" w:name="_Toc530432436"/>
      <w:bookmarkStart w:id="29" w:name="_Toc534708612"/>
      <w:r>
        <w:rPr>
          <w:noProof/>
        </w:rPr>
        <w:t>Vepřové, vejce a drůbež, včelařství a ostatní živočišné produkty</w:t>
      </w:r>
      <w:bookmarkEnd w:id="28"/>
      <w:bookmarkEnd w:id="29"/>
      <w:r>
        <w:rPr>
          <w:noProof/>
        </w:rPr>
        <w:t xml:space="preserve"> </w:t>
      </w:r>
    </w:p>
    <w:p w:rsidR="0012152F" w:rsidRDefault="00F762BC">
      <w:pPr>
        <w:pStyle w:val="Text1"/>
        <w:ind w:left="851"/>
        <w:rPr>
          <w:noProof/>
        </w:rPr>
      </w:pPr>
      <w:r>
        <w:rPr>
          <w:noProof/>
        </w:rPr>
        <w:t xml:space="preserve">V předchozích letech zahrnoval tento článek rozpočtu výdaje na včelařství a opatření pro odvětví vepřového masa. V roce 2018 se z tohoto článku financuje podpora pro </w:t>
      </w:r>
      <w:r>
        <w:rPr>
          <w:noProof/>
        </w:rPr>
        <w:t>včelařství a mimořádná opatření na podporu trhu související s nákazami zvířat. Model čerpání v tomto roce se tedy liší od profilu vypočítaného na základě modelů z předchozích let. Celkové výdaje na tento rozpočtový článek jsou o 31,1 milionu EUR nižší, než</w:t>
      </w:r>
      <w:r>
        <w:rPr>
          <w:noProof/>
        </w:rPr>
        <w:t xml:space="preserve"> se původně v rozpočtu předpokládalo, zejména vzhledem k tomu, že konečné výdaje vykázané členskými státy na mimořádná podpůrná opatření byly nižší než rozpočtované částky.</w:t>
      </w:r>
    </w:p>
    <w:p w:rsidR="0012152F" w:rsidRDefault="00F762BC">
      <w:pPr>
        <w:pStyle w:val="Heading3"/>
        <w:rPr>
          <w:noProof/>
        </w:rPr>
      </w:pPr>
      <w:bookmarkStart w:id="30" w:name="_Toc530432437"/>
      <w:bookmarkStart w:id="31" w:name="_Toc534708613"/>
      <w:r>
        <w:rPr>
          <w:noProof/>
        </w:rPr>
        <w:t>Projekty pro školy</w:t>
      </w:r>
      <w:bookmarkEnd w:id="30"/>
      <w:bookmarkEnd w:id="31"/>
    </w:p>
    <w:p w:rsidR="0012152F" w:rsidRDefault="00F762BC">
      <w:pPr>
        <w:pStyle w:val="Text1"/>
        <w:ind w:left="851"/>
        <w:rPr>
          <w:noProof/>
        </w:rPr>
      </w:pPr>
      <w:r>
        <w:rPr>
          <w:noProof/>
        </w:rPr>
        <w:t>Od školního roku 2017/2018 se dříve samostatné programy na podpo</w:t>
      </w:r>
      <w:r>
        <w:rPr>
          <w:noProof/>
        </w:rPr>
        <w:t>ru konzumace ovoce a mléka ve školách sloučily. Profil výdajů pro rozpočtový článek 05 02 18 byl vytvořen na základě modelu čerpání bývalých samostatných projektů pro školy. Celkové výdaje na tento článek rozpočtu ke konci roku činí o 32,2 milionu EUR méně</w:t>
      </w:r>
      <w:r>
        <w:rPr>
          <w:noProof/>
        </w:rPr>
        <w:t>, než bylo uvedeno v rozpočtu.</w:t>
      </w:r>
    </w:p>
    <w:p w:rsidR="0012152F" w:rsidRDefault="00F762BC">
      <w:pPr>
        <w:pStyle w:val="Heading2"/>
        <w:rPr>
          <w:noProof/>
        </w:rPr>
      </w:pPr>
      <w:bookmarkStart w:id="32" w:name="_Toc530432438"/>
      <w:bookmarkStart w:id="33" w:name="_Toc534708614"/>
      <w:bookmarkStart w:id="34" w:name="_Toc244054022"/>
      <w:r>
        <w:rPr>
          <w:noProof/>
        </w:rPr>
        <w:t>Přímé platby</w:t>
      </w:r>
      <w:bookmarkEnd w:id="32"/>
      <w:bookmarkEnd w:id="33"/>
      <w:r>
        <w:rPr>
          <w:noProof/>
        </w:rPr>
        <w:t xml:space="preserve"> </w:t>
      </w:r>
      <w:bookmarkEnd w:id="34"/>
    </w:p>
    <w:p w:rsidR="0012152F" w:rsidRDefault="00F762BC">
      <w:pPr>
        <w:spacing w:before="120" w:after="120" w:line="240" w:lineRule="auto"/>
        <w:ind w:left="850"/>
        <w:jc w:val="both"/>
        <w:rPr>
          <w:rFonts w:ascii="Times New Roman" w:eastAsia="Times New Roman" w:hAnsi="Times New Roman"/>
          <w:noProof/>
          <w:sz w:val="24"/>
          <w:szCs w:val="24"/>
        </w:rPr>
      </w:pPr>
      <w:bookmarkStart w:id="35" w:name="_Toc244054023"/>
      <w:r>
        <w:rPr>
          <w:rFonts w:ascii="Times New Roman" w:hAnsi="Times New Roman"/>
          <w:noProof/>
          <w:sz w:val="24"/>
        </w:rPr>
        <w:t>Výdaje na přímé platby byly o 845,6 milionu EUR vyšší než rozpočtové prostředky. Při zohlednění příjmů účelově vázaných na tuto rozpočtovou kapitolu (viz také bod 2 výše) se plnění velmi blíží předpokladům (– 23</w:t>
      </w:r>
      <w:r>
        <w:rPr>
          <w:rFonts w:ascii="Times New Roman" w:hAnsi="Times New Roman"/>
          <w:noProof/>
          <w:sz w:val="24"/>
        </w:rPr>
        <w:t>0,3 milionu EUR, tj. pouze –0,6 %).</w:t>
      </w:r>
    </w:p>
    <w:p w:rsidR="0012152F" w:rsidRDefault="00F762BC">
      <w:pPr>
        <w:pStyle w:val="Heading3"/>
        <w:rPr>
          <w:noProof/>
        </w:rPr>
      </w:pPr>
      <w:bookmarkStart w:id="36" w:name="_Toc530432439"/>
      <w:bookmarkStart w:id="37" w:name="_Toc534708615"/>
      <w:r>
        <w:rPr>
          <w:noProof/>
        </w:rPr>
        <w:t>Přímé platby oddělené od produkce</w:t>
      </w:r>
      <w:bookmarkEnd w:id="36"/>
      <w:bookmarkEnd w:id="37"/>
    </w:p>
    <w:p w:rsidR="0012152F" w:rsidRDefault="00F762BC">
      <w:pPr>
        <w:pStyle w:val="Text1"/>
        <w:rPr>
          <w:noProof/>
        </w:rPr>
      </w:pPr>
      <w:r>
        <w:rPr>
          <w:noProof/>
        </w:rPr>
        <w:t>Vykázané výdaje převyšují rozpočtové prostředky o 995,7 milionu EUR. Při zohlednění příjmů účelově vázaných na tento článek (1 075,9 milionu EUR) je plnění téměř totožné s prostředky, kt</w:t>
      </w:r>
      <w:r>
        <w:rPr>
          <w:noProof/>
        </w:rPr>
        <w:t>eré byly pro tyto účely v rozpočtu vyčleněny (– 80,2 milionu EUR). viz poznámka pod čarou (*) v příloze.</w:t>
      </w:r>
    </w:p>
    <w:p w:rsidR="0012152F" w:rsidRDefault="00F762BC">
      <w:pPr>
        <w:pStyle w:val="Heading3"/>
        <w:rPr>
          <w:noProof/>
        </w:rPr>
      </w:pPr>
      <w:bookmarkStart w:id="38" w:name="_Toc525734915"/>
      <w:bookmarkStart w:id="39" w:name="_Toc525736646"/>
      <w:bookmarkStart w:id="40" w:name="_Toc526175174"/>
      <w:bookmarkStart w:id="41" w:name="_Toc525734916"/>
      <w:bookmarkStart w:id="42" w:name="_Toc525736647"/>
      <w:bookmarkStart w:id="43" w:name="_Toc526175175"/>
      <w:bookmarkStart w:id="44" w:name="_Toc525734917"/>
      <w:bookmarkStart w:id="45" w:name="_Toc525736648"/>
      <w:bookmarkStart w:id="46" w:name="_Toc526175176"/>
      <w:bookmarkStart w:id="47" w:name="_Toc530432440"/>
      <w:bookmarkStart w:id="48" w:name="_Toc534708616"/>
      <w:bookmarkEnd w:id="38"/>
      <w:bookmarkEnd w:id="39"/>
      <w:bookmarkEnd w:id="40"/>
      <w:bookmarkEnd w:id="41"/>
      <w:bookmarkEnd w:id="42"/>
      <w:bookmarkEnd w:id="43"/>
      <w:bookmarkEnd w:id="44"/>
      <w:bookmarkEnd w:id="45"/>
      <w:bookmarkEnd w:id="46"/>
      <w:r>
        <w:rPr>
          <w:noProof/>
        </w:rPr>
        <w:t>Ostatní přímé platby</w:t>
      </w:r>
      <w:bookmarkEnd w:id="47"/>
      <w:bookmarkEnd w:id="48"/>
    </w:p>
    <w:p w:rsidR="0012152F" w:rsidRDefault="00F762BC">
      <w:pPr>
        <w:spacing w:before="120" w:after="120" w:line="240" w:lineRule="auto"/>
        <w:ind w:left="850"/>
        <w:jc w:val="both"/>
        <w:rPr>
          <w:rFonts w:ascii="Times New Roman" w:eastAsia="Times New Roman" w:hAnsi="Times New Roman"/>
          <w:i/>
          <w:noProof/>
          <w:sz w:val="24"/>
          <w:szCs w:val="24"/>
        </w:rPr>
      </w:pPr>
      <w:bookmarkStart w:id="49" w:name="_Toc244054027"/>
      <w:bookmarkEnd w:id="35"/>
      <w:r>
        <w:rPr>
          <w:rFonts w:ascii="Times New Roman" w:hAnsi="Times New Roman"/>
          <w:noProof/>
          <w:sz w:val="24"/>
        </w:rPr>
        <w:t>Konečné výdaje na „ostatní přímé platby“ se blíží profilu ( –150,0 milionu EUR). Zejména u režimu pro malé zemědělce byly platby n</w:t>
      </w:r>
      <w:r>
        <w:rPr>
          <w:rFonts w:ascii="Times New Roman" w:hAnsi="Times New Roman"/>
          <w:noProof/>
          <w:sz w:val="24"/>
        </w:rPr>
        <w:t>ižší, než se očekávalo. Na druhé straně byly výdaje na režim dobrovolné podpory vázané na produkci vyšší, než se předpokládalo.</w:t>
      </w:r>
    </w:p>
    <w:p w:rsidR="0012152F" w:rsidRDefault="00F762BC">
      <w:pPr>
        <w:pStyle w:val="Heading2"/>
        <w:rPr>
          <w:noProof/>
        </w:rPr>
      </w:pPr>
      <w:bookmarkStart w:id="50" w:name="_Toc530432441"/>
      <w:bookmarkStart w:id="51" w:name="_Toc534708617"/>
      <w:r>
        <w:rPr>
          <w:noProof/>
        </w:rPr>
        <w:t>Audit zemědělských výdajů</w:t>
      </w:r>
      <w:bookmarkEnd w:id="50"/>
      <w:bookmarkEnd w:id="51"/>
    </w:p>
    <w:p w:rsidR="0012152F" w:rsidRDefault="00F762BC">
      <w:pPr>
        <w:pStyle w:val="Text1"/>
        <w:rPr>
          <w:noProof/>
        </w:rPr>
      </w:pPr>
      <w:r>
        <w:rPr>
          <w:noProof/>
        </w:rPr>
        <w:t>Pokud jde o rozpočtovou kapitolu 05 07, je čerpání nižší o – 44,9 milionu EUR, a to zejména proto, že </w:t>
      </w:r>
      <w:r>
        <w:rPr>
          <w:noProof/>
        </w:rPr>
        <w:t xml:space="preserve">v rozpočtové položce 05 07 02 (řešení sporů) se v případě rozsudku Evropského soudního dvora C585/15 „Tirlemontoise“ očekává vykázání významné částky v roce 2019 místo roku 2018.  </w:t>
      </w:r>
    </w:p>
    <w:p w:rsidR="0012152F" w:rsidRDefault="00F762BC">
      <w:pPr>
        <w:pStyle w:val="Heading1"/>
        <w:rPr>
          <w:noProof/>
        </w:rPr>
      </w:pPr>
      <w:bookmarkStart w:id="52" w:name="_Toc413145210"/>
      <w:bookmarkStart w:id="53" w:name="_Toc530432442"/>
      <w:bookmarkStart w:id="54" w:name="_Toc534708618"/>
      <w:r>
        <w:rPr>
          <w:noProof/>
        </w:rPr>
        <w:t>Plnění příjmů účelově vázaných na EZZF</w:t>
      </w:r>
      <w:bookmarkEnd w:id="49"/>
      <w:bookmarkEnd w:id="52"/>
      <w:bookmarkEnd w:id="53"/>
      <w:bookmarkEnd w:id="54"/>
    </w:p>
    <w:p w:rsidR="0012152F" w:rsidRDefault="00F762BC">
      <w:pPr>
        <w:spacing w:before="120" w:after="120" w:line="240" w:lineRule="auto"/>
        <w:ind w:left="850"/>
        <w:jc w:val="both"/>
        <w:rPr>
          <w:rFonts w:ascii="Times New Roman" w:hAnsi="Times New Roman"/>
          <w:noProof/>
          <w:sz w:val="24"/>
          <w:szCs w:val="24"/>
        </w:rPr>
      </w:pPr>
      <w:bookmarkStart w:id="55" w:name="_Toc244054028"/>
      <w:r>
        <w:rPr>
          <w:rFonts w:ascii="Times New Roman" w:hAnsi="Times New Roman"/>
          <w:noProof/>
          <w:sz w:val="24"/>
        </w:rPr>
        <w:t>Z přílohy vyplývá, že účelově vázané</w:t>
      </w:r>
      <w:r>
        <w:rPr>
          <w:rFonts w:ascii="Times New Roman" w:hAnsi="Times New Roman"/>
          <w:noProof/>
          <w:sz w:val="24"/>
        </w:rPr>
        <w:t xml:space="preserve"> příjmy, jež byly v roce 2018 nakonec k dispozici, dosahují celkové částky 1 598,2 milionu EUR.</w:t>
      </w:r>
    </w:p>
    <w:p w:rsidR="0012152F" w:rsidRDefault="00F762BC">
      <w:pPr>
        <w:spacing w:before="120" w:after="120" w:line="240" w:lineRule="auto"/>
        <w:ind w:left="850"/>
        <w:jc w:val="both"/>
        <w:rPr>
          <w:rFonts w:ascii="Times New Roman" w:hAnsi="Times New Roman"/>
          <w:noProof/>
          <w:sz w:val="24"/>
          <w:szCs w:val="24"/>
        </w:rPr>
      </w:pPr>
      <w:r>
        <w:rPr>
          <w:rFonts w:ascii="Times New Roman" w:hAnsi="Times New Roman"/>
          <w:noProof/>
          <w:sz w:val="24"/>
        </w:rPr>
        <w:t>V porovnání s odhadovanými částkami jsou příjmy po schválení účetních uzávěrek o 125,5 milionu EUR vyšší, zatímco v případě nesrovnalostí je konečná částka témě</w:t>
      </w:r>
      <w:r>
        <w:rPr>
          <w:rFonts w:ascii="Times New Roman" w:hAnsi="Times New Roman"/>
          <w:noProof/>
          <w:sz w:val="24"/>
        </w:rPr>
        <w:t>ř stejná, jak se očekávalo (–0,4 milionu EUR). Rovněž byly zaúčtovány některé zbytkové příjmy z doplňkové dávky producentů mléka (3,9 milionu EUR).</w:t>
      </w:r>
    </w:p>
    <w:p w:rsidR="0012152F" w:rsidRDefault="00F762BC">
      <w:pPr>
        <w:spacing w:before="120" w:after="120" w:line="240" w:lineRule="auto"/>
        <w:ind w:left="850"/>
        <w:jc w:val="both"/>
        <w:rPr>
          <w:noProof/>
        </w:rPr>
      </w:pPr>
      <w:r>
        <w:rPr>
          <w:rFonts w:ascii="Times New Roman" w:hAnsi="Times New Roman"/>
          <w:noProof/>
          <w:sz w:val="24"/>
        </w:rPr>
        <w:t>Zůstatek nevyužitých příjmů bude přenesen do rozpočtového roku 2019 s cílem přispět na financování výdajů EZ</w:t>
      </w:r>
      <w:r>
        <w:rPr>
          <w:rFonts w:ascii="Times New Roman" w:hAnsi="Times New Roman"/>
          <w:noProof/>
          <w:sz w:val="24"/>
        </w:rPr>
        <w:t xml:space="preserve">ZF v daném roce. </w:t>
      </w:r>
    </w:p>
    <w:p w:rsidR="0012152F" w:rsidRDefault="00F762BC">
      <w:pPr>
        <w:pStyle w:val="Heading1"/>
        <w:rPr>
          <w:noProof/>
        </w:rPr>
      </w:pPr>
      <w:bookmarkStart w:id="56" w:name="_Toc244054030"/>
      <w:bookmarkStart w:id="57" w:name="_Toc413145211"/>
      <w:bookmarkStart w:id="58" w:name="_Toc530432443"/>
      <w:bookmarkStart w:id="59" w:name="_Toc534708619"/>
      <w:bookmarkEnd w:id="55"/>
      <w:r>
        <w:rPr>
          <w:noProof/>
        </w:rPr>
        <w:t>Závěry</w:t>
      </w:r>
      <w:bookmarkEnd w:id="56"/>
      <w:bookmarkEnd w:id="57"/>
      <w:bookmarkEnd w:id="58"/>
      <w:bookmarkEnd w:id="59"/>
    </w:p>
    <w:p w:rsidR="0012152F" w:rsidRDefault="00F762BC">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Předběžné výdaje z rozpočtu EZZF na rok 2018, včetně odhadovaných výdajů na akce v rámci přímého řízení Komise do 31. prosince 2018, mají za následek přečerpání ve výši 1 152 milionů EUR ve srovnání se schválenými rozpočtovými pros</w:t>
      </w:r>
      <w:r>
        <w:rPr>
          <w:rFonts w:ascii="Times New Roman" w:hAnsi="Times New Roman"/>
          <w:noProof/>
          <w:sz w:val="24"/>
        </w:rPr>
        <w:t>tředky. Toto přečerpání je kryto dostupnými účelově vázanými příjmy ve výši 1 598 milionů EUR.</w:t>
      </w:r>
    </w:p>
    <w:p w:rsidR="0012152F" w:rsidRDefault="00F762BC">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Rezerva pro případ krize nebyla v roce 2018 využita (459,5 milionu EUR). Částka finanční kázně skutečně uplatněná v roce 2018 bude proto k dispozici pro přenos p</w:t>
      </w:r>
      <w:r>
        <w:rPr>
          <w:rFonts w:ascii="Times New Roman" w:hAnsi="Times New Roman"/>
          <w:noProof/>
          <w:sz w:val="24"/>
        </w:rPr>
        <w:t>rostředků do roku 2019 na úhradu přímých plateb příjemcům.</w:t>
      </w:r>
    </w:p>
    <w:p w:rsidR="0012152F" w:rsidRDefault="00F762BC">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Konečný zůstatek účelově vázaných příjmů, který se má přenést do rozpočtu na rok 2019, ještě lehce ovlivní řada úprav a převodů prostředků, které budou učiněny na konci roku. V souvislosti s dohodo</w:t>
      </w:r>
      <w:r>
        <w:rPr>
          <w:rFonts w:ascii="Times New Roman" w:hAnsi="Times New Roman"/>
          <w:noProof/>
          <w:sz w:val="24"/>
        </w:rPr>
        <w:t>vacím postupem týkajícím se rozpočtu na rok 2019 byl konečný zůstatek, který má být převeden do roku 2019, odhadován na 444 milionů EUR.</w:t>
      </w:r>
    </w:p>
    <w:p w:rsidR="0012152F" w:rsidRDefault="0012152F">
      <w:pPr>
        <w:spacing w:before="120" w:after="120" w:line="240" w:lineRule="auto"/>
        <w:ind w:left="850"/>
        <w:jc w:val="both"/>
        <w:rPr>
          <w:rFonts w:ascii="Times New Roman" w:eastAsia="Times New Roman" w:hAnsi="Times New Roman"/>
          <w:i/>
          <w:noProof/>
          <w:sz w:val="24"/>
          <w:szCs w:val="24"/>
        </w:rPr>
      </w:pPr>
    </w:p>
    <w:p w:rsidR="0012152F" w:rsidRDefault="0012152F">
      <w:pPr>
        <w:spacing w:before="120" w:after="120" w:line="240" w:lineRule="auto"/>
        <w:ind w:left="850"/>
        <w:jc w:val="both"/>
        <w:rPr>
          <w:noProof/>
        </w:rPr>
      </w:pPr>
    </w:p>
    <w:sectPr w:rsidR="0012152F">
      <w:headerReference w:type="even" r:id="rId21"/>
      <w:headerReference w:type="default" r:id="rId22"/>
      <w:footerReference w:type="even" r:id="rId23"/>
      <w:footerReference w:type="default" r:id="rId24"/>
      <w:headerReference w:type="first" r:id="rId25"/>
      <w:footerReference w:type="first" r:id="rId26"/>
      <w:pgSz w:w="11907" w:h="16840"/>
      <w:pgMar w:top="1134" w:right="1418" w:bottom="1134" w:left="1440" w:header="59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52F" w:rsidRDefault="00F762BC">
      <w:pPr>
        <w:spacing w:after="0" w:line="240" w:lineRule="auto"/>
      </w:pPr>
      <w:r>
        <w:separator/>
      </w:r>
    </w:p>
  </w:endnote>
  <w:endnote w:type="continuationSeparator" w:id="0">
    <w:p w:rsidR="0012152F" w:rsidRDefault="00F76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2F" w:rsidRDefault="00121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2F" w:rsidRDefault="00F762BC">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2F" w:rsidRDefault="0012152F">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2F" w:rsidRDefault="001215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2F" w:rsidRDefault="00F762BC">
    <w:pPr>
      <w:pStyle w:val="Footer"/>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1</w:t>
    </w:r>
    <w:r>
      <w:rPr>
        <w:noProof/>
        <w:szCs w:val="24"/>
      </w:rPr>
      <w:fldChar w:fldCharType="end"/>
    </w:r>
  </w:p>
  <w:p w:rsidR="0012152F" w:rsidRDefault="0012152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2F" w:rsidRDefault="0012152F">
    <w:pPr>
      <w:pStyle w:val="FooterCoverPag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2F" w:rsidRDefault="0012152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2F" w:rsidRDefault="00F762BC">
    <w:pPr>
      <w:pStyle w:val="Footer"/>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5</w:t>
    </w:r>
    <w:r>
      <w:rPr>
        <w:noProof/>
        <w:szCs w:val="24"/>
      </w:rPr>
      <w:fldChar w:fldCharType="end"/>
    </w:r>
  </w:p>
  <w:p w:rsidR="0012152F" w:rsidRDefault="0012152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2F" w:rsidRDefault="00121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52F" w:rsidRDefault="00F762BC">
      <w:pPr>
        <w:spacing w:after="0" w:line="240" w:lineRule="auto"/>
      </w:pPr>
      <w:r>
        <w:separator/>
      </w:r>
    </w:p>
  </w:footnote>
  <w:footnote w:type="continuationSeparator" w:id="0">
    <w:p w:rsidR="0012152F" w:rsidRDefault="00F762BC">
      <w:pPr>
        <w:spacing w:after="0" w:line="240" w:lineRule="auto"/>
      </w:pPr>
      <w:r>
        <w:continuationSeparator/>
      </w:r>
    </w:p>
  </w:footnote>
  <w:footnote w:id="1">
    <w:p w:rsidR="0012152F" w:rsidRDefault="00F762BC">
      <w:pPr>
        <w:pStyle w:val="FootnoteText"/>
        <w:spacing w:after="60"/>
        <w:ind w:left="851" w:hanging="851"/>
        <w:jc w:val="both"/>
        <w:rPr>
          <w:rFonts w:ascii="Times New Roman" w:hAnsi="Times New Roman"/>
        </w:rPr>
      </w:pPr>
      <w:r>
        <w:rPr>
          <w:rStyle w:val="FootnoteReference"/>
          <w:rFonts w:ascii="Times New Roman" w:hAnsi="Times New Roman"/>
        </w:rPr>
        <w:footnoteRef/>
      </w:r>
      <w:r>
        <w:tab/>
      </w:r>
      <w:r>
        <w:rPr>
          <w:rFonts w:ascii="Times New Roman" w:hAnsi="Times New Roman"/>
        </w:rPr>
        <w:t>Ustanovení čl. 12 odst. 4 písm. b) nařízení Evropského parlamentu a Rady (EU, Euratom) č. 2018/1046, kterým se stanoví finanční pravidla pro souhrnný rozpočet Unie, určuje, že prostředky odpovídající vnitřním účelově vázaným příjmům mohou být přeneseny pou</w:t>
      </w:r>
      <w:r>
        <w:rPr>
          <w:rFonts w:ascii="Times New Roman" w:hAnsi="Times New Roman"/>
        </w:rPr>
        <w:t xml:space="preserve">ze do následujícího rozpočtového roku. V zájmu řádného rozpočtového řízení se proto tyto účelově vázané příjmy obecně používají přednostně před jakýmikoli schválenými prostředky příslušného článku rozpočtu.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2F" w:rsidRDefault="00121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2F" w:rsidRDefault="0012152F">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2F" w:rsidRDefault="0012152F">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2F" w:rsidRDefault="001215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2F" w:rsidRDefault="0012152F">
    <w:pPr>
      <w:pStyle w:val="HeaderCoverPag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2F" w:rsidRDefault="0012152F">
    <w:pPr>
      <w:pStyle w:val="HeaderCoverPag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2F" w:rsidRDefault="0012152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2F" w:rsidRDefault="0012152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2F" w:rsidRDefault="00121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10243"/>
    <w:multiLevelType w:val="hybridMultilevel"/>
    <w:tmpl w:val="F10CF124"/>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 w15:restartNumberingAfterBreak="0">
    <w:nsid w:val="12E871E7"/>
    <w:multiLevelType w:val="hybridMultilevel"/>
    <w:tmpl w:val="FE3E400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 w15:restartNumberingAfterBreak="0">
    <w:nsid w:val="51043F95"/>
    <w:multiLevelType w:val="hybridMultilevel"/>
    <w:tmpl w:val="EC6A612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 w15:restartNumberingAfterBreak="0">
    <w:nsid w:val="53F47367"/>
    <w:multiLevelType w:val="singleLevel"/>
    <w:tmpl w:val="B4E8C9F0"/>
    <w:name w:val="LegalNumbering"/>
    <w:lvl w:ilvl="0">
      <w:start w:val="1"/>
      <w:numFmt w:val="bullet"/>
      <w:lvlRestart w:val="0"/>
      <w:lvlText w:val="–"/>
      <w:lvlJc w:val="left"/>
      <w:pPr>
        <w:tabs>
          <w:tab w:val="num" w:pos="1417"/>
        </w:tabs>
        <w:ind w:left="1417" w:hanging="567"/>
      </w:pPr>
    </w:lvl>
  </w:abstractNum>
  <w:abstractNum w:abstractNumId="5" w15:restartNumberingAfterBreak="0">
    <w:nsid w:val="55EA2AD9"/>
    <w:multiLevelType w:val="hybridMultilevel"/>
    <w:tmpl w:val="FB28C2BA"/>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6" w15:restartNumberingAfterBreak="0">
    <w:nsid w:val="64A12FA4"/>
    <w:multiLevelType w:val="multilevel"/>
    <w:tmpl w:val="428ECF3E"/>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4E147BA"/>
    <w:multiLevelType w:val="hybridMultilevel"/>
    <w:tmpl w:val="C4FC6E94"/>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8" w15:restartNumberingAfterBreak="0">
    <w:nsid w:val="6C827C2A"/>
    <w:multiLevelType w:val="hybridMultilevel"/>
    <w:tmpl w:val="253E2B0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15:restartNumberingAfterBreak="0">
    <w:nsid w:val="6E6B4B85"/>
    <w:multiLevelType w:val="hybridMultilevel"/>
    <w:tmpl w:val="E67CE6C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0" w15:restartNumberingAfterBreak="0">
    <w:nsid w:val="71632DBE"/>
    <w:multiLevelType w:val="hybridMultilevel"/>
    <w:tmpl w:val="253CB540"/>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num w:numId="1">
    <w:abstractNumId w:val="6"/>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7"/>
  </w:num>
  <w:num w:numId="8">
    <w:abstractNumId w:val="6"/>
  </w:num>
  <w:num w:numId="9">
    <w:abstractNumId w:val="6"/>
  </w:num>
  <w:num w:numId="10">
    <w:abstractNumId w:val="6"/>
  </w:num>
  <w:num w:numId="11">
    <w:abstractNumId w:val="9"/>
  </w:num>
  <w:num w:numId="12">
    <w:abstractNumId w:val="1"/>
  </w:num>
  <w:num w:numId="13">
    <w:abstractNumId w:val="5"/>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C9E8F96-4E04-400F-9574-AB1CEC2684AF"/>
    <w:docVar w:name="LW_COVERPAGE_TYPE" w:val="1"/>
    <w:docVar w:name="LW_CROSSREFERENCE" w:val="&lt;UNUSED&gt;"/>
    <w:docVar w:name="LW_DocType" w:val="NORMAL"/>
    <w:docVar w:name="LW_EMISSION" w:val="1.2.2019"/>
    <w:docVar w:name="LW_EMISSION_ISODATE" w:val="2019-02-01"/>
    <w:docVar w:name="LW_EMISSION_LOCATION" w:val="BRX"/>
    <w:docVar w:name="LW_EMISSION_PREFIX" w:val="V Bruselu dne "/>
    <w:docVar w:name="LW_EMISSION_SUFFIX" w:val=" "/>
    <w:docVar w:name="LW_ID_DOCTYPE_NONLW" w:val="CP-006"/>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9) 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o výdajích EZZF_x000b__x000d__x000b__x000d__x000b__x000d__x000b_Systém v\u269?asného varování \u269?. 11-12/2018"/>
    <w:docVar w:name="LW_TYPE.DOC.CP" w:val="ZPRÁVA KOMISE EVROPSKÉMU PARLAMENTU A RAD\u282?"/>
  </w:docVars>
  <w:rsids>
    <w:rsidRoot w:val="0012152F"/>
    <w:rsid w:val="0012152F"/>
    <w:rsid w:val="00F76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15:docId w15:val="{B3C39D84-4718-42E6-A118-9C3FFB10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cs-CZ"/>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nhideWhenUsed/>
    <w:qFormat/>
    <w:pPr>
      <w:keepNext/>
      <w:numPr>
        <w:ilvl w:val="1"/>
        <w:numId w:val="1"/>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nhideWhenUsed/>
    <w:qFormat/>
    <w:pPr>
      <w:keepNext/>
      <w:numPr>
        <w:ilvl w:val="2"/>
        <w:numId w:val="1"/>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semiHidden/>
    <w:unhideWhenUsed/>
    <w:qFormat/>
    <w:pPr>
      <w:keepNext/>
      <w:numPr>
        <w:ilvl w:val="3"/>
        <w:numId w:val="1"/>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lang w:eastAsia="cs-CZ"/>
    </w:rPr>
  </w:style>
  <w:style w:type="character" w:styleId="FootnoteReference">
    <w:name w:val="footnote reference"/>
    <w:semiHidden/>
    <w:unhideWhenUsed/>
    <w:rPr>
      <w:vertAlign w:val="superscri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cs-CZ"/>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cs-CZ"/>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character" w:customStyle="1" w:styleId="Heading1Char">
    <w:name w:val="Heading 1 Char"/>
    <w:link w:val="Heading1"/>
    <w:rPr>
      <w:rFonts w:ascii="Times New Roman" w:eastAsia="Times New Roman" w:hAnsi="Times New Roman"/>
      <w:b/>
      <w:bCs/>
      <w:smallCaps/>
      <w:sz w:val="24"/>
      <w:szCs w:val="32"/>
      <w:lang w:eastAsia="cs-CZ"/>
    </w:rPr>
  </w:style>
  <w:style w:type="character" w:customStyle="1" w:styleId="Heading2Char">
    <w:name w:val="Heading 2 Char"/>
    <w:link w:val="Heading2"/>
    <w:rPr>
      <w:rFonts w:ascii="Times New Roman" w:eastAsia="Times New Roman" w:hAnsi="Times New Roman"/>
      <w:b/>
      <w:bCs/>
      <w:iCs/>
      <w:sz w:val="24"/>
      <w:szCs w:val="28"/>
      <w:lang w:eastAsia="cs-CZ"/>
    </w:rPr>
  </w:style>
  <w:style w:type="character" w:customStyle="1" w:styleId="Heading3Char">
    <w:name w:val="Heading 3 Char"/>
    <w:link w:val="Heading3"/>
    <w:rPr>
      <w:rFonts w:ascii="Times New Roman" w:eastAsia="Times New Roman" w:hAnsi="Times New Roman"/>
      <w:bCs/>
      <w:i/>
      <w:sz w:val="24"/>
      <w:szCs w:val="26"/>
      <w:lang w:eastAsia="cs-CZ"/>
    </w:rPr>
  </w:style>
  <w:style w:type="character" w:customStyle="1" w:styleId="Heading4Char">
    <w:name w:val="Heading 4 Char"/>
    <w:link w:val="Heading4"/>
    <w:semiHidden/>
    <w:rPr>
      <w:rFonts w:ascii="Times New Roman" w:eastAsia="Times New Roman" w:hAnsi="Times New Roman"/>
      <w:bCs/>
      <w:sz w:val="24"/>
      <w:szCs w:val="28"/>
      <w:lang w:eastAsia="cs-CZ"/>
    </w:rPr>
  </w:style>
  <w:style w:type="paragraph" w:customStyle="1" w:styleId="Text1">
    <w:name w:val="Text 1"/>
    <w:basedOn w:val="Normal"/>
    <w:link w:val="Text1Char"/>
    <w:pPr>
      <w:spacing w:before="120" w:after="120" w:line="240" w:lineRule="auto"/>
      <w:ind w:left="850"/>
      <w:jc w:val="both"/>
    </w:pPr>
    <w:rPr>
      <w:rFonts w:ascii="Times New Roman" w:eastAsia="Times New Roman" w:hAnsi="Times New Roman"/>
      <w:sz w:val="24"/>
      <w:szCs w:val="24"/>
    </w:rPr>
  </w:style>
  <w:style w:type="paragraph" w:styleId="TOC1">
    <w:name w:val="toc 1"/>
    <w:basedOn w:val="Normal"/>
    <w:next w:val="Normal"/>
    <w:autoRedefine/>
    <w:uiPriority w:val="39"/>
    <w:unhideWhenUsed/>
    <w:qFormat/>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Times New Roman" w:hAnsi="Times New Roman"/>
      <w:b/>
      <w:sz w:val="28"/>
      <w:szCs w:val="24"/>
    </w:rPr>
  </w:style>
  <w:style w:type="character" w:customStyle="1" w:styleId="Text1Char">
    <w:name w:val="Text 1 Char"/>
    <w:link w:val="Text1"/>
    <w:locked/>
    <w:rPr>
      <w:rFonts w:ascii="Times New Roman" w:eastAsia="Times New Roman" w:hAnsi="Times New Roman"/>
      <w:sz w:val="24"/>
      <w:szCs w:val="24"/>
      <w:lang w:eastAsia="cs-CZ"/>
    </w:rPr>
  </w:style>
  <w:style w:type="paragraph" w:customStyle="1" w:styleId="Tiret1">
    <w:name w:val="Tiret 1"/>
    <w:basedOn w:val="Normal"/>
    <w:pPr>
      <w:numPr>
        <w:numId w:val="2"/>
      </w:numPr>
      <w:spacing w:before="120" w:after="120" w:line="240" w:lineRule="auto"/>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cs-CZ"/>
    </w:rPr>
  </w:style>
  <w:style w:type="paragraph" w:customStyle="1" w:styleId="Text2">
    <w:name w:val="Text 2"/>
    <w:basedOn w:val="Normal"/>
    <w:pPr>
      <w:spacing w:before="120" w:after="120" w:line="240" w:lineRule="auto"/>
      <w:ind w:left="850"/>
      <w:jc w:val="both"/>
    </w:pPr>
    <w:rPr>
      <w:rFonts w:ascii="Times New Roman" w:hAnsi="Times New Roman"/>
      <w:sz w:val="24"/>
      <w:szCs w:val="24"/>
    </w:rPr>
  </w:style>
  <w:style w:type="paragraph" w:styleId="TOC2">
    <w:name w:val="toc 2"/>
    <w:basedOn w:val="Normal"/>
    <w:next w:val="Normal"/>
    <w:autoRedefine/>
    <w:uiPriority w:val="39"/>
    <w:unhideWhenUsed/>
    <w:qFormat/>
    <w:pPr>
      <w:ind w:left="220"/>
    </w:pPr>
  </w:style>
  <w:style w:type="paragraph" w:styleId="TOC3">
    <w:name w:val="toc 3"/>
    <w:basedOn w:val="Normal"/>
    <w:next w:val="Normal"/>
    <w:autoRedefine/>
    <w:uiPriority w:val="39"/>
    <w:unhideWhenUsed/>
    <w:qFormat/>
    <w:pPr>
      <w:ind w:left="440"/>
    </w:pPr>
  </w:style>
  <w:style w:type="character" w:styleId="Hyperlink">
    <w:name w:val="Hyperlink"/>
    <w:uiPriority w:val="99"/>
    <w:unhideWhenUsed/>
    <w:rPr>
      <w:color w:val="0000FF"/>
      <w:u w:val="single"/>
    </w:rPr>
  </w:style>
  <w:style w:type="paragraph" w:styleId="Revision">
    <w:name w:val="Revision"/>
    <w:hidden/>
    <w:uiPriority w:val="99"/>
    <w:semiHidden/>
    <w:rPr>
      <w:sz w:val="22"/>
      <w:szCs w:val="22"/>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cs-CZ"/>
    </w:rPr>
  </w:style>
  <w:style w:type="paragraph" w:customStyle="1" w:styleId="Typedudocument">
    <w:name w:val="Type du document"/>
    <w:basedOn w:val="Normal"/>
    <w:next w:val="Normal"/>
    <w:pPr>
      <w:spacing w:before="360" w:after="0" w:line="240" w:lineRule="auto"/>
      <w:jc w:val="center"/>
    </w:pPr>
    <w:rPr>
      <w:rFonts w:ascii="Times New Roman" w:eastAsiaTheme="minorHAnsi" w:hAnsi="Times New Roman"/>
      <w:b/>
      <w:sz w:val="24"/>
    </w:rPr>
  </w:style>
  <w:style w:type="paragraph" w:customStyle="1" w:styleId="Titreobjet">
    <w:name w:val="Titre objet"/>
    <w:basedOn w:val="Normal"/>
    <w:next w:val="Normal"/>
    <w:pPr>
      <w:spacing w:before="360" w:after="360" w:line="240" w:lineRule="auto"/>
      <w:jc w:val="center"/>
    </w:pPr>
    <w:rPr>
      <w:rFonts w:ascii="Times New Roman" w:eastAsiaTheme="minorHAnsi" w:hAnsi="Times New Roman"/>
      <w:b/>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803164">
      <w:bodyDiv w:val="1"/>
      <w:marLeft w:val="0"/>
      <w:marRight w:val="0"/>
      <w:marTop w:val="0"/>
      <w:marBottom w:val="0"/>
      <w:divBdr>
        <w:top w:val="none" w:sz="0" w:space="0" w:color="auto"/>
        <w:left w:val="none" w:sz="0" w:space="0" w:color="auto"/>
        <w:bottom w:val="none" w:sz="0" w:space="0" w:color="auto"/>
        <w:right w:val="none" w:sz="0" w:space="0" w:color="auto"/>
      </w:divBdr>
    </w:div>
    <w:div w:id="1684211282">
      <w:bodyDiv w:val="1"/>
      <w:marLeft w:val="0"/>
      <w:marRight w:val="0"/>
      <w:marTop w:val="0"/>
      <w:marBottom w:val="0"/>
      <w:divBdr>
        <w:top w:val="none" w:sz="0" w:space="0" w:color="auto"/>
        <w:left w:val="none" w:sz="0" w:space="0" w:color="auto"/>
        <w:bottom w:val="none" w:sz="0" w:space="0" w:color="auto"/>
        <w:right w:val="none" w:sz="0" w:space="0" w:color="auto"/>
      </w:divBdr>
    </w:div>
    <w:div w:id="1811054184">
      <w:bodyDiv w:val="1"/>
      <w:marLeft w:val="0"/>
      <w:marRight w:val="0"/>
      <w:marTop w:val="0"/>
      <w:marBottom w:val="0"/>
      <w:divBdr>
        <w:top w:val="none" w:sz="0" w:space="0" w:color="auto"/>
        <w:left w:val="none" w:sz="0" w:space="0" w:color="auto"/>
        <w:bottom w:val="none" w:sz="0" w:space="0" w:color="auto"/>
        <w:right w:val="none" w:sz="0" w:space="0" w:color="auto"/>
      </w:divBdr>
    </w:div>
    <w:div w:id="1870990847">
      <w:bodyDiv w:val="1"/>
      <w:marLeft w:val="0"/>
      <w:marRight w:val="0"/>
      <w:marTop w:val="0"/>
      <w:marBottom w:val="0"/>
      <w:divBdr>
        <w:top w:val="none" w:sz="0" w:space="0" w:color="auto"/>
        <w:left w:val="none" w:sz="0" w:space="0" w:color="auto"/>
        <w:bottom w:val="none" w:sz="0" w:space="0" w:color="auto"/>
        <w:right w:val="none" w:sz="0" w:space="0" w:color="auto"/>
      </w:divBdr>
    </w:div>
    <w:div w:id="2035571687">
      <w:bodyDiv w:val="1"/>
      <w:marLeft w:val="0"/>
      <w:marRight w:val="0"/>
      <w:marTop w:val="0"/>
      <w:marBottom w:val="0"/>
      <w:divBdr>
        <w:top w:val="none" w:sz="0" w:space="0" w:color="auto"/>
        <w:left w:val="none" w:sz="0" w:space="0" w:color="auto"/>
        <w:bottom w:val="none" w:sz="0" w:space="0" w:color="auto"/>
        <w:right w:val="none" w:sz="0" w:space="0" w:color="auto"/>
      </w:divBdr>
    </w:div>
    <w:div w:id="210344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24E02-5B6D-44BD-AD09-B8B5D2B4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1635</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KONONIUK Agnieszka (SG)</cp:lastModifiedBy>
  <cp:revision>26</cp:revision>
  <cp:lastPrinted>2018-11-22T13:29:00Z</cp:lastPrinted>
  <dcterms:created xsi:type="dcterms:W3CDTF">2018-11-22T15:08:00Z</dcterms:created>
  <dcterms:modified xsi:type="dcterms:W3CDTF">2019-02-01T14:30:00Z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evel of sensitivity">
    <vt:lpwstr>Standard treatment</vt:lpwstr>
  </property>
  <property fmtid="{D5CDD505-2E9C-101B-9397-08002B2CF9AE}" pid="7" name="Last edited using">
    <vt:lpwstr>LW 6.0.1, Build 20180503</vt:lpwstr>
  </property>
  <property fmtid="{D5CDD505-2E9C-101B-9397-08002B2CF9AE}" pid="8" name="Created using">
    <vt:lpwstr>LW 6.0.1, Build 20180503</vt:lpwstr>
  </property>
</Properties>
</file>