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ED3" w:rsidRDefault="003423C1" w:rsidP="003423C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13A6EC2-3614-4C7C-8ECE-4D1B06420363" style="width:450.85pt;height:455.25pt">
            <v:imagedata r:id="rId8" o:title=""/>
          </v:shape>
        </w:pict>
      </w:r>
    </w:p>
    <w:bookmarkEnd w:id="0"/>
    <w:p w:rsidR="00B26ED3" w:rsidRDefault="00B26ED3">
      <w:pPr>
        <w:jc w:val="both"/>
        <w:rPr>
          <w:rFonts w:ascii="Times New Roman" w:hAnsi="Times New Roman" w:cs="Times New Roman"/>
          <w:noProof/>
        </w:rPr>
        <w:sectPr w:rsidR="00B26ED3" w:rsidSect="003423C1">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26ED3">
        <w:tc>
          <w:tcPr>
            <w:tcW w:w="9288" w:type="dxa"/>
            <w:shd w:val="clear" w:color="auto" w:fill="BFBFBF"/>
          </w:tcPr>
          <w:p w:rsidR="00B26ED3" w:rsidRDefault="003423C1">
            <w:pPr>
              <w:jc w:val="both"/>
              <w:rPr>
                <w:rFonts w:ascii="Times New Roman" w:hAnsi="Times New Roman" w:cs="Times New Roman"/>
                <w:i/>
                <w:noProof/>
              </w:rPr>
            </w:pPr>
            <w:r>
              <w:rPr>
                <w:rFonts w:ascii="Times New Roman" w:hAnsi="Times New Roman"/>
                <w:i/>
                <w:noProof/>
              </w:rPr>
              <w:lastRenderedPageBreak/>
              <w:t xml:space="preserve">Izvješće o mehanizmu upozoravanja (IMU) polazna je točka godišnjeg ciklusa postupka zbog makroekonomskih neravnoteža (PMN), čija je svrha utvrditi i ukloniti neravnoteže koje ometaju normalno funkcioniranje gospodarstava država članica i gospodarstva EU-a </w:t>
            </w:r>
            <w:r>
              <w:rPr>
                <w:rFonts w:ascii="Times New Roman" w:hAnsi="Times New Roman"/>
                <w:i/>
                <w:noProof/>
              </w:rPr>
              <w:t xml:space="preserve">te koje mogu ugroziti pravilno funkcioniranje ekonomske i monetarne unije. </w:t>
            </w:r>
          </w:p>
          <w:p w:rsidR="00B26ED3" w:rsidRDefault="003423C1">
            <w:pPr>
              <w:jc w:val="both"/>
              <w:rPr>
                <w:rFonts w:ascii="Times New Roman" w:hAnsi="Times New Roman" w:cs="Times New Roman"/>
                <w:noProof/>
              </w:rPr>
            </w:pPr>
            <w:r>
              <w:rPr>
                <w:rFonts w:ascii="Times New Roman" w:hAnsi="Times New Roman"/>
                <w:i/>
                <w:noProof/>
              </w:rPr>
              <w:t xml:space="preserve">U izvješću o mehanizmu upozoravanja upotrebljavaju se tablica odabranih pokazatelja, širi skup pomoćnih pokazatelja te dodatne relevantne informacije kako bi se ispitalo može li u </w:t>
            </w:r>
            <w:r>
              <w:rPr>
                <w:rFonts w:ascii="Times New Roman" w:hAnsi="Times New Roman"/>
                <w:i/>
                <w:noProof/>
              </w:rPr>
              <w:t xml:space="preserve">državama članicama doći do gospodarskih neravnoteža koje iziskuje djelovanje politika. U izvješću o mehanizmu upozoravanja navedene su države članice za koje je potrebno provesti detaljno preispitivanje kako bi se procijenilo kako se makroekonomski rizici </w:t>
            </w:r>
            <w:r>
              <w:rPr>
                <w:rFonts w:ascii="Times New Roman" w:hAnsi="Times New Roman"/>
                <w:i/>
                <w:noProof/>
              </w:rPr>
              <w:t>u državama članicama nakupljaju ili smanjuju te zaključilo postoje li neravnoteže ili prekomjerne neravnoteže. Uzimajući u obzir rasprave o izvješću o mehanizmu upozoravanja s Europskim parlamentom te u Vijeću i Euroskupini, Komisija će zatim sastaviti izv</w:t>
            </w:r>
            <w:r>
              <w:rPr>
                <w:rFonts w:ascii="Times New Roman" w:hAnsi="Times New Roman"/>
                <w:i/>
                <w:noProof/>
              </w:rPr>
              <w:t>ješća o detaljnom preispitivanju za predmetne države članice. Na temelju ustaljenih praksi detaljno preispitivanje u svakom će se slučaju pripremiti za države članice u kojima su u prethodnom ciklusu detaljnog preispitivanja utvrđene neravnoteže. Nalazi iz</w:t>
            </w:r>
            <w:r>
              <w:rPr>
                <w:rFonts w:ascii="Times New Roman" w:hAnsi="Times New Roman"/>
                <w:i/>
                <w:noProof/>
              </w:rPr>
              <w:t xml:space="preserve"> detaljnog preispitivanja ugrađuju se u preporuke po državama članicama u okviru europskog semestra za koordinaciju ekonomskih politika. Objava detaljnih preispitivanja očekuje se u veljači 2019., uoči paketa preporuka po državama članicama u okviru europs</w:t>
            </w:r>
            <w:r>
              <w:rPr>
                <w:rFonts w:ascii="Times New Roman" w:hAnsi="Times New Roman"/>
                <w:i/>
                <w:noProof/>
              </w:rPr>
              <w:t>kog semestra.</w:t>
            </w:r>
          </w:p>
        </w:tc>
      </w:tr>
    </w:tbl>
    <w:p w:rsidR="00B26ED3" w:rsidRDefault="00B26ED3">
      <w:pPr>
        <w:jc w:val="both"/>
        <w:rPr>
          <w:rFonts w:ascii="Times New Roman" w:hAnsi="Times New Roman" w:cs="Times New Roman"/>
          <w:b/>
          <w:bCs/>
          <w:noProof/>
        </w:rPr>
      </w:pPr>
    </w:p>
    <w:p w:rsidR="00B26ED3" w:rsidRDefault="003423C1">
      <w:pPr>
        <w:jc w:val="both"/>
        <w:rPr>
          <w:rFonts w:ascii="Times New Roman" w:hAnsi="Times New Roman" w:cs="Times New Roman"/>
          <w:b/>
          <w:bCs/>
          <w:noProof/>
        </w:rPr>
      </w:pPr>
      <w:r>
        <w:rPr>
          <w:rFonts w:ascii="Times New Roman" w:hAnsi="Times New Roman"/>
          <w:b/>
          <w:noProof/>
        </w:rPr>
        <w:t>1.</w:t>
      </w:r>
      <w:r>
        <w:rPr>
          <w:noProof/>
        </w:rPr>
        <w:tab/>
      </w:r>
      <w:r>
        <w:rPr>
          <w:rFonts w:ascii="Times New Roman Bold" w:hAnsi="Times New Roman Bold"/>
          <w:b/>
          <w:smallCaps/>
          <w:noProof/>
        </w:rPr>
        <w:t>Sažetak</w:t>
      </w:r>
    </w:p>
    <w:p w:rsidR="00B26ED3" w:rsidRDefault="003423C1">
      <w:pPr>
        <w:jc w:val="both"/>
        <w:rPr>
          <w:rFonts w:ascii="Times New Roman" w:hAnsi="Times New Roman" w:cs="Times New Roman"/>
          <w:noProof/>
        </w:rPr>
      </w:pPr>
      <w:r>
        <w:rPr>
          <w:rFonts w:ascii="Times New Roman" w:hAnsi="Times New Roman"/>
          <w:b/>
          <w:noProof/>
        </w:rPr>
        <w:t>Ovim izvješćem otvara se osmi godišnji ciklus postupka zbog makroekonomskih neravnoteža (PMN).</w:t>
      </w:r>
      <w:r>
        <w:rPr>
          <w:rFonts w:ascii="Times New Roman" w:hAnsi="Times New Roman"/>
          <w:noProof/>
          <w:vertAlign w:val="superscript"/>
        </w:rPr>
        <w:footnoteReference w:id="1"/>
      </w:r>
      <w:r>
        <w:rPr>
          <w:rFonts w:ascii="Times New Roman" w:hAnsi="Times New Roman"/>
          <w:noProof/>
        </w:rPr>
        <w:t xml:space="preserve"> Postupkom se želi utvrditi neravnoteže koje otežavaju normalno funkcioniranje gospodarstava država članica te potaknuti primjerene odgovore politika. Provedba PMN-a ugrađena je u europski semestar za koordinaciju ekonomskih politika u cilju osiguranja usk</w:t>
      </w:r>
      <w:r>
        <w:rPr>
          <w:rFonts w:ascii="Times New Roman" w:hAnsi="Times New Roman"/>
          <w:noProof/>
        </w:rPr>
        <w:t xml:space="preserve">lađenosti s analizama i preporukama u okviru drugih instrumenata ekonomskog nadzora. Godišnjim pregledom rasta (GPR) koji se donosi u isto vrijeme kao i ovo izvješće, bilježi se gospodarsko i socijalno stanje u Europi te određuju opći politički prioriteti </w:t>
      </w:r>
      <w:r>
        <w:rPr>
          <w:rFonts w:ascii="Times New Roman" w:hAnsi="Times New Roman"/>
          <w:noProof/>
        </w:rPr>
        <w:t>za EU kao cjelinu u sljedećoj godini.</w:t>
      </w:r>
    </w:p>
    <w:p w:rsidR="00B26ED3" w:rsidRDefault="003423C1">
      <w:pPr>
        <w:jc w:val="both"/>
        <w:rPr>
          <w:rFonts w:ascii="Times New Roman" w:hAnsi="Times New Roman" w:cs="Times New Roman"/>
          <w:noProof/>
        </w:rPr>
      </w:pPr>
      <w:r>
        <w:rPr>
          <w:rFonts w:ascii="Times New Roman" w:hAnsi="Times New Roman"/>
          <w:b/>
          <w:noProof/>
        </w:rPr>
        <w:t>U izvješću su navedene države članice za koje treba provesti detaljna preispitivanja kako bi se procijenilo jesu li pogođene neravnotežama koje zahtijevaju djelovanje politika.</w:t>
      </w:r>
      <w:r>
        <w:rPr>
          <w:rFonts w:ascii="Times New Roman" w:hAnsi="Times New Roman"/>
          <w:noProof/>
          <w:vertAlign w:val="superscript"/>
        </w:rPr>
        <w:footnoteReference w:id="2"/>
      </w:r>
      <w:r>
        <w:rPr>
          <w:rFonts w:ascii="Times New Roman" w:hAnsi="Times New Roman"/>
          <w:noProof/>
        </w:rPr>
        <w:t xml:space="preserve"> Izvješće o mehanizmu upozoravanja (IMU) </w:t>
      </w:r>
      <w:r>
        <w:rPr>
          <w:rFonts w:ascii="Times New Roman" w:hAnsi="Times New Roman"/>
          <w:noProof/>
        </w:rPr>
        <w:t>sredstvo je za analizu ekonomskih neravnoteža koje se objavljuje na početku svakog godišnjeg ciklusa koordinacije ekonomskih politika. Izvješće se osobito temelji na ekonomskom tumačenju tablice pokazatelja s indikativnim pragovima uz skup pomoćnih pokazat</w:t>
      </w:r>
      <w:r>
        <w:rPr>
          <w:rFonts w:ascii="Times New Roman" w:hAnsi="Times New Roman"/>
          <w:noProof/>
        </w:rPr>
        <w:t>elja. U IMU je uključena i analiza implikacija koje neravnoteže država članica imaju za europodručje u cjelini te se istražuje u kojoj je mjeri potreban koordinirani pristup odgovorima politika s obzirom na međuovisnosti unutar europodručja.</w:t>
      </w:r>
      <w:r>
        <w:rPr>
          <w:rFonts w:ascii="Times New Roman" w:hAnsi="Times New Roman"/>
          <w:noProof/>
          <w:vertAlign w:val="superscript"/>
        </w:rPr>
        <w:footnoteReference w:id="3"/>
      </w:r>
      <w:r>
        <w:rPr>
          <w:rFonts w:ascii="Times New Roman" w:hAnsi="Times New Roman"/>
          <w:noProof/>
        </w:rPr>
        <w:t xml:space="preserve"> U tom pogledu</w:t>
      </w:r>
      <w:r>
        <w:rPr>
          <w:rFonts w:ascii="Times New Roman" w:hAnsi="Times New Roman"/>
          <w:noProof/>
        </w:rPr>
        <w:t xml:space="preserve"> analiza u ovom izvješću dopunjuje procjenu iz </w:t>
      </w:r>
      <w:r>
        <w:rPr>
          <w:rFonts w:ascii="Times New Roman" w:hAnsi="Times New Roman"/>
          <w:noProof/>
        </w:rPr>
        <w:lastRenderedPageBreak/>
        <w:t>radnog dokumenta službi Komisije „Analiza gospodarstva europodručja” koji je priložen Preporuci Komisije za preporuku Vijeća o ekonomskoj politici europodručja.</w:t>
      </w:r>
    </w:p>
    <w:p w:rsidR="00B26ED3" w:rsidRDefault="003423C1">
      <w:pPr>
        <w:jc w:val="both"/>
        <w:rPr>
          <w:rFonts w:ascii="Times New Roman" w:hAnsi="Times New Roman" w:cs="Times New Roman"/>
          <w:noProof/>
          <w:lang w:val="pl-PL"/>
        </w:rPr>
      </w:pPr>
      <w:r>
        <w:rPr>
          <w:rFonts w:ascii="Times New Roman" w:hAnsi="Times New Roman"/>
          <w:b/>
          <w:noProof/>
        </w:rPr>
        <w:t>Procjena u okviru IMU-a provedena je u kontekstu</w:t>
      </w:r>
      <w:r>
        <w:rPr>
          <w:rFonts w:ascii="Times New Roman" w:hAnsi="Times New Roman"/>
          <w:b/>
          <w:noProof/>
        </w:rPr>
        <w:t xml:space="preserve"> gospodarskog rasta koji je i dalje raširen unatoč određenom usporavanju. </w:t>
      </w:r>
      <w:r>
        <w:rPr>
          <w:rFonts w:ascii="Times New Roman" w:hAnsi="Times New Roman"/>
          <w:noProof/>
        </w:rPr>
        <w:t xml:space="preserve">U Komisijinoj jesenskoj ekonomskoj prognozi 2018. procjenjuje se da će rast realnog BDP-a u EU-u i europodručju u 2018. iznositi 2,1 %, a u 2019. </w:t>
      </w:r>
      <w:r>
        <w:rPr>
          <w:rFonts w:ascii="Times New Roman" w:hAnsi="Times New Roman"/>
          <w:noProof/>
          <w:lang w:val="pl-PL"/>
        </w:rPr>
        <w:t>1,9 %, što je blago usporavanje u us</w:t>
      </w:r>
      <w:r>
        <w:rPr>
          <w:rFonts w:ascii="Times New Roman" w:hAnsi="Times New Roman"/>
          <w:noProof/>
          <w:lang w:val="pl-PL"/>
        </w:rPr>
        <w:t>poredbi s rastom od 2,4 % koji je zabilježen u 2017. Pozitivan rast očekuje se u svim državama članicama. Očekuje se da će se uvjeti zapošljavanja dodatno poboljšati i postupno dovesti do održivijeg rasta plaća koji bi podupirao potrošnju te, s vremenom, p</w:t>
      </w:r>
      <w:r>
        <w:rPr>
          <w:rFonts w:ascii="Times New Roman" w:hAnsi="Times New Roman"/>
          <w:noProof/>
          <w:lang w:val="pl-PL"/>
        </w:rPr>
        <w:t>odupirao dinamiku temeljne inflacije koja se približava cilju inflacije koji su odredila monetarna tijela; očekuje se da će rast ulaganja i dalje biti snažan unatoč blagom usporavanju. Suprotno tome, postoje naznake smanjenja doprinosa neto izvoza rastu, u</w:t>
      </w:r>
      <w:r>
        <w:rPr>
          <w:rFonts w:ascii="Times New Roman" w:hAnsi="Times New Roman"/>
          <w:noProof/>
          <w:lang w:val="pl-PL"/>
        </w:rPr>
        <w:t xml:space="preserve"> kontekstu povećane nesigurnosti u pogledu okruženja trgovinske politike i posljedica nedavne aprecijacije eura. Sve u svemu, izgledi za rast i dalje se temelje na zdravim temeljnim značajkama, uključujući općenito snažna tržišta rada, poticajne kreditne u</w:t>
      </w:r>
      <w:r>
        <w:rPr>
          <w:rFonts w:ascii="Times New Roman" w:hAnsi="Times New Roman"/>
          <w:noProof/>
          <w:lang w:val="pl-PL"/>
        </w:rPr>
        <w:t>vjete, poboljšane bilance i dobit banaka i nefinancijskih poduzeća, ali se može očekivati usporavanje s ulaskom ciklusa u glavnim svjetskim područjima u zrelu fazu.</w:t>
      </w:r>
      <w:r>
        <w:rPr>
          <w:rStyle w:val="FootnoteReference"/>
          <w:rFonts w:ascii="Times New Roman" w:hAnsi="Times New Roman"/>
          <w:noProof/>
        </w:rPr>
        <w:footnoteReference w:id="4"/>
      </w:r>
      <w:r>
        <w:rPr>
          <w:rFonts w:ascii="Times New Roman" w:hAnsi="Times New Roman"/>
          <w:noProof/>
          <w:lang w:val="pl-PL"/>
        </w:rPr>
        <w:t xml:space="preserve"> </w:t>
      </w:r>
    </w:p>
    <w:p w:rsidR="00B26ED3" w:rsidRDefault="003423C1">
      <w:pPr>
        <w:jc w:val="both"/>
        <w:rPr>
          <w:rFonts w:ascii="Times New Roman" w:hAnsi="Times New Roman" w:cs="Times New Roman"/>
          <w:noProof/>
          <w:lang w:val="pl-PL"/>
        </w:rPr>
      </w:pPr>
      <w:r>
        <w:rPr>
          <w:rFonts w:ascii="Times New Roman" w:hAnsi="Times New Roman"/>
          <w:b/>
          <w:noProof/>
          <w:lang w:val="pl-PL"/>
        </w:rPr>
        <w:t xml:space="preserve">Ispravljanje makroekonomskih neravnoteža u EU-u napreduje zahvaljujući jačanju rasta </w:t>
      </w:r>
      <w:r>
        <w:rPr>
          <w:rFonts w:ascii="Times New Roman" w:hAnsi="Times New Roman"/>
          <w:b/>
          <w:noProof/>
          <w:lang w:val="pl-PL"/>
        </w:rPr>
        <w:t>nominalnog BDP-a, no srednjoročno je neizvjesno zbog povećane nesigurnosti</w:t>
      </w:r>
      <w:r>
        <w:rPr>
          <w:rFonts w:ascii="Times New Roman" w:hAnsi="Times New Roman"/>
          <w:noProof/>
          <w:lang w:val="pl-PL"/>
        </w:rPr>
        <w:t>. Gospodarski rast i stope inflacije koje se postupno približavaju cilju pomažu smanjenju udjela duga u BDP-u. Međutim razine privatnog i državnog duga i dalje su na rekordno visokoj</w:t>
      </w:r>
      <w:r>
        <w:rPr>
          <w:rFonts w:ascii="Times New Roman" w:hAnsi="Times New Roman"/>
          <w:noProof/>
          <w:lang w:val="pl-PL"/>
        </w:rPr>
        <w:t xml:space="preserve"> razini, a određene slabosti bilanci u financijskom sektoru još uvijek su prisutne. S obzirom na to da se inflacija postupno približava cilju ESB-a, povećava se mogućnost za normalizaciju monetarne politike, s posljedicama za troškove zaduživanja, cijene i</w:t>
      </w:r>
      <w:r>
        <w:rPr>
          <w:rFonts w:ascii="Times New Roman" w:hAnsi="Times New Roman"/>
          <w:noProof/>
          <w:lang w:val="pl-PL"/>
        </w:rPr>
        <w:t>movine i bilance. U tom kontekstu više bi čimbenika moglo dovesti do preokreta u stavovima prema riziku, s učincima na povjerenje u državama članicama s pogoršanim izgledima za javne financije ili financijski sektor ili izloženima negativnim šokovima outpu</w:t>
      </w:r>
      <w:r>
        <w:rPr>
          <w:rFonts w:ascii="Times New Roman" w:hAnsi="Times New Roman"/>
          <w:noProof/>
          <w:lang w:val="pl-PL"/>
        </w:rPr>
        <w:t>ta (uključujući povezano s posljedicama povlačenja Ujedinjene Kraljevine iz EU-a). Određeni broj negativnih rizika potječe iz okruženja izvan EU-a, prvenstveno u vezi s ostvarenjem protekcionističkih mjera trgovinske politike, posljedicama geopolitičkih na</w:t>
      </w:r>
      <w:r>
        <w:rPr>
          <w:rFonts w:ascii="Times New Roman" w:hAnsi="Times New Roman"/>
          <w:noProof/>
          <w:lang w:val="pl-PL"/>
        </w:rPr>
        <w:t>petosti prvenstveno u pogledu cijena energije, završetkom fiskalne ekspanzije SAD-a u kontekstu pooštrene monetarne politike te posljedicama za tokove kapitala i devizne tečajeve koje proizlaze iz asinkrone normalizacije monetarne politike u različitim pod</w:t>
      </w:r>
      <w:r>
        <w:rPr>
          <w:rFonts w:ascii="Times New Roman" w:hAnsi="Times New Roman"/>
          <w:noProof/>
          <w:lang w:val="pl-PL"/>
        </w:rPr>
        <w:t>ručjima svjetskog gospodarstva</w:t>
      </w:r>
      <w:r>
        <w:rPr>
          <w:rStyle w:val="FootnoteReference"/>
          <w:rFonts w:ascii="Times New Roman" w:hAnsi="Times New Roman"/>
          <w:noProof/>
        </w:rPr>
        <w:footnoteReference w:id="5"/>
      </w:r>
      <w:r>
        <w:rPr>
          <w:noProof/>
          <w:lang w:val="pl-PL"/>
        </w:rPr>
        <w:t>.</w:t>
      </w:r>
      <w:r>
        <w:rPr>
          <w:rFonts w:ascii="Times New Roman" w:hAnsi="Times New Roman"/>
          <w:noProof/>
          <w:lang w:val="pl-PL"/>
        </w:rPr>
        <w:t xml:space="preserve"> Interakcija među tim izvorima rizika negativno utječe na ravnotežu rizika i </w:t>
      </w:r>
      <w:r>
        <w:rPr>
          <w:rFonts w:ascii="Times New Roman" w:hAnsi="Times New Roman"/>
          <w:noProof/>
          <w:lang w:val="pl-PL"/>
        </w:rPr>
        <w:lastRenderedPageBreak/>
        <w:t>čini izglede sve neizvjesnijima, u kontekstu u kojem je mogućnost ublažavanja šokova s pomoću privatne i javne štednje ograničena u znatnom broju d</w:t>
      </w:r>
      <w:r>
        <w:rPr>
          <w:rFonts w:ascii="Times New Roman" w:hAnsi="Times New Roman"/>
          <w:noProof/>
          <w:lang w:val="pl-PL"/>
        </w:rPr>
        <w:t>ržava članica.</w:t>
      </w:r>
    </w:p>
    <w:p w:rsidR="00B26ED3" w:rsidRDefault="003423C1">
      <w:pPr>
        <w:jc w:val="both"/>
        <w:rPr>
          <w:rFonts w:ascii="Times New Roman" w:hAnsi="Times New Roman" w:cs="Times New Roman"/>
          <w:b/>
          <w:noProof/>
          <w:lang w:val="pl-PL"/>
        </w:rPr>
      </w:pPr>
      <w:r>
        <w:rPr>
          <w:rFonts w:ascii="Times New Roman" w:hAnsi="Times New Roman"/>
          <w:b/>
          <w:noProof/>
          <w:lang w:val="pl-PL"/>
        </w:rPr>
        <w:t>Horizontalnom analizom predstavljenom u IMU-u došlo se do brojnih zaključaka:</w:t>
      </w:r>
    </w:p>
    <w:p w:rsidR="00B26ED3" w:rsidRDefault="003423C1">
      <w:pPr>
        <w:numPr>
          <w:ilvl w:val="0"/>
          <w:numId w:val="1"/>
        </w:numPr>
        <w:jc w:val="both"/>
        <w:rPr>
          <w:rFonts w:ascii="Times New Roman" w:hAnsi="Times New Roman" w:cs="Times New Roman"/>
          <w:noProof/>
          <w:lang w:val="pl-PL"/>
        </w:rPr>
      </w:pPr>
      <w:r>
        <w:rPr>
          <w:rFonts w:ascii="Times New Roman" w:hAnsi="Times New Roman"/>
          <w:b/>
          <w:noProof/>
          <w:lang w:val="pl-PL"/>
        </w:rPr>
        <w:t>Rebalans stanja tekućih računa mora se nastaviti.</w:t>
      </w:r>
      <w:r>
        <w:rPr>
          <w:rFonts w:ascii="Times New Roman" w:hAnsi="Times New Roman"/>
          <w:noProof/>
          <w:lang w:val="pl-PL"/>
        </w:rPr>
        <w:t xml:space="preserve"> Veliki deficiti tekućeg računa ispravljeni su u većini država članica, no u nekoliko slučajeva potrebne su razbor</w:t>
      </w:r>
      <w:r>
        <w:rPr>
          <w:rFonts w:ascii="Times New Roman" w:hAnsi="Times New Roman"/>
          <w:noProof/>
          <w:lang w:val="pl-PL"/>
        </w:rPr>
        <w:t xml:space="preserve">itije vanjske pozicije kako bi se održala odgovarajuća brzina smanjenja razina neto inozemnih obveza. Smanjenje nekih od najvećih suficita tekućeg računa vidljivo je tek odnedavno i dalje je skromno. U više država članica na iznose tekućeg računa sve više </w:t>
      </w:r>
      <w:r>
        <w:rPr>
          <w:rFonts w:ascii="Times New Roman" w:hAnsi="Times New Roman"/>
          <w:noProof/>
          <w:lang w:val="pl-PL"/>
        </w:rPr>
        <w:t>utječu prekogranične transakcije povezane s aktivnostima multinacionalnih kompanija i međunarodno usmjerenih uslužnih sektora koji utječu i na trgovinsku bilancu i na saldo dohotka.</w:t>
      </w:r>
    </w:p>
    <w:p w:rsidR="00B26ED3" w:rsidRDefault="003423C1">
      <w:pPr>
        <w:numPr>
          <w:ilvl w:val="0"/>
          <w:numId w:val="1"/>
        </w:numPr>
        <w:jc w:val="both"/>
        <w:rPr>
          <w:rFonts w:ascii="Times New Roman" w:hAnsi="Times New Roman" w:cs="Times New Roman"/>
          <w:noProof/>
          <w:lang w:val="pl-PL"/>
        </w:rPr>
      </w:pPr>
      <w:r>
        <w:rPr>
          <w:rFonts w:ascii="Times New Roman" w:hAnsi="Times New Roman"/>
          <w:b/>
          <w:noProof/>
          <w:lang w:val="pl-PL"/>
        </w:rPr>
        <w:t xml:space="preserve">Vanjske pozicije stanja i dalje su neuravnotežene, a prilagodba se odvija </w:t>
      </w:r>
      <w:r>
        <w:rPr>
          <w:rFonts w:ascii="Times New Roman" w:hAnsi="Times New Roman"/>
          <w:b/>
          <w:noProof/>
          <w:lang w:val="pl-PL"/>
        </w:rPr>
        <w:t xml:space="preserve">postupno. </w:t>
      </w:r>
      <w:r>
        <w:rPr>
          <w:rFonts w:ascii="Times New Roman" w:hAnsi="Times New Roman"/>
          <w:noProof/>
          <w:lang w:val="pl-PL"/>
        </w:rPr>
        <w:t>Izrazita negativna neto stanja međunarodnih ulaganja (NIIP), zabilježena u državama članica koje su ranije imale velike deficite na tekućem računu, ispravljaju se na temelju vanjskih pozicija toka koje su blizu ravnoteže ili u suficitu te ponovno</w:t>
      </w:r>
      <w:r>
        <w:rPr>
          <w:rFonts w:ascii="Times New Roman" w:hAnsi="Times New Roman"/>
          <w:noProof/>
          <w:lang w:val="pl-PL"/>
        </w:rPr>
        <w:t xml:space="preserve"> uspostavljenom rastu nominalnog BDP-a, koji se treba održati kako bi se postiglo razboritije smanjenje obveza. Neto stanja međunarodnih ulaganja u zemljama s velikim suficitom i dalje rastu. </w:t>
      </w:r>
    </w:p>
    <w:p w:rsidR="00B26ED3" w:rsidRDefault="003423C1">
      <w:pPr>
        <w:numPr>
          <w:ilvl w:val="0"/>
          <w:numId w:val="1"/>
        </w:numPr>
        <w:jc w:val="both"/>
        <w:rPr>
          <w:rFonts w:ascii="Times New Roman" w:hAnsi="Times New Roman" w:cs="Times New Roman"/>
          <w:noProof/>
          <w:lang w:val="pl-PL"/>
        </w:rPr>
      </w:pPr>
      <w:r>
        <w:rPr>
          <w:rFonts w:ascii="Times New Roman" w:hAnsi="Times New Roman"/>
          <w:b/>
          <w:noProof/>
          <w:lang w:val="pl-PL"/>
        </w:rPr>
        <w:t>Uvjeti troškovne konkurentnosti sve su manje povoljni za više d</w:t>
      </w:r>
      <w:r>
        <w:rPr>
          <w:rFonts w:ascii="Times New Roman" w:hAnsi="Times New Roman"/>
          <w:b/>
          <w:noProof/>
          <w:lang w:val="pl-PL"/>
        </w:rPr>
        <w:t xml:space="preserve">ržava članica i općenito manje poticajni za simetričniji rebalans. </w:t>
      </w:r>
      <w:r>
        <w:rPr>
          <w:rFonts w:ascii="Times New Roman" w:hAnsi="Times New Roman"/>
          <w:noProof/>
          <w:lang w:val="pl-PL"/>
        </w:rPr>
        <w:t xml:space="preserve">Jedinični troškovi rada u većini država članica ubrzano rastu od 2016., a posebno su velika ubrzanja zabilježena u više država članica u središnjoj i istočnoj Europi, djelomično zbog uskih </w:t>
      </w:r>
      <w:r>
        <w:rPr>
          <w:rFonts w:ascii="Times New Roman" w:hAnsi="Times New Roman"/>
          <w:noProof/>
          <w:lang w:val="pl-PL"/>
        </w:rPr>
        <w:t>grla u ponudi. Povećanje troškovne konkurentnosti u razdoblju nakon krize u europodručju bilo je brže u zemljama neto dužnicama nego u zemljama neto vjerovnicama. Međutim nedavno je prednost zemalja neto dužnica u smislu dinamike troškovne konkurentnosti u</w:t>
      </w:r>
      <w:r>
        <w:rPr>
          <w:rFonts w:ascii="Times New Roman" w:hAnsi="Times New Roman"/>
          <w:noProof/>
          <w:lang w:val="pl-PL"/>
        </w:rPr>
        <w:t>sporena u relativnom smislu zbog sve napetijeg tržišta rada i smanjene brzine poboljšanja produktivnosti, a napeto tržište rada u zemljama neto vjerovnicama do sada nije dovelo do znatnog ubrzanja rasta plaća. Te nedavne promjene troškovne konkurentnosti n</w:t>
      </w:r>
      <w:r>
        <w:rPr>
          <w:rFonts w:ascii="Times New Roman" w:hAnsi="Times New Roman"/>
          <w:noProof/>
          <w:lang w:val="pl-PL"/>
        </w:rPr>
        <w:t xml:space="preserve">e odražavaju se u potpunosti u odgovarajućem pogoršanju cjenovne konkurentnosti, moguće zbog učinka kompenzacije manjih razlika između cijene i troška. Taj bi učinak mogao biti jedan od razloga zbog kojih nema </w:t>
      </w:r>
      <w:r>
        <w:rPr>
          <w:rFonts w:ascii="Times New Roman" w:hAnsi="Times New Roman"/>
          <w:i/>
          <w:noProof/>
          <w:lang w:val="pl-PL"/>
        </w:rPr>
        <w:t>prima-facie</w:t>
      </w:r>
      <w:r>
        <w:rPr>
          <w:rFonts w:ascii="Times New Roman" w:hAnsi="Times New Roman"/>
          <w:noProof/>
          <w:lang w:val="pl-PL"/>
        </w:rPr>
        <w:t xml:space="preserve"> dokaza koji bi upućivali na to da </w:t>
      </w:r>
      <w:r>
        <w:rPr>
          <w:rFonts w:ascii="Times New Roman" w:hAnsi="Times New Roman"/>
          <w:noProof/>
          <w:lang w:val="pl-PL"/>
        </w:rPr>
        <w:t>su gubitci troškovne konkurentnosti već utjecali na rast udjela na izvoznom tržištu, no učinci bi mogli postati vidljivi ako se takvi trendovi nastave.</w:t>
      </w:r>
    </w:p>
    <w:p w:rsidR="00B26ED3" w:rsidRDefault="003423C1">
      <w:pPr>
        <w:numPr>
          <w:ilvl w:val="0"/>
          <w:numId w:val="1"/>
        </w:numPr>
        <w:jc w:val="both"/>
        <w:rPr>
          <w:rFonts w:ascii="Times New Roman" w:hAnsi="Times New Roman" w:cs="Times New Roman"/>
          <w:noProof/>
          <w:lang w:val="pl-PL"/>
        </w:rPr>
      </w:pPr>
      <w:r>
        <w:rPr>
          <w:rFonts w:ascii="Times New Roman" w:hAnsi="Times New Roman"/>
          <w:b/>
          <w:noProof/>
          <w:lang w:val="pl-PL"/>
        </w:rPr>
        <w:t xml:space="preserve">Razduživanje privatnog sektora je u tijeku, sve više zahvaljujući nastavku nominalnog rasta. </w:t>
      </w:r>
      <w:r>
        <w:rPr>
          <w:rFonts w:ascii="Times New Roman" w:hAnsi="Times New Roman"/>
          <w:noProof/>
          <w:lang w:val="pl-PL"/>
        </w:rPr>
        <w:t>Udjeli priv</w:t>
      </w:r>
      <w:r>
        <w:rPr>
          <w:rFonts w:ascii="Times New Roman" w:hAnsi="Times New Roman"/>
          <w:noProof/>
          <w:lang w:val="pl-PL"/>
        </w:rPr>
        <w:t>atnog duga u BDP-u u padu su u većem broju država članica u odnosu na prethodnu godinu. Razlog za to je veći rast nominalnog BDP-a jer se aktivno razduživanje, tj. razduživanje zahvaljujući smanjenim razinama duga u nominalnom smislu odvija u svega nekolik</w:t>
      </w:r>
      <w:r>
        <w:rPr>
          <w:rFonts w:ascii="Times New Roman" w:hAnsi="Times New Roman"/>
          <w:noProof/>
          <w:lang w:val="pl-PL"/>
        </w:rPr>
        <w:t>o zemalja, i to slabim tempom. Aktivno razduživanje uglavnom je ograničeno na korporativni sektor dok se dinamika zaduživanja kućanstava ponovno povećala. Razduživanje je i dalje brže u korporativnom sektoru nego u sektoru kućanstava i zbog toga što su raz</w:t>
      </w:r>
      <w:r>
        <w:rPr>
          <w:rFonts w:ascii="Times New Roman" w:hAnsi="Times New Roman"/>
          <w:noProof/>
          <w:lang w:val="pl-PL"/>
        </w:rPr>
        <w:t xml:space="preserve">ine duga u korporativnom sektoru više pa je zato i učinak rasta nominalnog BDP-a na udio duga veći. </w:t>
      </w:r>
    </w:p>
    <w:p w:rsidR="00B26ED3" w:rsidRDefault="003423C1">
      <w:pPr>
        <w:numPr>
          <w:ilvl w:val="0"/>
          <w:numId w:val="1"/>
        </w:numPr>
        <w:jc w:val="both"/>
        <w:rPr>
          <w:rFonts w:ascii="Times New Roman" w:hAnsi="Times New Roman" w:cs="Times New Roman"/>
          <w:noProof/>
          <w:lang w:val="pl-PL"/>
        </w:rPr>
      </w:pPr>
      <w:r>
        <w:rPr>
          <w:rFonts w:ascii="Times New Roman" w:hAnsi="Times New Roman"/>
          <w:b/>
          <w:noProof/>
          <w:lang w:val="pl-PL"/>
        </w:rPr>
        <w:lastRenderedPageBreak/>
        <w:t>U zemljama s visokim razinama javnog duga razduživanje države počelo je tek nedavno i odvija se sporo</w:t>
      </w:r>
      <w:r>
        <w:rPr>
          <w:rFonts w:ascii="Times New Roman" w:hAnsi="Times New Roman"/>
          <w:noProof/>
          <w:lang w:val="pl-PL"/>
        </w:rPr>
        <w:t>. Unatoč ponovno uspostavljenom nominalnom rastu i sma</w:t>
      </w:r>
      <w:r>
        <w:rPr>
          <w:rFonts w:ascii="Times New Roman" w:hAnsi="Times New Roman"/>
          <w:noProof/>
          <w:lang w:val="pl-PL"/>
        </w:rPr>
        <w:t>njenim kamatnim plaćanjima koja su pridonijela smanjivanju udjela državnog duga u BDP-u većini država članica, procikličko slabljenje fiskalne politike odvija se u sve većem broju država, s implikacijama za prostor za ublažavanje šokova u nepovoljnim razdo</w:t>
      </w:r>
      <w:r>
        <w:rPr>
          <w:rFonts w:ascii="Times New Roman" w:hAnsi="Times New Roman"/>
          <w:noProof/>
          <w:lang w:val="pl-PL"/>
        </w:rPr>
        <w:t xml:space="preserve">bljima. </w:t>
      </w:r>
    </w:p>
    <w:p w:rsidR="00B26ED3" w:rsidRDefault="003423C1">
      <w:pPr>
        <w:numPr>
          <w:ilvl w:val="0"/>
          <w:numId w:val="1"/>
        </w:numPr>
        <w:jc w:val="both"/>
        <w:rPr>
          <w:rFonts w:ascii="Times New Roman" w:hAnsi="Times New Roman" w:cs="Times New Roman"/>
          <w:noProof/>
          <w:lang w:val="pl-PL"/>
        </w:rPr>
      </w:pPr>
      <w:r>
        <w:rPr>
          <w:rFonts w:ascii="Times New Roman" w:hAnsi="Times New Roman"/>
          <w:b/>
          <w:noProof/>
          <w:lang w:val="pl-PL"/>
        </w:rPr>
        <w:t xml:space="preserve">Uvjeti u bankarskom sektoru EU-a poboljšavaju se, no u nekim državama članicama i dalje postoje niske razine profitabilnosti i visoke razine loših kredita. </w:t>
      </w:r>
      <w:r>
        <w:rPr>
          <w:rFonts w:ascii="Times New Roman" w:hAnsi="Times New Roman"/>
          <w:noProof/>
          <w:lang w:val="pl-PL"/>
        </w:rPr>
        <w:t>Profitabilnost se posebno poboljšala u zemljama u kojima bankarski sektor ima slabu profita</w:t>
      </w:r>
      <w:r>
        <w:rPr>
          <w:rFonts w:ascii="Times New Roman" w:hAnsi="Times New Roman"/>
          <w:noProof/>
          <w:lang w:val="pl-PL"/>
        </w:rPr>
        <w:t xml:space="preserve">bilnost. Udjeli loših kredita dodatno su se smanjili, prvenstveno u državama članicama u kojima je njihova razina najviša. Omjeri kapitalizacije dodatno su se poboljšali u većini zemalja. Vrednovanja vlasničkog kapitala banaka rasla su do početka 2018., a </w:t>
      </w:r>
      <w:r>
        <w:rPr>
          <w:rFonts w:ascii="Times New Roman" w:hAnsi="Times New Roman"/>
          <w:noProof/>
          <w:lang w:val="pl-PL"/>
        </w:rPr>
        <w:t xml:space="preserve">nakon toga uslijedile su korekcije na niže. </w:t>
      </w:r>
    </w:p>
    <w:p w:rsidR="00B26ED3" w:rsidRDefault="003423C1">
      <w:pPr>
        <w:pStyle w:val="ListParagraph"/>
        <w:numPr>
          <w:ilvl w:val="0"/>
          <w:numId w:val="14"/>
        </w:numPr>
        <w:jc w:val="both"/>
        <w:rPr>
          <w:rFonts w:ascii="Times New Roman" w:hAnsi="Times New Roman" w:cs="Times New Roman"/>
          <w:noProof/>
          <w:lang w:val="pl-PL"/>
        </w:rPr>
      </w:pPr>
      <w:r>
        <w:rPr>
          <w:rFonts w:ascii="Times New Roman" w:hAnsi="Times New Roman"/>
          <w:b/>
          <w:noProof/>
          <w:lang w:val="pl-PL"/>
        </w:rPr>
        <w:t xml:space="preserve">Rast cijena stambenih nekretnina ubrzao se i postao pozitivan u većem broju država članica, a više zemalja bilježi moguće znakove precijenjenosti. </w:t>
      </w:r>
      <w:r>
        <w:rPr>
          <w:rFonts w:ascii="Times New Roman" w:hAnsi="Times New Roman"/>
          <w:noProof/>
          <w:lang w:val="pl-PL"/>
        </w:rPr>
        <w:t>Istovremeno, rast cijena stambenih nekretnina odnedavno je posta</w:t>
      </w:r>
      <w:r>
        <w:rPr>
          <w:rFonts w:ascii="Times New Roman" w:hAnsi="Times New Roman"/>
          <w:noProof/>
          <w:lang w:val="pl-PL"/>
        </w:rPr>
        <w:t xml:space="preserve">o umjeren u zemljama u kojima su dokazi precijenjenosti najveći. Suprotno tome, velika ubrzanja zabilježena su posebno u zemljama koje trenutačno ne pokazuju ili pokazuju umjerene znakove precijenjenosti. </w:t>
      </w:r>
    </w:p>
    <w:p w:rsidR="00B26ED3" w:rsidRDefault="003423C1">
      <w:pPr>
        <w:numPr>
          <w:ilvl w:val="0"/>
          <w:numId w:val="1"/>
        </w:numPr>
        <w:jc w:val="both"/>
        <w:rPr>
          <w:rFonts w:ascii="Times New Roman" w:hAnsi="Times New Roman" w:cs="Times New Roman"/>
          <w:noProof/>
          <w:lang w:val="pl-PL"/>
        </w:rPr>
      </w:pPr>
      <w:r>
        <w:rPr>
          <w:rFonts w:ascii="Times New Roman" w:hAnsi="Times New Roman"/>
          <w:b/>
          <w:noProof/>
          <w:lang w:val="pl-PL"/>
        </w:rPr>
        <w:t>Tržišta rada i dalje se poboljšavaju, a rast plaća</w:t>
      </w:r>
      <w:r>
        <w:rPr>
          <w:rFonts w:ascii="Times New Roman" w:hAnsi="Times New Roman"/>
          <w:b/>
          <w:noProof/>
          <w:lang w:val="pl-PL"/>
        </w:rPr>
        <w:t xml:space="preserve"> postupno se nastavlja. </w:t>
      </w:r>
      <w:r>
        <w:rPr>
          <w:rFonts w:ascii="Times New Roman" w:hAnsi="Times New Roman"/>
          <w:noProof/>
          <w:lang w:val="pl-PL"/>
        </w:rPr>
        <w:t>Stope nezaposlenosti dodatno se smanjuju, uključujući za mlade i dugotrajno nezaposlene, no nezaposlenost je u nekim državama članicama i dalje visoka, a sudjelovanje na tržištu rada nisko, iako često u porastu. Socijalni problemi s</w:t>
      </w:r>
      <w:r>
        <w:rPr>
          <w:rFonts w:ascii="Times New Roman" w:hAnsi="Times New Roman"/>
          <w:noProof/>
          <w:lang w:val="pl-PL"/>
        </w:rPr>
        <w:t>e smanjuju unatoč tradiciji dugotrajne nezaposlenosti i smanjenih prihoda u više zemalja</w:t>
      </w:r>
      <w:r>
        <w:rPr>
          <w:rStyle w:val="FootnoteReference"/>
          <w:rFonts w:ascii="Times New Roman" w:hAnsi="Times New Roman"/>
          <w:noProof/>
        </w:rPr>
        <w:footnoteReference w:id="6"/>
      </w:r>
      <w:r>
        <w:rPr>
          <w:noProof/>
          <w:lang w:val="pl-PL"/>
        </w:rPr>
        <w:t>.</w:t>
      </w:r>
      <w:r>
        <w:rPr>
          <w:rFonts w:ascii="Times New Roman" w:hAnsi="Times New Roman"/>
          <w:noProof/>
          <w:lang w:val="pl-PL"/>
        </w:rPr>
        <w:t xml:space="preserve"> Rast plaća na razini europodručja i dalje je ispod onoga što bi se očekivalo pri trenutačnim razinama nezaposlenosti na temelju povijesnih podataka. Plaće u državama</w:t>
      </w:r>
      <w:r>
        <w:rPr>
          <w:rFonts w:ascii="Times New Roman" w:hAnsi="Times New Roman"/>
          <w:noProof/>
          <w:lang w:val="pl-PL"/>
        </w:rPr>
        <w:t xml:space="preserve"> članicama EU-a međutim postupno počinju rasti različitim brzinama koje općenito odražavaju razmjer napetosti tržišta rada i uskih grla u ponudi radne snage u nekim državama. </w:t>
      </w:r>
    </w:p>
    <w:p w:rsidR="00B26ED3" w:rsidRDefault="003423C1">
      <w:pPr>
        <w:jc w:val="both"/>
        <w:rPr>
          <w:rFonts w:ascii="Times New Roman" w:hAnsi="Times New Roman" w:cs="Times New Roman"/>
          <w:noProof/>
          <w:lang w:val="pl-PL"/>
        </w:rPr>
      </w:pPr>
      <w:r>
        <w:rPr>
          <w:rFonts w:ascii="Times New Roman" w:hAnsi="Times New Roman"/>
          <w:b/>
          <w:noProof/>
          <w:lang w:val="pl-PL"/>
        </w:rPr>
        <w:t xml:space="preserve">Rebalans u europodručju i dalje je potrebno pozorno razmatrati. </w:t>
      </w:r>
      <w:r>
        <w:rPr>
          <w:rFonts w:ascii="Times New Roman" w:hAnsi="Times New Roman"/>
          <w:noProof/>
          <w:lang w:val="pl-PL"/>
        </w:rPr>
        <w:t xml:space="preserve">Suficit tekućeg </w:t>
      </w:r>
      <w:r>
        <w:rPr>
          <w:rFonts w:ascii="Times New Roman" w:hAnsi="Times New Roman"/>
          <w:noProof/>
          <w:lang w:val="pl-PL"/>
        </w:rPr>
        <w:t>računa europodručja stabilizirao se u 2016. i dalje je nakon toga uglavnom ostao nepromijenjen. Najveći je na svjetskoj razini te je iznad razina koje su u skladu s temeljnim ekonomskim značajkama. U kontekstu međusobne povezanosti i prelijevanja unutar eu</w:t>
      </w:r>
      <w:r>
        <w:rPr>
          <w:rFonts w:ascii="Times New Roman" w:hAnsi="Times New Roman"/>
          <w:noProof/>
          <w:lang w:val="pl-PL"/>
        </w:rPr>
        <w:t>ropodručja potrebna je odgovarajuća kombinacija politika u državama europodručja kako bi se osiguralo da je nastavak rast održiv i u skladu s makroekonomskom stabilnošću. U zemljama neto dužnicama, smanjenje velikih razina inozemnog i domaćeg duga zahtijev</w:t>
      </w:r>
      <w:r>
        <w:rPr>
          <w:rFonts w:ascii="Times New Roman" w:hAnsi="Times New Roman"/>
          <w:noProof/>
          <w:lang w:val="pl-PL"/>
        </w:rPr>
        <w:t>a održavanje razboritog salda tekućeg računa i osiguravanje odgovarajuće brzine smanjenja duga, a da se pritom ne ugrozi cilj povećanja potencijala za rast, kako bi se izbjegao rizik procikličkog povećanja napetosti u nepovoljnim razdobljima. U zemljama ne</w:t>
      </w:r>
      <w:r>
        <w:rPr>
          <w:rFonts w:ascii="Times New Roman" w:hAnsi="Times New Roman"/>
          <w:noProof/>
          <w:lang w:val="pl-PL"/>
        </w:rPr>
        <w:t>to vjerovnicama rješavanjem postojanih velikih suficita s pomoću politika koje potiču ulaganja te prevladavanjem inercije plaća potaknulo bi potencijale za rast, a izgledi za rast postali bi manje ovisni o stranoj potražnji. U okviru br. 2 detaljnije se ra</w:t>
      </w:r>
      <w:r>
        <w:rPr>
          <w:rFonts w:ascii="Times New Roman" w:hAnsi="Times New Roman"/>
          <w:noProof/>
          <w:lang w:val="pl-PL"/>
        </w:rPr>
        <w:t>zmatra dimenzija neravnoteža europodručja.</w:t>
      </w:r>
    </w:p>
    <w:p w:rsidR="00B26ED3" w:rsidRDefault="003423C1">
      <w:pPr>
        <w:jc w:val="both"/>
        <w:rPr>
          <w:rFonts w:ascii="Times New Roman" w:hAnsi="Times New Roman" w:cs="Times New Roman"/>
          <w:noProof/>
          <w:lang w:val="pl-PL"/>
        </w:rPr>
      </w:pPr>
      <w:r>
        <w:rPr>
          <w:rFonts w:ascii="Times New Roman" w:hAnsi="Times New Roman"/>
          <w:b/>
          <w:noProof/>
          <w:lang w:val="pl-PL"/>
        </w:rPr>
        <w:lastRenderedPageBreak/>
        <w:t>Općenito, rizici povezani s postojećim neravnotežama i dalje se smanjuju zahvaljujući gospodarskom rastu, no slabosti povezane s neravnotežama stanja i dalje su prisutne, a vidljivi su i znakovi mogućih neodrživih</w:t>
      </w:r>
      <w:r>
        <w:rPr>
          <w:rFonts w:ascii="Times New Roman" w:hAnsi="Times New Roman"/>
          <w:b/>
          <w:noProof/>
          <w:lang w:val="pl-PL"/>
        </w:rPr>
        <w:t xml:space="preserve"> trendova. </w:t>
      </w:r>
      <w:r>
        <w:rPr>
          <w:rFonts w:ascii="Times New Roman" w:hAnsi="Times New Roman"/>
          <w:noProof/>
          <w:lang w:val="pl-PL"/>
        </w:rPr>
        <w:t>Mogući izvori rizika uglavnom su jednaki onima utvrđenima u IMU-u za 2018. I dalje su prisutni veliki suficiti, a razvoj konkurentnosti ne ide u prilog rebalansu. Gospodarski rast pogodovao je razduživanju privatnog sektora, no ono je i dalje ne</w:t>
      </w:r>
      <w:r>
        <w:rPr>
          <w:rFonts w:ascii="Times New Roman" w:hAnsi="Times New Roman"/>
          <w:noProof/>
          <w:lang w:val="pl-PL"/>
        </w:rPr>
        <w:t>ujednačeno, a velike razine duga ne ispravljaju se dovoljno brzo. Još važnije, smanjeno aktivno razduživanje privatnog i pogotovo javnog sektora dovodi do pitanja bi li se razduživanje s vremenom moglo u većoj mjeri oslanjati na potencijalni rast BDP-a Tak</w:t>
      </w:r>
      <w:r>
        <w:rPr>
          <w:rFonts w:ascii="Times New Roman" w:hAnsi="Times New Roman"/>
          <w:noProof/>
          <w:lang w:val="pl-PL"/>
        </w:rPr>
        <w:t>av izazov ističe potrebu za nastavkom procesa reforme koji je proteklih godina započeo u više zemalja EU-a i na visokom je mjestu u planovima politika i reformi koje su usmjerene na podizanje potencijala rasta</w:t>
      </w:r>
      <w:r>
        <w:rPr>
          <w:rStyle w:val="FootnoteReference"/>
          <w:rFonts w:ascii="Times New Roman" w:hAnsi="Times New Roman"/>
          <w:noProof/>
        </w:rPr>
        <w:footnoteReference w:id="7"/>
      </w:r>
      <w:r>
        <w:rPr>
          <w:noProof/>
          <w:lang w:val="pl-PL"/>
        </w:rPr>
        <w:t>.</w:t>
      </w:r>
      <w:r>
        <w:rPr>
          <w:rFonts w:ascii="Times New Roman" w:hAnsi="Times New Roman"/>
          <w:noProof/>
          <w:lang w:val="pl-PL"/>
        </w:rPr>
        <w:t xml:space="preserve"> U kontekstu nesigurnih srednjoročnih izgleda</w:t>
      </w:r>
      <w:r>
        <w:rPr>
          <w:rFonts w:ascii="Times New Roman" w:hAnsi="Times New Roman"/>
          <w:noProof/>
          <w:lang w:val="pl-PL"/>
        </w:rPr>
        <w:t>, napori razduživanja privatnog i javnog sektora u trenutačnom razdoblju kontinuiranog gospodarskog rasta ključni su i kako bi se stvorio prostor za ublažavanje negativnih šokova outputa nakon što gospodarski uvjeti postanu manje povoljni i ostvare se rizi</w:t>
      </w:r>
      <w:r>
        <w:rPr>
          <w:rFonts w:ascii="Times New Roman" w:hAnsi="Times New Roman"/>
          <w:noProof/>
          <w:lang w:val="pl-PL"/>
        </w:rPr>
        <w:t>ci. Istovremeno su u više zemalja prisutni znakovi mogućeg pregrijavanja, uglavnom povezani s brzo rastućim jediničnim troškovima rada koji podrazumijevaju smanjenu troškovnu konkurentnost te dinamičnim rastom cijena stambenih nekretnina s već relativno po</w:t>
      </w:r>
      <w:r>
        <w:rPr>
          <w:rFonts w:ascii="Times New Roman" w:hAnsi="Times New Roman"/>
          <w:noProof/>
          <w:lang w:val="pl-PL"/>
        </w:rPr>
        <w:t>višenih razina. S obzirom na ispravljanje većine neravnoteža toka i postupno smanjenje ozbiljnosti stanja neravnoteža te moguće znakove pregrijavanja koji su prisutni u više zemalja, trend nadzora u okviru PMN-a jest postupno posvetiti više pozornosti prać</w:t>
      </w:r>
      <w:r>
        <w:rPr>
          <w:rFonts w:ascii="Times New Roman" w:hAnsi="Times New Roman"/>
          <w:noProof/>
          <w:lang w:val="pl-PL"/>
        </w:rPr>
        <w:t>enju mogućih neodrživih trendova i sprečavanju konfiguracija rizika koji bi se mogli pojaviti u srednjoročnom razdoblju.</w:t>
      </w:r>
    </w:p>
    <w:p w:rsidR="00B26ED3" w:rsidRDefault="003423C1">
      <w:pPr>
        <w:jc w:val="both"/>
        <w:rPr>
          <w:rFonts w:ascii="Times New Roman" w:hAnsi="Times New Roman" w:cs="Times New Roman"/>
          <w:noProof/>
          <w:lang w:val="pl-PL"/>
        </w:rPr>
      </w:pPr>
      <w:r>
        <w:rPr>
          <w:rFonts w:ascii="Times New Roman" w:hAnsi="Times New Roman"/>
          <w:b/>
          <w:noProof/>
          <w:lang w:val="pl-PL"/>
        </w:rPr>
        <w:t>Za neke države članice navedene u IMU-u detaljnija i sveobuhvatnija analiza nalazit će se u izvješćima o detaljnom preispitivanju</w:t>
      </w:r>
      <w:r>
        <w:rPr>
          <w:rFonts w:ascii="Times New Roman" w:hAnsi="Times New Roman"/>
          <w:noProof/>
          <w:lang w:val="pl-PL"/>
        </w:rPr>
        <w:t xml:space="preserve">. Kao </w:t>
      </w:r>
      <w:r>
        <w:rPr>
          <w:rFonts w:ascii="Times New Roman" w:hAnsi="Times New Roman"/>
          <w:noProof/>
          <w:lang w:val="pl-PL"/>
        </w:rPr>
        <w:t>i u nedavnim godišnjim ciklusima, detaljna preispitivanja bit će uvrštena u izvješća po državama članicama koja sadržavaju analize Komisijinih službi u vezi s ekonomskim i socijalnim izazovima u državama članicama EU-a. Za pripremu detaljnih preispitivanja</w:t>
      </w:r>
      <w:r>
        <w:rPr>
          <w:rFonts w:ascii="Times New Roman" w:hAnsi="Times New Roman"/>
          <w:noProof/>
          <w:lang w:val="pl-PL"/>
        </w:rPr>
        <w:t xml:space="preserve"> Komisija će svoju analizu temeljiti na opsežnom nizu podataka i relevantnih informacija te okvirima za procjenu koje je Komisija razvila u suradnji s odborima u Vijeću i radnim skupinama. Analize u detaljnim preispitivanjima bit će osnova za utvrđivanje n</w:t>
      </w:r>
      <w:r>
        <w:rPr>
          <w:rFonts w:ascii="Times New Roman" w:hAnsi="Times New Roman"/>
          <w:noProof/>
          <w:lang w:val="pl-PL"/>
        </w:rPr>
        <w:t>eravnoteža ili prekomjernih neravnoteža u državama članicama te za moguća ažuriranja preporuka po državama članicama koje su izdane državama članicama.</w:t>
      </w:r>
      <w:r>
        <w:rPr>
          <w:rFonts w:ascii="Times New Roman" w:hAnsi="Times New Roman"/>
          <w:noProof/>
          <w:vertAlign w:val="superscript"/>
        </w:rPr>
        <w:footnoteReference w:id="8"/>
      </w:r>
      <w:r>
        <w:rPr>
          <w:rFonts w:ascii="Times New Roman" w:hAnsi="Times New Roman"/>
          <w:noProof/>
          <w:lang w:val="pl-PL"/>
        </w:rPr>
        <w:t xml:space="preserve"> Države za koje su utvrđene neravnoteže ili prekomjerne neravnoteže i dalje će biti predmet posebnog pra</w:t>
      </w:r>
      <w:r>
        <w:rPr>
          <w:rFonts w:ascii="Times New Roman" w:hAnsi="Times New Roman"/>
          <w:noProof/>
          <w:lang w:val="pl-PL"/>
        </w:rPr>
        <w:t>ćenja kako bi se osigurao stalan nadzor politika poduzetih u okviru PMN-a.</w:t>
      </w:r>
    </w:p>
    <w:p w:rsidR="00B26ED3" w:rsidRDefault="003423C1">
      <w:pPr>
        <w:jc w:val="both"/>
        <w:rPr>
          <w:rFonts w:ascii="Times New Roman" w:hAnsi="Times New Roman" w:cs="Times New Roman"/>
          <w:noProof/>
          <w:lang w:val="pl-PL"/>
        </w:rPr>
      </w:pPr>
      <w:r>
        <w:rPr>
          <w:rFonts w:ascii="Times New Roman" w:hAnsi="Times New Roman"/>
          <w:b/>
          <w:noProof/>
          <w:lang w:val="pl-PL"/>
        </w:rPr>
        <w:t xml:space="preserve">Izvješća o detaljnom preispitivanju pripremit će se za države članice u kojima su već utvrđene neravnoteže ili prekomjerne neravnoteže. </w:t>
      </w:r>
      <w:r>
        <w:rPr>
          <w:rFonts w:ascii="Times New Roman" w:hAnsi="Times New Roman"/>
          <w:noProof/>
          <w:lang w:val="pl-PL"/>
        </w:rPr>
        <w:t xml:space="preserve">U skladu s ustaljenom bonitetnom praksom, </w:t>
      </w:r>
      <w:r>
        <w:rPr>
          <w:rFonts w:ascii="Times New Roman" w:hAnsi="Times New Roman"/>
          <w:noProof/>
          <w:lang w:val="pl-PL"/>
        </w:rPr>
        <w:t>detaljna preispitivanja izdat će se kako bi se procijenilo jesu li postojeće neravnoteže postupno smanjene, postojane ili se pogoršavaju, uzimajući pri tom u obzir provedene korektivne politike. Priprema detaljnih preispitivanja stoga je predviđena za 11 d</w:t>
      </w:r>
      <w:r>
        <w:rPr>
          <w:rFonts w:ascii="Times New Roman" w:hAnsi="Times New Roman"/>
          <w:noProof/>
          <w:lang w:val="pl-PL"/>
        </w:rPr>
        <w:t xml:space="preserve">ržava članica u kojima su utvrđene neravnoteže s </w:t>
      </w:r>
      <w:r>
        <w:rPr>
          <w:rFonts w:ascii="Times New Roman" w:hAnsi="Times New Roman"/>
          <w:noProof/>
          <w:lang w:val="pl-PL"/>
        </w:rPr>
        <w:lastRenderedPageBreak/>
        <w:t>obzirom na zaključke iz detaljnih preispitivanja za 2018.</w:t>
      </w:r>
      <w:r>
        <w:rPr>
          <w:rFonts w:ascii="Times New Roman" w:hAnsi="Times New Roman"/>
          <w:noProof/>
          <w:vertAlign w:val="superscript"/>
        </w:rPr>
        <w:footnoteReference w:id="9"/>
      </w:r>
      <w:r>
        <w:rPr>
          <w:rFonts w:ascii="Times New Roman" w:hAnsi="Times New Roman"/>
          <w:noProof/>
          <w:lang w:val="pl-PL"/>
        </w:rPr>
        <w:t xml:space="preserve"> To su </w:t>
      </w:r>
      <w:r>
        <w:rPr>
          <w:rFonts w:ascii="Times New Roman" w:hAnsi="Times New Roman"/>
          <w:b/>
          <w:noProof/>
          <w:lang w:val="pl-PL"/>
        </w:rPr>
        <w:t>Bugarska, Hrvatska, Cipar, Francuska, Njemačka, Irska, Italija, Nizozemska, Portugal, Slovenija, Španjolska</w:t>
      </w:r>
      <w:r>
        <w:rPr>
          <w:rFonts w:ascii="Times New Roman" w:hAnsi="Times New Roman"/>
          <w:noProof/>
          <w:lang w:val="pl-PL"/>
        </w:rPr>
        <w:t xml:space="preserve"> i </w:t>
      </w:r>
      <w:r>
        <w:rPr>
          <w:rFonts w:ascii="Times New Roman" w:hAnsi="Times New Roman"/>
          <w:b/>
          <w:noProof/>
          <w:lang w:val="pl-PL"/>
        </w:rPr>
        <w:t>Švedska</w:t>
      </w:r>
      <w:r>
        <w:rPr>
          <w:rFonts w:ascii="Times New Roman" w:hAnsi="Times New Roman"/>
          <w:noProof/>
          <w:lang w:val="pl-PL"/>
        </w:rPr>
        <w:t>.</w:t>
      </w:r>
    </w:p>
    <w:p w:rsidR="00B26ED3" w:rsidRDefault="003423C1">
      <w:pPr>
        <w:jc w:val="both"/>
        <w:rPr>
          <w:rFonts w:ascii="Times New Roman" w:hAnsi="Times New Roman" w:cs="Times New Roman"/>
          <w:noProof/>
          <w:lang w:val="pl-PL"/>
        </w:rPr>
      </w:pPr>
      <w:r>
        <w:rPr>
          <w:rFonts w:ascii="Times New Roman" w:hAnsi="Times New Roman"/>
          <w:b/>
          <w:noProof/>
          <w:lang w:val="pl-PL"/>
        </w:rPr>
        <w:t>Detaljna preispitivanja</w:t>
      </w:r>
      <w:r>
        <w:rPr>
          <w:rFonts w:ascii="Times New Roman" w:hAnsi="Times New Roman"/>
          <w:b/>
          <w:noProof/>
          <w:lang w:val="pl-PL"/>
        </w:rPr>
        <w:t xml:space="preserve"> pripremit će se i za Grčku, koja po prvi put podliježe nadzoru u okviru PMN-a, te za Rumunjsku. </w:t>
      </w:r>
      <w:r>
        <w:rPr>
          <w:rFonts w:ascii="Times New Roman" w:hAnsi="Times New Roman"/>
          <w:noProof/>
          <w:lang w:val="pl-PL"/>
        </w:rPr>
        <w:t xml:space="preserve">S obzirom na analizu IMU-a, detaljno preispitivanje izdat će se za </w:t>
      </w:r>
      <w:r>
        <w:rPr>
          <w:rFonts w:ascii="Times New Roman" w:hAnsi="Times New Roman"/>
          <w:b/>
          <w:noProof/>
          <w:lang w:val="pl-PL"/>
        </w:rPr>
        <w:t xml:space="preserve">Grčku </w:t>
      </w:r>
      <w:r>
        <w:rPr>
          <w:rFonts w:ascii="Times New Roman" w:hAnsi="Times New Roman"/>
          <w:noProof/>
          <w:lang w:val="pl-PL"/>
        </w:rPr>
        <w:t xml:space="preserve">koja je prethodno bila isključena iz nadzora u okviru PMN-a jer se na nju do kolovoza </w:t>
      </w:r>
      <w:r>
        <w:rPr>
          <w:rFonts w:ascii="Times New Roman" w:hAnsi="Times New Roman"/>
          <w:noProof/>
          <w:lang w:val="pl-PL"/>
        </w:rPr>
        <w:t>2018. primjenjivao program makroekonomske prilagodbe u kontekstu financijske pomoći</w:t>
      </w:r>
      <w:r>
        <w:rPr>
          <w:rStyle w:val="FootnoteReference"/>
          <w:rFonts w:ascii="Times New Roman" w:hAnsi="Times New Roman"/>
          <w:noProof/>
        </w:rPr>
        <w:footnoteReference w:id="10"/>
      </w:r>
      <w:r>
        <w:rPr>
          <w:noProof/>
          <w:lang w:val="pl-PL"/>
        </w:rPr>
        <w:t>.</w:t>
      </w:r>
      <w:r>
        <w:rPr>
          <w:rFonts w:ascii="Times New Roman" w:hAnsi="Times New Roman"/>
          <w:noProof/>
          <w:lang w:val="pl-PL"/>
        </w:rPr>
        <w:t xml:space="preserve"> Procjena u okviru IMU-a ne upućuje na znatne dodatne rizike u odnosu na one utvrđene u posljednjim dostupnim detaljnim preispitivanjima za neke države članice koje su pos</w:t>
      </w:r>
      <w:r>
        <w:rPr>
          <w:rFonts w:ascii="Times New Roman" w:hAnsi="Times New Roman"/>
          <w:noProof/>
          <w:lang w:val="pl-PL"/>
        </w:rPr>
        <w:t xml:space="preserve">ljednjih godina isključene iz nadzora u okviru PMN-a, prvenstveno Sloveniju (za koju je 2018. utvrđeno da nema neravnoteža), Finsku (isključenje 2017.), Belgiju i Mađarsku (isključenje 2016.). Uvjeti se nisu znatno promijenili ni u Austriji od procjene iz </w:t>
      </w:r>
      <w:r>
        <w:rPr>
          <w:rFonts w:ascii="Times New Roman" w:hAnsi="Times New Roman"/>
          <w:noProof/>
          <w:lang w:val="pl-PL"/>
        </w:rPr>
        <w:t>detaljnog preispitivanja 2016. u kojem je utvrđeno da nema neravnoteža. I slučaj Estonije analiziran je u detaljnom preispitivanju 2016. u kojem je zaključeno da nisu utvrđene neravnoteže. Unatoč velikom rastu jediničnih troškova rada od tada, nije bilo zn</w:t>
      </w:r>
      <w:r>
        <w:rPr>
          <w:rFonts w:ascii="Times New Roman" w:hAnsi="Times New Roman"/>
          <w:noProof/>
          <w:lang w:val="pl-PL"/>
        </w:rPr>
        <w:t>atnih posljedica za vanjsku bilancu i čini se da novo detaljno preispitivanje za Estoniju nije nužno, iako je potrebno pomno praćenje u predstojećem izvješću za tu zemlju. Međutim čini se da je potrebno izdati detaljno preispitivanje za analizu situacije u</w:t>
      </w:r>
      <w:r>
        <w:rPr>
          <w:rFonts w:ascii="Times New Roman" w:hAnsi="Times New Roman"/>
          <w:noProof/>
          <w:lang w:val="pl-PL"/>
        </w:rPr>
        <w:t xml:space="preserve"> </w:t>
      </w:r>
      <w:r>
        <w:rPr>
          <w:rFonts w:ascii="Times New Roman" w:hAnsi="Times New Roman"/>
          <w:b/>
          <w:noProof/>
          <w:lang w:val="pl-PL"/>
        </w:rPr>
        <w:t>Rumunjskoj</w:t>
      </w:r>
      <w:r>
        <w:rPr>
          <w:rFonts w:ascii="Times New Roman" w:hAnsi="Times New Roman"/>
          <w:noProof/>
          <w:lang w:val="pl-PL"/>
        </w:rPr>
        <w:t xml:space="preserve"> kako bi se procijenio razvoj i moguća ponovna pojava rizičnih kretanja koja su već utvrđena tijekom prethodnih detaljnih preispitivanja (u 2015. i 2016.), posebno u pogledu konkurentnosti i vanjske bilance. Pomna analiza u izvješćima po državam</w:t>
      </w:r>
      <w:r>
        <w:rPr>
          <w:rFonts w:ascii="Times New Roman" w:hAnsi="Times New Roman"/>
          <w:noProof/>
          <w:lang w:val="pl-PL"/>
        </w:rPr>
        <w:t>a članicama čini se opravdana za rizike povezane s kretanjima na tržištu nekretnina u više država članica (Austrija, Belgija, Češka, Danska, Mađarska, Luksemburg i Ujedinjena Kraljevina) i u vezi s kretanjima konkurentnosti (Češka, Estonija, Mađarska, Latv</w:t>
      </w:r>
      <w:r>
        <w:rPr>
          <w:rFonts w:ascii="Times New Roman" w:hAnsi="Times New Roman"/>
          <w:noProof/>
          <w:lang w:val="pl-PL"/>
        </w:rPr>
        <w:t>ija i Litva)</w:t>
      </w:r>
      <w:r>
        <w:rPr>
          <w:rStyle w:val="FootnoteReference"/>
          <w:rFonts w:ascii="Times New Roman" w:hAnsi="Times New Roman"/>
          <w:noProof/>
        </w:rPr>
        <w:footnoteReference w:id="11"/>
      </w:r>
      <w:r>
        <w:rPr>
          <w:noProof/>
          <w:lang w:val="pl-PL"/>
        </w:rPr>
        <w:t>.</w:t>
      </w:r>
      <w:r>
        <w:rPr>
          <w:rFonts w:ascii="Times New Roman" w:hAnsi="Times New Roman"/>
          <w:noProof/>
          <w:lang w:val="pl-PL"/>
        </w:rPr>
        <w:t xml:space="preserve"> U IMU-u se stoga poziva na provedbu detaljnog preispitivanja u 13 država članica, u odnosu na njih 12 u prethodnom ciklusu.</w:t>
      </w:r>
    </w:p>
    <w:p w:rsidR="00B26ED3" w:rsidRDefault="00B26ED3">
      <w:pPr>
        <w:jc w:val="both"/>
        <w:rPr>
          <w:rFonts w:ascii="Times New Roman" w:hAnsi="Times New Roman" w:cs="Times New Roman"/>
          <w:noProof/>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B26ED3">
        <w:tc>
          <w:tcPr>
            <w:tcW w:w="9288" w:type="dxa"/>
            <w:shd w:val="clear" w:color="auto" w:fill="BFBFBF"/>
          </w:tcPr>
          <w:p w:rsidR="00B26ED3" w:rsidRDefault="003423C1">
            <w:pPr>
              <w:spacing w:after="60"/>
              <w:jc w:val="both"/>
              <w:rPr>
                <w:b/>
                <w:noProof/>
                <w:lang w:val="pl-PL"/>
              </w:rPr>
            </w:pPr>
            <w:r>
              <w:rPr>
                <w:noProof/>
                <w:lang w:val="pl-PL"/>
              </w:rPr>
              <w:br w:type="page"/>
            </w:r>
            <w:r>
              <w:rPr>
                <w:noProof/>
                <w:lang w:val="pl-PL"/>
              </w:rPr>
              <w:br w:type="page"/>
            </w:r>
            <w:r>
              <w:rPr>
                <w:noProof/>
                <w:lang w:val="pl-PL"/>
              </w:rPr>
              <w:br w:type="page"/>
            </w:r>
            <w:r>
              <w:rPr>
                <w:rFonts w:ascii="Times New Roman" w:hAnsi="Times New Roman"/>
                <w:b/>
                <w:i/>
                <w:noProof/>
                <w:lang w:val="pl-PL"/>
              </w:rPr>
              <w:t xml:space="preserve">Okvir 1.: </w:t>
            </w:r>
            <w:r>
              <w:rPr>
                <w:b/>
                <w:noProof/>
                <w:lang w:val="pl-PL"/>
              </w:rPr>
              <w:t>Izmjene pomoćnih pokazatelja tablice rezultata PMN-a</w:t>
            </w:r>
          </w:p>
          <w:p w:rsidR="00B26ED3" w:rsidRDefault="003423C1">
            <w:pPr>
              <w:spacing w:before="120" w:after="60" w:line="240" w:lineRule="auto"/>
              <w:jc w:val="both"/>
              <w:rPr>
                <w:noProof/>
                <w:lang w:val="pl-PL"/>
              </w:rPr>
            </w:pPr>
            <w:r>
              <w:rPr>
                <w:b/>
                <w:noProof/>
                <w:lang w:val="pl-PL"/>
              </w:rPr>
              <w:t>Tablica rezultata PMN-a dopunjena je nizom pomoćni</w:t>
            </w:r>
            <w:r>
              <w:rPr>
                <w:b/>
                <w:noProof/>
                <w:lang w:val="pl-PL"/>
              </w:rPr>
              <w:t>h pokazatelja.</w:t>
            </w:r>
            <w:r>
              <w:rPr>
                <w:noProof/>
                <w:lang w:val="pl-PL"/>
              </w:rPr>
              <w:t xml:space="preserve"> Kako je utvrđeno u Uredbi o PMN-u (Uredba (EU) br. 1176/2011), za ekonomsko tumačenje tablice rezultata koriste se ne samo glavni pokazatelji iz tablice, već i dodatni relevantni pokazatelji i informacije. Od početka nadzora u okviru PMN-a, </w:t>
            </w:r>
            <w:r>
              <w:rPr>
                <w:noProof/>
                <w:lang w:val="pl-PL"/>
              </w:rPr>
              <w:t>niz pomoćnih pokazatelja nadopunjavao je ekonomsko tumačenje glavnih pokazatelja. Za razliku od glavnih pokazatelja, za pomoćne pokazatelje ne postoje pragovi (vidjeti tablicu 2.1.).</w:t>
            </w:r>
          </w:p>
          <w:p w:rsidR="00B26ED3" w:rsidRDefault="003423C1">
            <w:pPr>
              <w:spacing w:before="120" w:after="60" w:line="240" w:lineRule="auto"/>
              <w:jc w:val="both"/>
              <w:rPr>
                <w:noProof/>
                <w:lang w:val="pl-PL"/>
              </w:rPr>
            </w:pPr>
            <w:r>
              <w:rPr>
                <w:b/>
                <w:noProof/>
                <w:lang w:val="pl-PL"/>
              </w:rPr>
              <w:lastRenderedPageBreak/>
              <w:t>U Uredbi o PMN-u od Komisije se zahtijeva da prema potrebi redovito preis</w:t>
            </w:r>
            <w:r>
              <w:rPr>
                <w:b/>
                <w:noProof/>
                <w:lang w:val="pl-PL"/>
              </w:rPr>
              <w:t xml:space="preserve">pituje i revidira tablicu rezultata PMN-a. </w:t>
            </w:r>
            <w:r>
              <w:rPr>
                <w:noProof/>
                <w:lang w:val="pl-PL"/>
              </w:rPr>
              <w:t xml:space="preserve">Tablica rezultata je od početka PMN-a više puta revidirana. U 2012. dodan je glavni pokazatelj za financijski sektor (ukupne obveze financijskog sektora). U 2013. revidirana je definicija više glavnih varijabli u </w:t>
            </w:r>
            <w:r>
              <w:rPr>
                <w:noProof/>
                <w:lang w:val="pl-PL"/>
              </w:rPr>
              <w:t>tablici rezultata (realna efektivna tečajna stopa, dug privatnog sektora i kreditni tok), a dodani su neki pomoćni pokazatelji (uključujući niz socijalnih pokazatelja i pokazatelja zaposlenosti). U 2015. dodani su glavni pokazatelji zaposlenosti. Sveukupno</w:t>
            </w:r>
            <w:r>
              <w:rPr>
                <w:noProof/>
                <w:lang w:val="pl-PL"/>
              </w:rPr>
              <w:t xml:space="preserve">, promjene su bile ciljane i racionalne. </w:t>
            </w:r>
          </w:p>
          <w:p w:rsidR="00B26ED3" w:rsidRDefault="003423C1">
            <w:pPr>
              <w:spacing w:before="120" w:after="60" w:line="240" w:lineRule="auto"/>
              <w:jc w:val="both"/>
              <w:rPr>
                <w:noProof/>
              </w:rPr>
            </w:pPr>
            <w:r>
              <w:rPr>
                <w:b/>
                <w:noProof/>
                <w:lang w:val="pl-PL"/>
              </w:rPr>
              <w:t>U ovom Izvješću o mehanizmu upozoravanja uvode se neke izmjene pomoćnih pokazatelja kako bi se ostvarila korist od poboljšanja dostupnih statističkih podataka i osigurala relevantnost pokazatelja.</w:t>
            </w:r>
            <w:r>
              <w:rPr>
                <w:noProof/>
                <w:lang w:val="pl-PL"/>
              </w:rPr>
              <w:t xml:space="preserve"> Tim posljednjim i</w:t>
            </w:r>
            <w:r>
              <w:rPr>
                <w:noProof/>
                <w:lang w:val="pl-PL"/>
              </w:rPr>
              <w:t>zmjenama niza pomoćnih pokazatelja nastoji se ostvariti korist od poboljšanja statističkih podataka o bilanci plaćanja i podataka bankarskog sektora (prvenstveno o lošim kreditima) i pomoći da tablica rezultata odražava pokazatelje koji se već koriste u IM</w:t>
            </w:r>
            <w:r>
              <w:rPr>
                <w:noProof/>
                <w:lang w:val="pl-PL"/>
              </w:rPr>
              <w:t xml:space="preserve">U-u i analizi u okviru detaljnog preispitivanja. Kao i kod prethodnih izmjena tablice rezultata, savjetovalo se s Europskim parlamentom i Vijećem (uključujući njegove odbore stručnjaka), a ESRB je obaviješten. </w:t>
            </w:r>
            <w:r>
              <w:rPr>
                <w:noProof/>
              </w:rPr>
              <w:t>Te izmjene mogu se sažeti kako slijedi</w:t>
            </w:r>
            <w:r>
              <w:rPr>
                <w:rStyle w:val="FootnoteReference"/>
                <w:noProof/>
              </w:rPr>
              <w:footnoteReference w:id="12"/>
            </w:r>
            <w:r>
              <w:rPr>
                <w:noProof/>
              </w:rPr>
              <w:t>:</w:t>
            </w:r>
          </w:p>
          <w:p w:rsidR="00B26ED3" w:rsidRDefault="003423C1">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i/>
                <w:noProof/>
              </w:rPr>
              <w:t xml:space="preserve">Neto </w:t>
            </w:r>
            <w:r>
              <w:rPr>
                <w:rFonts w:ascii="Times New Roman" w:hAnsi="Times New Roman"/>
                <w:i/>
                <w:noProof/>
              </w:rPr>
              <w:t>vanjski dug (NED)</w:t>
            </w:r>
            <w:r>
              <w:rPr>
                <w:rFonts w:ascii="Times New Roman" w:hAnsi="Times New Roman"/>
                <w:noProof/>
              </w:rPr>
              <w:t xml:space="preserve"> zamijenjen je </w:t>
            </w:r>
            <w:r>
              <w:rPr>
                <w:rFonts w:ascii="Times New Roman" w:hAnsi="Times New Roman"/>
                <w:i/>
                <w:noProof/>
              </w:rPr>
              <w:t>NIIP-om ne uključujući instrumente bez rizika neispunjavanja obveza</w:t>
            </w:r>
            <w:r>
              <w:rPr>
                <w:rFonts w:ascii="Times New Roman" w:hAnsi="Times New Roman"/>
                <w:noProof/>
              </w:rPr>
              <w:t xml:space="preserve"> (NENDI) kako bi se dobio širi prikaz vanjskih stanja (imovine i obveza) koja nose rizike od nastanka statusa neispunjavanja obveza. Novi pokazatelj temelji </w:t>
            </w:r>
            <w:r>
              <w:rPr>
                <w:rFonts w:ascii="Times New Roman" w:hAnsi="Times New Roman"/>
                <w:noProof/>
              </w:rPr>
              <w:t xml:space="preserve">se na revidiranoj metodologiji za statističke podatke o bilanci plaćanja (od BPM5 do BPM6) kojom se omogućuje preciznije raščlanjivanje inozemne imovine i obveza. </w:t>
            </w:r>
            <w:r>
              <w:rPr>
                <w:noProof/>
              </w:rPr>
              <w:t>U usporedbi s NED-om, NENDI: i. ne uključuje neto dug izravnih stranih ulaganja unutar društa</w:t>
            </w:r>
            <w:r>
              <w:rPr>
                <w:noProof/>
              </w:rPr>
              <w:t>va, koji u nekim slučajevima čini veliki udio prekograničnog duga, a ne predstavlja problem za solventnost; ii. uključuje dionice u uzajamnim fondovima koje su ponekad vrlo velika stavka i uglavnom pokrivene obveznicama i iii. uključuje neto financijske iz</w:t>
            </w:r>
            <w:r>
              <w:rPr>
                <w:noProof/>
              </w:rPr>
              <w:t xml:space="preserve">vedenice. Gledano iz druge perspektive, NENDI je podskup NIIP-a koji ne uključuje komponente koje se odnose na vlasničke instrumente, to jest vlasničke instrumente i vlasničke udjele s osnove izravnih stranih ulaganja te prekogranični dug izravnih stranih </w:t>
            </w:r>
            <w:r>
              <w:rPr>
                <w:noProof/>
              </w:rPr>
              <w:t xml:space="preserve">ulaganja unutar društva. </w:t>
            </w:r>
          </w:p>
          <w:p w:rsidR="00B26ED3" w:rsidRDefault="003423C1">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Pokazatelj </w:t>
            </w:r>
            <w:r>
              <w:rPr>
                <w:rFonts w:ascii="Times New Roman" w:hAnsi="Times New Roman"/>
                <w:i/>
                <w:noProof/>
              </w:rPr>
              <w:t>nekonsolidirane zaduženosti financijskog sektora</w:t>
            </w:r>
            <w:r>
              <w:rPr>
                <w:rFonts w:ascii="Times New Roman" w:hAnsi="Times New Roman"/>
                <w:noProof/>
              </w:rPr>
              <w:t xml:space="preserve"> iz nacionalnih računa zamjenjuje se </w:t>
            </w:r>
            <w:r>
              <w:rPr>
                <w:rFonts w:ascii="Times New Roman" w:hAnsi="Times New Roman"/>
                <w:i/>
                <w:noProof/>
              </w:rPr>
              <w:t>konsolidiranom bankarskom zaduženosti, domaći i inozemni subjekti</w:t>
            </w:r>
            <w:r>
              <w:rPr>
                <w:rFonts w:ascii="Times New Roman" w:hAnsi="Times New Roman"/>
                <w:noProof/>
              </w:rPr>
              <w:t xml:space="preserve"> iz konsolidiranih bankarskih podataka ESB-a, koji omogućuje jasnije </w:t>
            </w:r>
            <w:r>
              <w:rPr>
                <w:rFonts w:ascii="Times New Roman" w:hAnsi="Times New Roman"/>
                <w:noProof/>
              </w:rPr>
              <w:t xml:space="preserve">ekonomsko tumačenje, usporediv je po zemljama te se dosljedno temelji na knjigovodstvenim vrijednostima, čak i ako pokriva samo bankarski sektor. </w:t>
            </w:r>
          </w:p>
          <w:p w:rsidR="00B26ED3" w:rsidRDefault="003423C1">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Dodana su dva pokazatelja koja se redovito upotrebljavaju u analizi u okviru PMN-a: prvo </w:t>
            </w:r>
            <w:r>
              <w:rPr>
                <w:rFonts w:ascii="Times New Roman" w:hAnsi="Times New Roman"/>
                <w:i/>
                <w:noProof/>
              </w:rPr>
              <w:t>dug kućanstava (kons</w:t>
            </w:r>
            <w:r>
              <w:rPr>
                <w:rFonts w:ascii="Times New Roman" w:hAnsi="Times New Roman"/>
                <w:i/>
                <w:noProof/>
              </w:rPr>
              <w:t>olidirani)</w:t>
            </w:r>
            <w:r>
              <w:rPr>
                <w:rFonts w:ascii="Times New Roman" w:hAnsi="Times New Roman"/>
                <w:noProof/>
              </w:rPr>
              <w:t xml:space="preserve"> kojim se nadopunjuje glavni pokazatelj duga privatnog sektora; i drugo, </w:t>
            </w:r>
            <w:r>
              <w:rPr>
                <w:rFonts w:ascii="Times New Roman" w:hAnsi="Times New Roman"/>
                <w:i/>
                <w:noProof/>
              </w:rPr>
              <w:t>bruto loši krediti</w:t>
            </w:r>
            <w:r>
              <w:rPr>
                <w:rFonts w:ascii="Times New Roman" w:hAnsi="Times New Roman"/>
                <w:noProof/>
              </w:rPr>
              <w:t>, koji pruža dopunske informacije za procjenu duga privatnog sektora. Dodavanje posljednjeg pokazatelja postalo je moguće zahvaljujući dostupnosti usporedi</w:t>
            </w:r>
            <w:r>
              <w:rPr>
                <w:rFonts w:ascii="Times New Roman" w:hAnsi="Times New Roman"/>
                <w:noProof/>
              </w:rPr>
              <w:t xml:space="preserve">vih podataka po zemljama u konsolidiranim bankarskim statističkim podacima ESB-a od 2015. </w:t>
            </w:r>
          </w:p>
          <w:p w:rsidR="00B26ED3" w:rsidRDefault="003423C1">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noProof/>
              </w:rPr>
              <w:t xml:space="preserve">Kako bi tablica ostala relevantna i racionalna, ukupan broj pokazatelja ostao je nepromijenjen i iznosi 28 pokazatelja. Dva pomoćna pokazatelja koja su ranije bila </w:t>
            </w:r>
            <w:r>
              <w:rPr>
                <w:rFonts w:ascii="Times New Roman" w:hAnsi="Times New Roman"/>
                <w:noProof/>
              </w:rPr>
              <w:t xml:space="preserve">uvrštena, sada su ispuštena: i. desetogodišnja promjena nominalnih jediničnih troškova rada (jer se preklapa s podacima o trogodišnjoj promjeni jediničnih troškova rada u glavnim pokazateljima i o desetogodišnjoj </w:t>
            </w:r>
            <w:r>
              <w:rPr>
                <w:rFonts w:ascii="Times New Roman" w:hAnsi="Times New Roman"/>
                <w:noProof/>
              </w:rPr>
              <w:lastRenderedPageBreak/>
              <w:t xml:space="preserve">promjeni jediničnih troškova rada u odnosu </w:t>
            </w:r>
            <w:r>
              <w:rPr>
                <w:rFonts w:ascii="Times New Roman" w:hAnsi="Times New Roman"/>
                <w:noProof/>
              </w:rPr>
              <w:t>na europodručje u pomoćnim pokazateljima); ii. nekonsolidirani dug privatnog sektora (koji je zamijenjen glavnim pokazateljem o konsolidiranom dugu privatnog sektora).</w:t>
            </w:r>
          </w:p>
        </w:tc>
      </w:tr>
    </w:tbl>
    <w:p w:rsidR="00B26ED3" w:rsidRDefault="00B26ED3">
      <w:pPr>
        <w:rPr>
          <w:rFonts w:ascii="Times New Roman Bold" w:eastAsia="MS Gothic" w:hAnsi="Times New Roman Bold" w:cs="Times New Roman" w:hint="eastAsia"/>
          <w:b/>
          <w:bCs/>
          <w:smallCaps/>
          <w:noProof/>
        </w:rPr>
      </w:pPr>
    </w:p>
    <w:p w:rsidR="00B26ED3" w:rsidRDefault="003423C1">
      <w:pPr>
        <w:rPr>
          <w:rFonts w:ascii="Times New Roman Bold" w:eastAsia="MS Gothic" w:hAnsi="Times New Roman Bold" w:cs="Times New Roman" w:hint="eastAsia"/>
          <w:b/>
          <w:bCs/>
          <w:smallCaps/>
          <w:noProof/>
        </w:rPr>
      </w:pPr>
      <w:r>
        <w:rPr>
          <w:rFonts w:ascii="Times New Roman Bold" w:hAnsi="Times New Roman Bold"/>
          <w:b/>
          <w:smallCaps/>
          <w:noProof/>
        </w:rPr>
        <w:t>2.</w:t>
      </w:r>
      <w:r>
        <w:rPr>
          <w:noProof/>
        </w:rPr>
        <w:tab/>
      </w:r>
      <w:r>
        <w:rPr>
          <w:rFonts w:ascii="Times New Roman Bold" w:hAnsi="Times New Roman Bold"/>
          <w:b/>
          <w:smallCaps/>
          <w:noProof/>
        </w:rPr>
        <w:t>Neravnoteže, rizici i prilagodba: glavna kretanja prema zemljama</w:t>
      </w:r>
    </w:p>
    <w:p w:rsidR="00B26ED3" w:rsidRDefault="003423C1">
      <w:pPr>
        <w:spacing w:before="120" w:after="120"/>
        <w:jc w:val="both"/>
        <w:rPr>
          <w:rFonts w:ascii="Times New Roman" w:eastAsia="Times New Roman" w:hAnsi="Times New Roman" w:cs="Times New Roman"/>
          <w:noProof/>
          <w:lang w:val="nn-NO"/>
        </w:rPr>
      </w:pPr>
      <w:r>
        <w:rPr>
          <w:rFonts w:ascii="Times New Roman" w:hAnsi="Times New Roman"/>
          <w:b/>
          <w:noProof/>
        </w:rPr>
        <w:t xml:space="preserve">Izvješće o </w:t>
      </w:r>
      <w:r>
        <w:rPr>
          <w:rFonts w:ascii="Times New Roman" w:hAnsi="Times New Roman"/>
          <w:b/>
          <w:noProof/>
        </w:rPr>
        <w:t>mehanizmu upozoravanja temelji se na ekonomskom tumačenju tablice pokazatelja PMN-a</w:t>
      </w:r>
      <w:r>
        <w:rPr>
          <w:rFonts w:ascii="Times New Roman" w:hAnsi="Times New Roman"/>
          <w:noProof/>
        </w:rPr>
        <w:t xml:space="preserve">, </w:t>
      </w:r>
      <w:r>
        <w:rPr>
          <w:rFonts w:ascii="Times New Roman" w:hAnsi="Times New Roman"/>
          <w:b/>
          <w:noProof/>
        </w:rPr>
        <w:t>koja je filtar za utvrđivanje</w:t>
      </w:r>
      <w:r>
        <w:rPr>
          <w:rFonts w:ascii="Times New Roman" w:hAnsi="Times New Roman"/>
          <w:b/>
          <w:i/>
          <w:noProof/>
        </w:rPr>
        <w:t xml:space="preserve"> prima facie </w:t>
      </w:r>
      <w:r>
        <w:rPr>
          <w:rFonts w:ascii="Times New Roman" w:hAnsi="Times New Roman"/>
          <w:b/>
          <w:noProof/>
        </w:rPr>
        <w:t>dokaza o mogućim rizicima i slabostima</w:t>
      </w:r>
      <w:r>
        <w:rPr>
          <w:rFonts w:ascii="Times New Roman" w:hAnsi="Times New Roman"/>
          <w:noProof/>
        </w:rPr>
        <w:t>. Tablica se sastoji od niza od 14 pokazatelja s indikativnim pragovima u vezi s područjima</w:t>
      </w:r>
      <w:r>
        <w:rPr>
          <w:rFonts w:ascii="Times New Roman" w:hAnsi="Times New Roman"/>
          <w:noProof/>
        </w:rPr>
        <w:t xml:space="preserve"> kao što su vanjske pozicije, konkurentnost, privatni dug, tržište nekretnina, bankarski sektor i zapošljavanje. </w:t>
      </w:r>
      <w:r>
        <w:rPr>
          <w:rFonts w:ascii="Times New Roman" w:hAnsi="Times New Roman"/>
          <w:noProof/>
          <w:lang w:val="nn-NO"/>
        </w:rPr>
        <w:t xml:space="preserve">Oslanja se na stvarne podatke dobre statističke kvalitete, čime se osigurava stabilnost podataka i usporedivost među zemljama. Stoga tablica u </w:t>
      </w:r>
      <w:r>
        <w:rPr>
          <w:rFonts w:ascii="Times New Roman" w:hAnsi="Times New Roman"/>
          <w:noProof/>
          <w:lang w:val="nn-NO"/>
        </w:rPr>
        <w:t>ovom izvješću sadržava podatke do 2017. U skladu s Uredbom o PMN-u (Uredba (EU) br. 1176/2011) vrijednosti iz tablice ne tumače se mehanički u procjenama uključenima u IMU, već su umjesto toga podložne ekonomskom tumačenju koje omogućuje bolje razumijevanj</w:t>
      </w:r>
      <w:r>
        <w:rPr>
          <w:rFonts w:ascii="Times New Roman" w:hAnsi="Times New Roman"/>
          <w:noProof/>
          <w:lang w:val="nn-NO"/>
        </w:rPr>
        <w:t>e cjelokupnog ekonomskog konteksta i uzimanje u obzir razmatranja po pojedinim državama.</w:t>
      </w:r>
      <w:r>
        <w:rPr>
          <w:rFonts w:ascii="Times New Roman" w:hAnsi="Times New Roman"/>
          <w:noProof/>
          <w:vertAlign w:val="superscript"/>
        </w:rPr>
        <w:footnoteReference w:id="13"/>
      </w:r>
      <w:r>
        <w:rPr>
          <w:rFonts w:ascii="Times New Roman" w:hAnsi="Times New Roman"/>
          <w:noProof/>
          <w:lang w:val="nn-NO"/>
        </w:rPr>
        <w:t xml:space="preserve"> Niz pomoćnih pokazatelja dopunjuje tumačenje tablice. Noviji podaci i dodatne informacije, uvidi iz okvira za procjenu te zaključci iz postojećih detaljnih preispitiv</w:t>
      </w:r>
      <w:r>
        <w:rPr>
          <w:rFonts w:ascii="Times New Roman" w:hAnsi="Times New Roman"/>
          <w:noProof/>
          <w:lang w:val="nn-NO"/>
        </w:rPr>
        <w:t>anja i relevantnih analiza te Komisijina jesenska prognoza 2018. također su uzeti u obzir u procjeni IMU-a.</w:t>
      </w:r>
    </w:p>
    <w:p w:rsidR="00B26ED3" w:rsidRDefault="003423C1">
      <w:pPr>
        <w:spacing w:before="120" w:after="120"/>
        <w:jc w:val="both"/>
        <w:rPr>
          <w:rFonts w:ascii="Times New Roman" w:eastAsia="Times New Roman" w:hAnsi="Times New Roman" w:cs="Times New Roman"/>
          <w:noProof/>
          <w:lang w:val="nn-NO"/>
        </w:rPr>
      </w:pPr>
      <w:r>
        <w:rPr>
          <w:rFonts w:ascii="Times New Roman" w:hAnsi="Times New Roman"/>
          <w:b/>
          <w:noProof/>
          <w:lang w:val="nn-NO"/>
        </w:rPr>
        <w:t xml:space="preserve">Varijable iz tablice rezultata koje se odnose na 2017. upućuju na postojanost neravnoteža stanja koje se ipak postupno smanjuju. </w:t>
      </w:r>
      <w:r>
        <w:rPr>
          <w:rFonts w:ascii="Times New Roman" w:hAnsi="Times New Roman"/>
          <w:noProof/>
          <w:lang w:val="nn-NO"/>
        </w:rPr>
        <w:t>Vrijednosti koje pr</w:t>
      </w:r>
      <w:r>
        <w:rPr>
          <w:rFonts w:ascii="Times New Roman" w:hAnsi="Times New Roman"/>
          <w:noProof/>
          <w:lang w:val="nn-NO"/>
        </w:rPr>
        <w:t>emašuju prag u tablici IMU-a i dalje su česte u slučaju državnog duga, neto stanja međunarodnih ulaganja i privatnog duga (grafikon 1.).</w:t>
      </w:r>
      <w:r>
        <w:rPr>
          <w:rFonts w:ascii="Times New Roman" w:hAnsi="Times New Roman"/>
          <w:noProof/>
          <w:vertAlign w:val="superscript"/>
        </w:rPr>
        <w:footnoteReference w:id="14"/>
      </w:r>
      <w:r>
        <w:rPr>
          <w:rFonts w:ascii="Times New Roman" w:hAnsi="Times New Roman"/>
          <w:noProof/>
          <w:lang w:val="nn-NO"/>
        </w:rPr>
        <w:t xml:space="preserve"> Broj država članica čiji su rezultati iznad praga za ta tri pokazatelja neznatno je niži od učestalosti zabilježene u </w:t>
      </w:r>
      <w:r>
        <w:rPr>
          <w:rFonts w:ascii="Times New Roman" w:hAnsi="Times New Roman"/>
          <w:noProof/>
          <w:lang w:val="nn-NO"/>
        </w:rPr>
        <w:t>tablicama rezultata iz prethodnih godina i potvrđuje dugotrajnu prirodu tih neravnoteža stanja i prilagodbu koja se provodi samo postupno. Većina slučajeva salda tekućeg računa iznad praga uglavnom je povezana s kontinuirano velikim suficitima; do povećanj</w:t>
      </w:r>
      <w:r>
        <w:rPr>
          <w:rFonts w:ascii="Times New Roman" w:hAnsi="Times New Roman"/>
          <w:noProof/>
          <w:lang w:val="nn-NO"/>
        </w:rPr>
        <w:t>a učestalosti vrijednosti iznad praga u 2017. došlo je zbog većeg broja velikih deficita. Oporavak zaposlenosti koji je u tijeku odražava se u daljnjem smanjenju broja država članica s rezultatima koji su iznad praga stope nezaposlenosti i sve brojnija sma</w:t>
      </w:r>
      <w:r>
        <w:rPr>
          <w:rFonts w:ascii="Times New Roman" w:hAnsi="Times New Roman"/>
          <w:noProof/>
          <w:lang w:val="nn-NO"/>
        </w:rPr>
        <w:t>njenja odnose se na pokazatelje nezaposlenosti mladih i dugotrajne nezaposlenosti s obzirom na njihovu veću osjetljivost na stanje na tržištu rada. Unatoč raširenom i snažnom oporavku cijena stambenih nekretnina u Europi, u tablici se bilježi manji broj dr</w:t>
      </w:r>
      <w:r>
        <w:rPr>
          <w:rFonts w:ascii="Times New Roman" w:hAnsi="Times New Roman"/>
          <w:noProof/>
          <w:lang w:val="nn-NO"/>
        </w:rPr>
        <w:t xml:space="preserve">žava članica koje prelaze prag za rast cijena stambenih nekretnina jer su neke zemlje čiji su podaci bili neznatno iznad praga u međuvremenu pale ispod praga. Broj zemalja s rastom jediničnih troškova rada iznad praga i dalje je uglavnom stabilan, a manji </w:t>
      </w:r>
      <w:r>
        <w:rPr>
          <w:rFonts w:ascii="Times New Roman" w:hAnsi="Times New Roman"/>
          <w:noProof/>
          <w:lang w:val="nn-NO"/>
        </w:rPr>
        <w:t xml:space="preserve">broj zemalja premašuje pragove za realnu efektivnu tečajnu </w:t>
      </w:r>
      <w:r>
        <w:rPr>
          <w:rFonts w:ascii="Times New Roman" w:hAnsi="Times New Roman"/>
          <w:noProof/>
          <w:lang w:val="nn-NO"/>
        </w:rPr>
        <w:lastRenderedPageBreak/>
        <w:t xml:space="preserve">stopu, i to samo u slučajevima u kojima je realna efektivna tečajna stopa ispod donjeg praga. Broj država članica koje bilježe gubitke udjela na izvoznom tržištu iznad praga dodatno se smanjio. </w:t>
      </w:r>
    </w:p>
    <w:p w:rsidR="00B26ED3" w:rsidRDefault="003423C1">
      <w:pPr>
        <w:keepNext/>
        <w:spacing w:before="120" w:after="120" w:line="240" w:lineRule="auto"/>
        <w:jc w:val="center"/>
        <w:rPr>
          <w:rFonts w:ascii="Times New Roman" w:eastAsia="MS Mincho" w:hAnsi="Times New Roman" w:cs="Times New Roman"/>
          <w:b/>
          <w:bCs/>
          <w:noProof/>
          <w:sz w:val="24"/>
          <w:szCs w:val="20"/>
          <w:lang w:val="nn-NO"/>
        </w:rPr>
      </w:pPr>
      <w:r>
        <w:rPr>
          <w:rFonts w:ascii="Times New Roman" w:hAnsi="Times New Roman"/>
          <w:b/>
          <w:noProof/>
          <w:sz w:val="24"/>
          <w:lang w:val="nn-NO"/>
        </w:rPr>
        <w:t>Gr</w:t>
      </w:r>
      <w:r>
        <w:rPr>
          <w:rFonts w:ascii="Times New Roman" w:hAnsi="Times New Roman"/>
          <w:b/>
          <w:noProof/>
          <w:sz w:val="24"/>
          <w:lang w:val="nn-NO"/>
        </w:rPr>
        <w:t xml:space="preserve">afikon </w:t>
      </w:r>
      <w:r>
        <w:rPr>
          <w:rFonts w:ascii="Times New Roman" w:eastAsia="MS Mincho" w:hAnsi="Times New Roman" w:cs="Times New Roman"/>
          <w:b/>
          <w:bCs/>
          <w:noProof/>
          <w:sz w:val="24"/>
          <w:szCs w:val="20"/>
        </w:rPr>
        <w:fldChar w:fldCharType="begin" w:fldLock="1"/>
      </w:r>
      <w:r>
        <w:rPr>
          <w:rFonts w:ascii="Times New Roman" w:eastAsia="MS Mincho" w:hAnsi="Times New Roman" w:cs="Times New Roman"/>
          <w:b/>
          <w:bCs/>
          <w:noProof/>
          <w:sz w:val="24"/>
          <w:szCs w:val="20"/>
          <w:lang w:val="nn-NO"/>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lang w:val="nn-NO"/>
        </w:rPr>
        <w:t>1</w:t>
      </w:r>
      <w:r>
        <w:rPr>
          <w:rFonts w:ascii="Times New Roman" w:eastAsia="MS Mincho" w:hAnsi="Times New Roman" w:cs="Times New Roman"/>
          <w:b/>
          <w:bCs/>
          <w:noProof/>
          <w:sz w:val="24"/>
          <w:szCs w:val="20"/>
        </w:rPr>
        <w:fldChar w:fldCharType="end"/>
      </w:r>
      <w:r>
        <w:rPr>
          <w:rFonts w:ascii="Times New Roman" w:hAnsi="Times New Roman"/>
          <w:b/>
          <w:noProof/>
          <w:sz w:val="24"/>
          <w:lang w:val="nn-NO"/>
        </w:rPr>
        <w:t>: Broj zemalja koje bilježe varijable iz tablice iznad praga</w:t>
      </w:r>
    </w:p>
    <w:p w:rsidR="00B26ED3" w:rsidRDefault="003423C1">
      <w:pPr>
        <w:keepNext/>
        <w:spacing w:before="120" w:after="120" w:line="240" w:lineRule="auto"/>
        <w:jc w:val="center"/>
        <w:rPr>
          <w:rFonts w:ascii="Times New Roman" w:eastAsia="MS Mincho" w:hAnsi="Times New Roman" w:cs="Times New Roman"/>
          <w:b/>
          <w:bCs/>
          <w:noProof/>
          <w:sz w:val="24"/>
          <w:szCs w:val="20"/>
        </w:rPr>
      </w:pPr>
      <w:r>
        <w:rPr>
          <w:noProof/>
          <w:lang w:eastAsia="en-GB"/>
        </w:rPr>
        <w:drawing>
          <wp:inline distT="0" distB="0" distL="0" distR="0">
            <wp:extent cx="5493090" cy="2562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4108" cy="2562700"/>
                    </a:xfrm>
                    <a:prstGeom prst="rect">
                      <a:avLst/>
                    </a:prstGeom>
                    <a:noFill/>
                    <a:ln>
                      <a:noFill/>
                    </a:ln>
                  </pic:spPr>
                </pic:pic>
              </a:graphicData>
            </a:graphic>
          </wp:inline>
        </w:drawing>
      </w:r>
    </w:p>
    <w:p w:rsidR="00B26ED3" w:rsidRDefault="003423C1">
      <w:pPr>
        <w:spacing w:before="120" w:after="0" w:line="240" w:lineRule="auto"/>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Eurostat.</w:t>
      </w:r>
    </w:p>
    <w:p w:rsidR="00B26ED3" w:rsidRDefault="003423C1">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 xml:space="preserve">Napomena: </w:t>
      </w:r>
      <w:r>
        <w:rPr>
          <w:rFonts w:ascii="Times New Roman" w:hAnsi="Times New Roman"/>
          <w:noProof/>
          <w:sz w:val="20"/>
        </w:rPr>
        <w:t xml:space="preserve">broj zemalja koje bilježe varijable iz tablice iznad praga temelji se na izdanju tablice rezultata koja je objavljena uz odgovarajuće godišnje izvješće o mehanizmu upozoravanja. Moguće </w:t>
      </w:r>
      <w:r>
        <w:rPr>
          <w:rFonts w:ascii="Times New Roman" w:hAnsi="Times New Roman"/>
          <w:i/>
          <w:noProof/>
          <w:sz w:val="20"/>
        </w:rPr>
        <w:t xml:space="preserve">ex post </w:t>
      </w:r>
      <w:r>
        <w:rPr>
          <w:rFonts w:ascii="Times New Roman" w:hAnsi="Times New Roman"/>
          <w:noProof/>
          <w:sz w:val="20"/>
        </w:rPr>
        <w:t>izmjene podataka mogu dovesti do razlike u broju vrijednosti iz</w:t>
      </w:r>
      <w:r>
        <w:rPr>
          <w:rFonts w:ascii="Times New Roman" w:hAnsi="Times New Roman"/>
          <w:noProof/>
          <w:sz w:val="20"/>
        </w:rPr>
        <w:t>nad praga dobivenom upotrebom najnovijih podataka za varijable u tablici rezultata u usporedbi s onima u ovom grafikonu.</w:t>
      </w:r>
    </w:p>
    <w:p w:rsidR="00B26ED3" w:rsidRDefault="00B26ED3">
      <w:pPr>
        <w:spacing w:after="0" w:line="240" w:lineRule="auto"/>
        <w:jc w:val="both"/>
        <w:rPr>
          <w:rFonts w:ascii="Times New Roman" w:eastAsia="Times New Roman" w:hAnsi="Times New Roman" w:cs="Times New Roman"/>
          <w:noProof/>
          <w:szCs w:val="24"/>
        </w:rPr>
      </w:pPr>
    </w:p>
    <w:p w:rsidR="00B26ED3" w:rsidRDefault="00B26ED3">
      <w:pPr>
        <w:spacing w:after="0" w:line="240" w:lineRule="auto"/>
        <w:jc w:val="both"/>
        <w:rPr>
          <w:rFonts w:ascii="Times New Roman" w:eastAsia="Times New Roman" w:hAnsi="Times New Roman" w:cs="Times New Roman"/>
          <w:noProof/>
          <w:szCs w:val="24"/>
        </w:rPr>
      </w:pPr>
    </w:p>
    <w:p w:rsidR="00B26ED3" w:rsidRDefault="003423C1">
      <w:pPr>
        <w:spacing w:before="120" w:after="120"/>
        <w:jc w:val="both"/>
        <w:rPr>
          <w:rFonts w:ascii="Times New Roman" w:eastAsia="Times New Roman" w:hAnsi="Times New Roman" w:cs="Times New Roman"/>
          <w:noProof/>
        </w:rPr>
      </w:pPr>
      <w:r>
        <w:rPr>
          <w:rFonts w:ascii="Times New Roman" w:hAnsi="Times New Roman"/>
          <w:b/>
          <w:noProof/>
        </w:rPr>
        <w:t>Većina država članica EU-a i dalje bilježi tekuće račune u ravnoteži ili suficitu, a u nekim državama još uvijek postoje veliki sufic</w:t>
      </w:r>
      <w:r>
        <w:rPr>
          <w:rFonts w:ascii="Times New Roman" w:hAnsi="Times New Roman"/>
          <w:b/>
          <w:noProof/>
        </w:rPr>
        <w:t>iti tekućeg računa, u najboljem slučaju neznatno se smanjuju.</w:t>
      </w:r>
      <w:r>
        <w:rPr>
          <w:rFonts w:ascii="Times New Roman" w:hAnsi="Times New Roman"/>
          <w:noProof/>
        </w:rPr>
        <w:t xml:space="preserve"> Općenito su nedavne promjene salda tekućeg računa bile relativno ograničene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3</w:t>
      </w:r>
      <w:r>
        <w:rPr>
          <w:rFonts w:ascii="Times New Roman" w:eastAsia="Times New Roman" w:hAnsi="Times New Roman" w:cs="Times New Roman"/>
          <w:noProof/>
        </w:rPr>
        <w:fldChar w:fldCharType="end"/>
      </w:r>
      <w:r>
        <w:rPr>
          <w:rFonts w:ascii="Times New Roman" w:hAnsi="Times New Roman"/>
          <w:noProof/>
        </w:rPr>
        <w:t xml:space="preserve">). </w:t>
      </w:r>
      <w:r>
        <w:rPr>
          <w:rFonts w:ascii="Times New Roman" w:hAnsi="Times New Roman"/>
          <w:noProof/>
        </w:rPr>
        <w:t>Većina velikih i neodrživih deficita tekućeg računa već je prilagođena u prvim godinama ovog desetljeća i pretvorena u suficite ili je postignuta ravnoteža, koji su održani i posljednjih godina često neznatno povećani. Veliki suficiti u zemljama neto vjero</w:t>
      </w:r>
      <w:r>
        <w:rPr>
          <w:rFonts w:ascii="Times New Roman" w:hAnsi="Times New Roman"/>
          <w:noProof/>
        </w:rPr>
        <w:t>vnicama općenito su ostali nepromijenjeni ili su se čak povećali. Salda tekućeg računa samo su u ograničenoj mjeri potaknuta cikličkim čimbenicima: razlika između stvarnih i ciklički prilagođenih tekućih računa općenito je mala i u padu, u kontekstu smanje</w:t>
      </w:r>
      <w:r>
        <w:rPr>
          <w:rFonts w:ascii="Times New Roman" w:hAnsi="Times New Roman"/>
          <w:noProof/>
        </w:rPr>
        <w:t>nja jaza outputa (grafikon 2.)</w:t>
      </w:r>
      <w:r>
        <w:rPr>
          <w:rStyle w:val="FootnoteReference"/>
          <w:noProof/>
        </w:rPr>
        <w:footnoteReference w:id="15"/>
      </w:r>
      <w:r>
        <w:rPr>
          <w:noProof/>
        </w:rPr>
        <w:t xml:space="preserve">. </w:t>
      </w:r>
      <w:r>
        <w:rPr>
          <w:rFonts w:ascii="Times New Roman" w:hAnsi="Times New Roman"/>
          <w:noProof/>
        </w:rPr>
        <w:t>Za većinu država članica nedavni rezultati tekućeg računa veći su od onoga što bi se moglo očekivati na osnovi temeljnih značajki (npr. starenje i dohodak po stanovniku).</w:t>
      </w:r>
      <w:r>
        <w:rPr>
          <w:rFonts w:ascii="Times New Roman" w:hAnsi="Times New Roman"/>
          <w:noProof/>
          <w:vertAlign w:val="superscript"/>
        </w:rPr>
        <w:footnoteReference w:id="16"/>
      </w:r>
      <w:r>
        <w:rPr>
          <w:rFonts w:ascii="Times New Roman" w:hAnsi="Times New Roman"/>
          <w:noProof/>
        </w:rPr>
        <w:t xml:space="preserve"> Međutim u nekim slučajevima nedavni rezultati možda</w:t>
      </w:r>
      <w:r>
        <w:rPr>
          <w:rFonts w:ascii="Times New Roman" w:hAnsi="Times New Roman"/>
          <w:noProof/>
        </w:rPr>
        <w:t xml:space="preserve"> ipak neće biti </w:t>
      </w:r>
      <w:r>
        <w:rPr>
          <w:rFonts w:ascii="Times New Roman" w:hAnsi="Times New Roman"/>
          <w:noProof/>
        </w:rPr>
        <w:lastRenderedPageBreak/>
        <w:t>dovoljni za smanjenje razina neto inozemnih obveza primjerenom brzinom. Uglavnom uravnotežena stanja tekućeg računa u 2017. bila su manje nego prije rezultat cikličkih uvjeta jer se negativni jaz outputa u državama članicama smanjuje ili po</w:t>
      </w:r>
      <w:r>
        <w:rPr>
          <w:rFonts w:ascii="Times New Roman" w:hAnsi="Times New Roman"/>
          <w:noProof/>
        </w:rPr>
        <w:t>staje pozitivan. Potaknuta rastućim cijenama nafte, kretanja u energetskoj bilanci gotovo posvuda su narušila ukupnu bilancu, no često samo neznatno (za podatke o energetskoj bilanci vidjeti tablicu 2.1. u prilogu).</w:t>
      </w:r>
    </w:p>
    <w:p w:rsidR="00B26ED3" w:rsidRDefault="003423C1">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Cipar je država članica koja bilježi naj</w:t>
      </w:r>
      <w:r>
        <w:rPr>
          <w:rFonts w:ascii="Times New Roman" w:hAnsi="Times New Roman"/>
          <w:b/>
          <w:noProof/>
        </w:rPr>
        <w:t>veći deficit tekućeg računa, iznad praga PMN-a</w:t>
      </w:r>
      <w:r>
        <w:rPr>
          <w:rFonts w:ascii="Times New Roman" w:hAnsi="Times New Roman"/>
          <w:noProof/>
        </w:rPr>
        <w:t xml:space="preserve"> (na temelju prosjeka od tri godine do 2017.). Tumačenja godišnjih podataka posljednjih su se godina pogoršala samo za Cipar. Rezultati su </w:t>
      </w:r>
      <w:r>
        <w:rPr>
          <w:rFonts w:ascii="Times New Roman" w:hAnsi="Times New Roman"/>
          <w:b/>
          <w:noProof/>
        </w:rPr>
        <w:t>ispod rezultata na koje bi upućivale temeljne značajke i onoga što je p</w:t>
      </w:r>
      <w:r>
        <w:rPr>
          <w:rFonts w:ascii="Times New Roman" w:hAnsi="Times New Roman"/>
          <w:b/>
          <w:noProof/>
        </w:rPr>
        <w:t>otrebno za poboljšanje NIIP-a primjerenom brzinom</w:t>
      </w:r>
      <w:r>
        <w:rPr>
          <w:rFonts w:ascii="Times New Roman" w:hAnsi="Times New Roman"/>
          <w:noProof/>
        </w:rPr>
        <w:t xml:space="preserve"> te se pogoršanje tekućeg računa u 2017. ne može objasniti učinkom ciklusa. Gledajući izvan europodručja, i tekući račun Ujedinjene Kraljevine ispod je praga iz tablice rezultata PMN-a.</w:t>
      </w:r>
    </w:p>
    <w:p w:rsidR="00B26ED3" w:rsidRDefault="003423C1">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Samo je </w:t>
      </w:r>
      <w:r>
        <w:rPr>
          <w:rFonts w:ascii="Times New Roman" w:hAnsi="Times New Roman"/>
          <w:b/>
          <w:noProof/>
        </w:rPr>
        <w:t>pet drugih dr</w:t>
      </w:r>
      <w:r>
        <w:rPr>
          <w:rFonts w:ascii="Times New Roman" w:hAnsi="Times New Roman"/>
          <w:b/>
          <w:noProof/>
        </w:rPr>
        <w:t>žava članica u 2017. zabilježilo deficite tekućeg računa</w:t>
      </w:r>
      <w:r>
        <w:rPr>
          <w:rFonts w:ascii="Times New Roman" w:hAnsi="Times New Roman"/>
          <w:noProof/>
        </w:rPr>
        <w:t xml:space="preserve">: Finska, Francuska, Grčka, Rumunjska i Slovačka, a samo posljednje dvije države zabilježile su vrijednosti veće od 1 % BDP-a. </w:t>
      </w:r>
      <w:r>
        <w:rPr>
          <w:rFonts w:ascii="Times New Roman" w:hAnsi="Times New Roman"/>
          <w:b/>
          <w:noProof/>
        </w:rPr>
        <w:t>Rumunjska je zabilježila pogoršanje</w:t>
      </w:r>
      <w:r>
        <w:rPr>
          <w:rFonts w:ascii="Times New Roman" w:hAnsi="Times New Roman"/>
          <w:noProof/>
        </w:rPr>
        <w:t xml:space="preserve"> deficita tekućeg računa, ispod temelj</w:t>
      </w:r>
      <w:r>
        <w:rPr>
          <w:rFonts w:ascii="Times New Roman" w:hAnsi="Times New Roman"/>
          <w:noProof/>
        </w:rPr>
        <w:t xml:space="preserve">nih značajki za 2017. </w:t>
      </w:r>
      <w:r>
        <w:rPr>
          <w:rFonts w:ascii="Times New Roman" w:hAnsi="Times New Roman"/>
          <w:b/>
          <w:noProof/>
        </w:rPr>
        <w:t>Grčka se ističe velikim doprinosom negativnog jaza outputa</w:t>
      </w:r>
      <w:r>
        <w:rPr>
          <w:rFonts w:ascii="Times New Roman" w:hAnsi="Times New Roman"/>
          <w:noProof/>
        </w:rPr>
        <w:t xml:space="preserve"> niskom ukupnom deficitu tekućeg računa; uzimajući u obzir ciklus, tekući račun čini se ispod razine koja je potrebna za brzo smanjenje NIIP-a i ispod norme tekućeg računa. </w:t>
      </w:r>
    </w:p>
    <w:p w:rsidR="00B26ED3" w:rsidRDefault="003423C1">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Ze</w:t>
      </w:r>
      <w:r>
        <w:rPr>
          <w:rFonts w:ascii="Times New Roman" w:hAnsi="Times New Roman"/>
          <w:b/>
          <w:noProof/>
        </w:rPr>
        <w:t>mlje s uglavnom negativnim NIIP-ovima</w:t>
      </w:r>
      <w:r>
        <w:rPr>
          <w:rFonts w:ascii="Times New Roman" w:hAnsi="Times New Roman"/>
          <w:noProof/>
        </w:rPr>
        <w:t>, npr. Portugal i Španjolska, imale su rezultate tekućeg računa iznad onog što se moglo očekivati na osnovi temeljnih značajki, ali u slučaju Portugala ne dovoljno za osiguranje poboljšanja NIIP-a primjerenom brzinom. H</w:t>
      </w:r>
      <w:r>
        <w:rPr>
          <w:rFonts w:ascii="Times New Roman" w:hAnsi="Times New Roman"/>
          <w:noProof/>
        </w:rPr>
        <w:t xml:space="preserve">rvatska bilježi suficit kojim se omogućuje smanjenje NIIP-a zadovoljavajućom brzinom. Irska je nakon deficita 2016. zabilježila veliki suficit tekućeg računa u 2017., nakon nedavnih znatnih korekcija naniže. U slučaju Irske na iznose tekućeg računa znatno </w:t>
      </w:r>
      <w:r>
        <w:rPr>
          <w:rFonts w:ascii="Times New Roman" w:hAnsi="Times New Roman"/>
          <w:noProof/>
        </w:rPr>
        <w:t>su utjecale prekogranične transakcije povezane s aktivnostima multinacionalnih kompanija.</w:t>
      </w:r>
    </w:p>
    <w:p w:rsidR="00B26ED3" w:rsidRDefault="003423C1">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Četiri države članice trenutačno premašuju prag iz tablice PMN-a zahvaljujući suficitu</w:t>
      </w:r>
      <w:r>
        <w:rPr>
          <w:rFonts w:ascii="Times New Roman" w:hAnsi="Times New Roman"/>
          <w:noProof/>
        </w:rPr>
        <w:t>. Vrijednosti iznad praga već su nekoliko godina zabilježene u Danskoj, Njemačko</w:t>
      </w:r>
      <w:r>
        <w:rPr>
          <w:rFonts w:ascii="Times New Roman" w:hAnsi="Times New Roman"/>
          <w:noProof/>
        </w:rPr>
        <w:t xml:space="preserve">j i Nizozemskoj, a u novije vrijeme i na Malti. Suficit Njemačke smanjio se u 2017. za 0,5 % BDP-a, dok se suficit Nizozemske povećao za 2,5 % BDP-a. U sva ta četiri slučaja ti suficiti znatno su </w:t>
      </w:r>
      <w:r>
        <w:rPr>
          <w:rFonts w:ascii="Times New Roman" w:hAnsi="Times New Roman"/>
          <w:b/>
          <w:noProof/>
        </w:rPr>
        <w:t>veći od onoga što se može objasniti temeljnim značajkama</w:t>
      </w:r>
      <w:r>
        <w:rPr>
          <w:rFonts w:ascii="Times New Roman" w:hAnsi="Times New Roman"/>
          <w:noProof/>
        </w:rPr>
        <w:t>, uv</w:t>
      </w:r>
      <w:r>
        <w:rPr>
          <w:rFonts w:ascii="Times New Roman" w:hAnsi="Times New Roman"/>
          <w:noProof/>
        </w:rPr>
        <w:t>ijek za najmanje 5 postotnih bodova BDP-a. Dinamika suficita u Nizozemskoj i na Malti znatno je potaknuta prekograničnim transakcijama povezanima s aktivnostima multinacionalnih kompanija i međunarodno orijentiranih uslužnih sektora koji utječu i na trgovi</w:t>
      </w:r>
      <w:r>
        <w:rPr>
          <w:rFonts w:ascii="Times New Roman" w:hAnsi="Times New Roman"/>
          <w:noProof/>
        </w:rPr>
        <w:t xml:space="preserve">nsku bilancu i na saldo dohotka. Više drugih zemalja već nekoliko godina bilježi suficite tekućeg računa, čak iako su ispod praga, što je slučaj i kod velikih zemalja europodručja, posebno Italije (vidjeti i okvir 2. za više informacija o suficitu tekućeg </w:t>
      </w:r>
      <w:r>
        <w:rPr>
          <w:rFonts w:ascii="Times New Roman" w:hAnsi="Times New Roman"/>
          <w:noProof/>
        </w:rPr>
        <w:t>računa u europodručju).</w:t>
      </w:r>
    </w:p>
    <w:p w:rsidR="00B26ED3" w:rsidRDefault="003423C1">
      <w:pPr>
        <w:rPr>
          <w:rFonts w:ascii="Times New Roman" w:eastAsia="MS Mincho" w:hAnsi="Times New Roman" w:cs="Times New Roman"/>
          <w:b/>
          <w:bCs/>
          <w:noProof/>
        </w:rPr>
      </w:pPr>
      <w:r>
        <w:rPr>
          <w:noProof/>
        </w:rPr>
        <w:br w:type="page"/>
      </w:r>
    </w:p>
    <w:p w:rsidR="00B26ED3" w:rsidRDefault="003423C1">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lastRenderedPageBreak/>
        <w:t xml:space="preserve">Grafikon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2</w:t>
      </w:r>
      <w:r>
        <w:rPr>
          <w:rFonts w:ascii="Times New Roman" w:eastAsia="MS Mincho" w:hAnsi="Times New Roman" w:cs="Times New Roman"/>
          <w:b/>
          <w:bCs/>
          <w:noProof/>
        </w:rPr>
        <w:fldChar w:fldCharType="end"/>
      </w:r>
      <w:r>
        <w:rPr>
          <w:rFonts w:ascii="Times New Roman" w:hAnsi="Times New Roman"/>
          <w:b/>
          <w:noProof/>
        </w:rPr>
        <w:t>: Salda tekućeg računa i referentna mjerila u 2017.</w:t>
      </w:r>
    </w:p>
    <w:p w:rsidR="00B26ED3" w:rsidRDefault="003423C1">
      <w:pPr>
        <w:keepNext/>
        <w:spacing w:before="120" w:after="120" w:line="240" w:lineRule="auto"/>
        <w:jc w:val="center"/>
        <w:rPr>
          <w:rFonts w:ascii="Times New Roman" w:eastAsia="MS Mincho" w:hAnsi="Times New Roman" w:cs="Times New Roman"/>
          <w:b/>
          <w:bCs/>
          <w:noProof/>
        </w:rPr>
      </w:pPr>
      <w:r>
        <w:rPr>
          <w:noProof/>
          <w:lang w:eastAsia="en-GB"/>
        </w:rPr>
        <w:drawing>
          <wp:inline distT="0" distB="0" distL="0" distR="0">
            <wp:extent cx="4762500" cy="28077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0" cy="2807743"/>
                    </a:xfrm>
                    <a:prstGeom prst="rect">
                      <a:avLst/>
                    </a:prstGeom>
                    <a:noFill/>
                    <a:ln>
                      <a:noFill/>
                    </a:ln>
                  </pic:spPr>
                </pic:pic>
              </a:graphicData>
            </a:graphic>
          </wp:inline>
        </w:drawing>
      </w:r>
    </w:p>
    <w:p w:rsidR="00B26ED3" w:rsidRDefault="003423C1">
      <w:pPr>
        <w:spacing w:after="0" w:line="240" w:lineRule="auto"/>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Eurostat (podaci BPM6) i izračuni službi Komisije.</w:t>
      </w:r>
    </w:p>
    <w:p w:rsidR="00B26ED3" w:rsidRPr="003423C1" w:rsidRDefault="003423C1">
      <w:pPr>
        <w:spacing w:after="0" w:line="240" w:lineRule="auto"/>
        <w:jc w:val="both"/>
        <w:rPr>
          <w:noProof/>
          <w:sz w:val="20"/>
          <w:lang w:val="fr-BE"/>
        </w:rPr>
      </w:pPr>
      <w:r w:rsidRPr="003423C1">
        <w:rPr>
          <w:rFonts w:ascii="Times New Roman" w:hAnsi="Times New Roman"/>
          <w:i/>
          <w:noProof/>
          <w:sz w:val="20"/>
          <w:lang w:val="fr-BE"/>
        </w:rPr>
        <w:t>Napomena:</w:t>
      </w:r>
      <w:r w:rsidRPr="003423C1">
        <w:rPr>
          <w:rFonts w:ascii="Times New Roman" w:hAnsi="Times New Roman"/>
          <w:noProof/>
          <w:sz w:val="20"/>
          <w:lang w:val="fr-BE"/>
        </w:rPr>
        <w:t xml:space="preserve"> Zemlje su poredane prema saldu tekućeg računa u 2017. </w:t>
      </w:r>
      <w:r w:rsidRPr="003423C1">
        <w:rPr>
          <w:i/>
          <w:noProof/>
          <w:sz w:val="20"/>
          <w:lang w:val="fr-BE"/>
        </w:rPr>
        <w:t>Ciklički prilagođena</w:t>
      </w:r>
      <w:r w:rsidRPr="003423C1">
        <w:rPr>
          <w:i/>
          <w:noProof/>
          <w:sz w:val="20"/>
          <w:lang w:val="fr-BE"/>
        </w:rPr>
        <w:t xml:space="preserve"> salda tekućeg računa</w:t>
      </w:r>
      <w:r w:rsidRPr="003423C1">
        <w:rPr>
          <w:noProof/>
          <w:sz w:val="20"/>
          <w:lang w:val="fr-BE"/>
        </w:rPr>
        <w:t>: vidjeti bilješku </w:t>
      </w:r>
      <w:r>
        <w:rPr>
          <w:noProof/>
          <w:sz w:val="20"/>
        </w:rPr>
        <w:fldChar w:fldCharType="begin" w:fldLock="1"/>
      </w:r>
      <w:r w:rsidRPr="003423C1">
        <w:rPr>
          <w:noProof/>
          <w:sz w:val="20"/>
          <w:lang w:val="fr-BE"/>
        </w:rPr>
        <w:instrText xml:space="preserve"> NOTEREF _Ref526849001 \h  \* MERGEFORMAT </w:instrText>
      </w:r>
      <w:r>
        <w:rPr>
          <w:noProof/>
          <w:sz w:val="20"/>
        </w:rPr>
      </w:r>
      <w:r>
        <w:rPr>
          <w:noProof/>
          <w:sz w:val="20"/>
        </w:rPr>
        <w:fldChar w:fldCharType="separate"/>
      </w:r>
      <w:r w:rsidRPr="003423C1">
        <w:rPr>
          <w:noProof/>
          <w:sz w:val="20"/>
          <w:lang w:val="fr-BE"/>
        </w:rPr>
        <w:t>15</w:t>
      </w:r>
      <w:r>
        <w:rPr>
          <w:noProof/>
          <w:sz w:val="20"/>
        </w:rPr>
        <w:fldChar w:fldCharType="end"/>
      </w:r>
      <w:r w:rsidRPr="003423C1">
        <w:rPr>
          <w:noProof/>
          <w:sz w:val="20"/>
          <w:lang w:val="fr-BE"/>
        </w:rPr>
        <w:t xml:space="preserve">. </w:t>
      </w:r>
      <w:r w:rsidRPr="003423C1">
        <w:rPr>
          <w:i/>
          <w:noProof/>
          <w:sz w:val="20"/>
          <w:lang w:val="fr-BE"/>
        </w:rPr>
        <w:t>Norme tekućeg računa</w:t>
      </w:r>
      <w:r w:rsidRPr="003423C1">
        <w:rPr>
          <w:noProof/>
          <w:sz w:val="20"/>
          <w:lang w:val="fr-BE"/>
        </w:rPr>
        <w:t>: vidjeti bilješku </w:t>
      </w:r>
      <w:r>
        <w:rPr>
          <w:noProof/>
          <w:sz w:val="20"/>
        </w:rPr>
        <w:fldChar w:fldCharType="begin" w:fldLock="1"/>
      </w:r>
      <w:r w:rsidRPr="003423C1">
        <w:rPr>
          <w:noProof/>
          <w:sz w:val="20"/>
          <w:lang w:val="fr-BE"/>
        </w:rPr>
        <w:instrText xml:space="preserve"> NOTEREF _Ref526526513 \h  \* MERGEFORMAT </w:instrText>
      </w:r>
      <w:r>
        <w:rPr>
          <w:noProof/>
          <w:sz w:val="20"/>
        </w:rPr>
      </w:r>
      <w:r>
        <w:rPr>
          <w:noProof/>
          <w:sz w:val="20"/>
        </w:rPr>
        <w:fldChar w:fldCharType="separate"/>
      </w:r>
      <w:r w:rsidRPr="003423C1">
        <w:rPr>
          <w:noProof/>
          <w:sz w:val="20"/>
          <w:lang w:val="fr-BE"/>
        </w:rPr>
        <w:t>16</w:t>
      </w:r>
      <w:r>
        <w:rPr>
          <w:noProof/>
          <w:sz w:val="20"/>
        </w:rPr>
        <w:fldChar w:fldCharType="end"/>
      </w:r>
      <w:r w:rsidRPr="003423C1">
        <w:rPr>
          <w:noProof/>
          <w:sz w:val="20"/>
          <w:lang w:val="fr-BE"/>
        </w:rPr>
        <w:t xml:space="preserve">. Referentno mjerilo </w:t>
      </w:r>
      <w:r w:rsidRPr="003423C1">
        <w:rPr>
          <w:i/>
          <w:noProof/>
          <w:sz w:val="20"/>
          <w:lang w:val="fr-BE"/>
        </w:rPr>
        <w:t>tekući račun koji stabilizira NIIP</w:t>
      </w:r>
      <w:r w:rsidRPr="003423C1">
        <w:rPr>
          <w:noProof/>
          <w:sz w:val="20"/>
          <w:lang w:val="fr-BE"/>
        </w:rPr>
        <w:t xml:space="preserve"> definira se kao tekući račun koji je potreban za stabilizaciju NIIP-a na sadašnjoj razini tijekom sljedećih 10 godina ili, ako je sadašnji NIIP ispod bo</w:t>
      </w:r>
      <w:r w:rsidRPr="003423C1">
        <w:rPr>
          <w:noProof/>
          <w:sz w:val="20"/>
          <w:lang w:val="fr-BE"/>
        </w:rPr>
        <w:t>nitetnog praga za državu članicu, tekući račun koji je potreban za postizanje bonitetnog praga za NIIP u sljedećih 10 godina.</w:t>
      </w:r>
      <w:r>
        <w:rPr>
          <w:rFonts w:ascii="Times New Roman" w:hAnsi="Times New Roman"/>
          <w:noProof/>
          <w:sz w:val="20"/>
          <w:vertAlign w:val="superscript"/>
        </w:rPr>
        <w:footnoteReference w:id="17"/>
      </w:r>
      <w:r w:rsidRPr="003423C1">
        <w:rPr>
          <w:noProof/>
          <w:sz w:val="20"/>
          <w:lang w:val="fr-BE"/>
        </w:rPr>
        <w:t xml:space="preserve"> </w:t>
      </w:r>
    </w:p>
    <w:p w:rsidR="00B26ED3" w:rsidRPr="003423C1" w:rsidRDefault="00B26ED3">
      <w:pPr>
        <w:spacing w:before="120" w:after="0" w:line="240" w:lineRule="auto"/>
        <w:jc w:val="both"/>
        <w:rPr>
          <w:rFonts w:ascii="Times New Roman" w:eastAsia="Times New Roman" w:hAnsi="Times New Roman" w:cs="Times New Roman"/>
          <w:noProof/>
          <w:szCs w:val="24"/>
          <w:lang w:val="fr-BE"/>
        </w:rPr>
      </w:pPr>
    </w:p>
    <w:p w:rsidR="00B26ED3" w:rsidRDefault="003423C1">
      <w:pPr>
        <w:keepNext/>
        <w:spacing w:before="120" w:after="120" w:line="240" w:lineRule="auto"/>
        <w:jc w:val="center"/>
        <w:rPr>
          <w:rFonts w:ascii="Times New Roman" w:eastAsia="MS Mincho" w:hAnsi="Times New Roman" w:cs="Times New Roman"/>
          <w:b/>
          <w:bCs/>
          <w:noProof/>
          <w:lang w:val="nn-NO"/>
        </w:rPr>
      </w:pPr>
      <w:r>
        <w:rPr>
          <w:rFonts w:ascii="Times New Roman" w:hAnsi="Times New Roman"/>
          <w:b/>
          <w:noProof/>
          <w:lang w:val="nn-NO"/>
        </w:rPr>
        <w:t xml:space="preserve">Grafikon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lang w:val="nn-NO"/>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lang w:val="nn-NO"/>
        </w:rPr>
        <w:t>3</w:t>
      </w:r>
      <w:r>
        <w:rPr>
          <w:rFonts w:ascii="Times New Roman" w:eastAsia="MS Mincho" w:hAnsi="Times New Roman" w:cs="Times New Roman"/>
          <w:b/>
          <w:bCs/>
          <w:noProof/>
        </w:rPr>
        <w:fldChar w:fldCharType="end"/>
      </w:r>
      <w:r>
        <w:rPr>
          <w:rFonts w:ascii="Times New Roman" w:hAnsi="Times New Roman"/>
          <w:b/>
          <w:noProof/>
          <w:lang w:val="nn-NO"/>
        </w:rPr>
        <w:t>: Kretanje salda tekućeg računa</w:t>
      </w:r>
    </w:p>
    <w:p w:rsidR="00B26ED3" w:rsidRDefault="003423C1">
      <w:pPr>
        <w:keepNext/>
        <w:spacing w:before="120" w:after="120" w:line="240" w:lineRule="auto"/>
        <w:jc w:val="center"/>
        <w:rPr>
          <w:rFonts w:ascii="Times New Roman" w:eastAsia="MS Mincho" w:hAnsi="Times New Roman" w:cs="Times New Roman"/>
          <w:b/>
          <w:bCs/>
          <w:noProof/>
        </w:rPr>
      </w:pPr>
      <w:r>
        <w:rPr>
          <w:noProof/>
          <w:lang w:eastAsia="en-GB"/>
        </w:rPr>
        <w:drawing>
          <wp:inline distT="0" distB="0" distL="0" distR="0">
            <wp:extent cx="4600575" cy="27649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2245" cy="2765919"/>
                    </a:xfrm>
                    <a:prstGeom prst="rect">
                      <a:avLst/>
                    </a:prstGeom>
                    <a:noFill/>
                    <a:ln>
                      <a:noFill/>
                    </a:ln>
                  </pic:spPr>
                </pic:pic>
              </a:graphicData>
            </a:graphic>
          </wp:inline>
        </w:drawing>
      </w:r>
    </w:p>
    <w:p w:rsidR="00B26ED3" w:rsidRDefault="003423C1">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Eurostat i izračuni službi Komisije.</w:t>
      </w:r>
    </w:p>
    <w:p w:rsidR="00B26ED3" w:rsidRDefault="003423C1">
      <w:pPr>
        <w:spacing w:after="0" w:line="240" w:lineRule="auto"/>
        <w:jc w:val="both"/>
        <w:rPr>
          <w:rFonts w:ascii="Times New Roman" w:eastAsia="Times New Roman" w:hAnsi="Times New Roman" w:cs="Times New Roman"/>
          <w:noProof/>
          <w:sz w:val="20"/>
          <w:szCs w:val="20"/>
        </w:rPr>
      </w:pPr>
      <w:r>
        <w:rPr>
          <w:rFonts w:ascii="Times New Roman" w:hAnsi="Times New Roman"/>
          <w:noProof/>
          <w:sz w:val="20"/>
        </w:rPr>
        <w:lastRenderedPageBreak/>
        <w:t xml:space="preserve">Napomena: </w:t>
      </w:r>
      <w:r>
        <w:rPr>
          <w:rFonts w:ascii="Times New Roman" w:hAnsi="Times New Roman"/>
          <w:noProof/>
          <w:sz w:val="20"/>
        </w:rPr>
        <w:t>Zemlje su prikazane rastućim redoslijedom prema promjeni udjela NIIP-a u BDP-u između 2007. i 2017. Promjena zbog ciklusa izračunava se kao promjena tekućeg računa koja se ne može objasniti promjenom ciklički prilagođenog salda tekućeg računa; vidjeti</w:t>
      </w:r>
      <w:r>
        <w:rPr>
          <w:noProof/>
          <w:sz w:val="20"/>
        </w:rPr>
        <w:t xml:space="preserve"> bilj</w:t>
      </w:r>
      <w:r>
        <w:rPr>
          <w:noProof/>
          <w:sz w:val="20"/>
        </w:rPr>
        <w:t>ešku</w:t>
      </w:r>
      <w:r>
        <w:rPr>
          <w:noProof/>
          <w:sz w:val="20"/>
        </w:rPr>
        <w:fldChar w:fldCharType="begin" w:fldLock="1"/>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rFonts w:ascii="Times New Roman" w:hAnsi="Times New Roman"/>
          <w:noProof/>
          <w:sz w:val="20"/>
        </w:rPr>
        <w:t>.</w:t>
      </w:r>
    </w:p>
    <w:p w:rsidR="00B26ED3" w:rsidRDefault="003423C1">
      <w:pPr>
        <w:spacing w:before="120" w:after="120"/>
        <w:jc w:val="both"/>
        <w:rPr>
          <w:rFonts w:ascii="Times New Roman" w:eastAsia="Times New Roman" w:hAnsi="Times New Roman" w:cs="Times New Roman"/>
          <w:noProof/>
        </w:rPr>
      </w:pPr>
      <w:r>
        <w:rPr>
          <w:rFonts w:ascii="Times New Roman" w:hAnsi="Times New Roman"/>
          <w:b/>
          <w:noProof/>
        </w:rPr>
        <w:t>Neto stanja međunarodnih ulaganja (NIIP-ovi) i dalje se poboljšavaju u gotovo svim državama članicama, no zabrinjavajuće je što su u nekol</w:t>
      </w:r>
      <w:r>
        <w:rPr>
          <w:rFonts w:ascii="Times New Roman" w:hAnsi="Times New Roman"/>
          <w:b/>
          <w:noProof/>
        </w:rPr>
        <w:t>iko njih i dalje vrlo negativna.</w:t>
      </w:r>
      <w:r>
        <w:rPr>
          <w:rFonts w:ascii="Times New Roman" w:hAnsi="Times New Roman"/>
          <w:noProof/>
        </w:rPr>
        <w:t xml:space="preserve"> Razine NIIP-ova za mnoge države članice još uvijek su većinom negativne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_Ref525664344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4</w:t>
      </w:r>
      <w:r>
        <w:rPr>
          <w:rFonts w:ascii="Times New Roman" w:eastAsia="Times New Roman" w:hAnsi="Times New Roman" w:cs="Times New Roman"/>
          <w:noProof/>
        </w:rPr>
        <w:fldChar w:fldCharType="end"/>
      </w:r>
      <w:r>
        <w:rPr>
          <w:rFonts w:ascii="Times New Roman" w:hAnsi="Times New Roman"/>
          <w:noProof/>
        </w:rPr>
        <w:t>.) U većini država članica EU-a s nega</w:t>
      </w:r>
      <w:r>
        <w:rPr>
          <w:rFonts w:ascii="Times New Roman" w:hAnsi="Times New Roman"/>
          <w:noProof/>
        </w:rPr>
        <w:t>tivnim NIIP-om razina inozemnih obveza premašuje NIIP, što bi se moglo opravdati temeljnim ekonomskim značajkama, a samo u manjem broju slučajeva čini se da je ispod bonitetnog praga.</w:t>
      </w:r>
      <w:r>
        <w:rPr>
          <w:rFonts w:ascii="Times New Roman" w:hAnsi="Times New Roman"/>
          <w:noProof/>
          <w:vertAlign w:val="superscript"/>
        </w:rPr>
        <w:footnoteReference w:id="18"/>
      </w:r>
      <w:r>
        <w:rPr>
          <w:rFonts w:ascii="Times New Roman" w:hAnsi="Times New Roman"/>
          <w:noProof/>
        </w:rPr>
        <w:t xml:space="preserve"> U nekim je zemljama razina inozemnih obveza velika i kada se izračunava</w:t>
      </w:r>
      <w:r>
        <w:rPr>
          <w:rFonts w:ascii="Times New Roman" w:hAnsi="Times New Roman"/>
          <w:noProof/>
        </w:rPr>
        <w:t xml:space="preserve"> umanjena za manje rizične financijske instrumente (NENDI). Poboljšanja NIIP-ova nastavljena su 2017. zbog čestih pozitivnih rezultata tekućih računa i oporavka rasta nominalnog BDP-a (grafikon 5.). Poboljšanja su u načelu nešto manja nego prethodnih godin</w:t>
      </w:r>
      <w:r>
        <w:rPr>
          <w:rFonts w:ascii="Times New Roman" w:hAnsi="Times New Roman"/>
          <w:noProof/>
        </w:rPr>
        <w:t>a, pri čemu vrijednosni učinci često manje pridonose poboljšanju NIIP-a ili čak marginalno smanjuju njegovu vrijednost. Smjer i jačina varijacija NIIP-a nisu bili čvrsto povezani s početnim razinama NIIP-a, ali su zemlje neto dužnice u većini slučajeva pob</w:t>
      </w:r>
      <w:r>
        <w:rPr>
          <w:rFonts w:ascii="Times New Roman" w:hAnsi="Times New Roman"/>
          <w:noProof/>
        </w:rPr>
        <w:t>oljšale ili stabilizirale svoje pokazatelje u 2017.</w:t>
      </w:r>
    </w:p>
    <w:p w:rsidR="00B26ED3" w:rsidRDefault="003423C1">
      <w:pPr>
        <w:numPr>
          <w:ilvl w:val="0"/>
          <w:numId w:val="4"/>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U 2017. </w:t>
      </w:r>
      <w:r>
        <w:rPr>
          <w:rFonts w:ascii="Times New Roman" w:hAnsi="Times New Roman"/>
          <w:b/>
          <w:noProof/>
        </w:rPr>
        <w:t>gotovo je polovina država članica zabilježila NIIP-ove slabije od praga iz tablice rezultata</w:t>
      </w:r>
      <w:r>
        <w:rPr>
          <w:rFonts w:ascii="Times New Roman" w:hAnsi="Times New Roman"/>
          <w:noProof/>
        </w:rPr>
        <w:t xml:space="preserve"> od -35 % BDP. Neke su i dalje ispod -100 % BDP-a (Cipar, Grčka, Irska i Portugal) i Španjolska -80 % BDP-a; isto tako Bugarska, Hrvatska, Mađarska, Latvija, Litva, Poljska, Rumunjska i Slovačka nisu bile unutar praga BDP-a od -35 %. </w:t>
      </w:r>
    </w:p>
    <w:p w:rsidR="00B26ED3" w:rsidRDefault="003423C1">
      <w:pPr>
        <w:pStyle w:val="ListParagraph"/>
        <w:numPr>
          <w:ilvl w:val="0"/>
          <w:numId w:val="4"/>
        </w:numPr>
        <w:spacing w:before="120" w:after="120"/>
        <w:ind w:left="567" w:hanging="425"/>
        <w:contextualSpacing w:val="0"/>
        <w:jc w:val="both"/>
        <w:rPr>
          <w:rFonts w:ascii="Times New Roman" w:eastAsia="Times New Roman" w:hAnsi="Times New Roman" w:cs="Times New Roman"/>
          <w:noProof/>
          <w:lang w:val="pl-PL"/>
        </w:rPr>
      </w:pPr>
      <w:r>
        <w:rPr>
          <w:rFonts w:ascii="Times New Roman" w:hAnsi="Times New Roman"/>
          <w:noProof/>
        </w:rPr>
        <w:t xml:space="preserve">U zemljama s </w:t>
      </w:r>
      <w:r>
        <w:rPr>
          <w:rFonts w:ascii="Times New Roman" w:hAnsi="Times New Roman"/>
          <w:b/>
          <w:noProof/>
        </w:rPr>
        <w:t>uglavnom</w:t>
      </w:r>
      <w:r>
        <w:rPr>
          <w:rFonts w:ascii="Times New Roman" w:hAnsi="Times New Roman"/>
          <w:b/>
          <w:noProof/>
        </w:rPr>
        <w:t xml:space="preserve"> negativnim NIIP-ovima</w:t>
      </w:r>
      <w:r>
        <w:rPr>
          <w:rFonts w:ascii="Times New Roman" w:hAnsi="Times New Roman"/>
          <w:noProof/>
        </w:rPr>
        <w:t xml:space="preserve"> pokazatelji su općenito </w:t>
      </w:r>
      <w:r>
        <w:rPr>
          <w:rFonts w:ascii="Times New Roman" w:hAnsi="Times New Roman"/>
          <w:b/>
          <w:noProof/>
        </w:rPr>
        <w:t>manji od referentnih mjerila za pojedinu zemlju,</w:t>
      </w:r>
      <w:r>
        <w:rPr>
          <w:rFonts w:ascii="Times New Roman" w:hAnsi="Times New Roman"/>
          <w:noProof/>
        </w:rPr>
        <w:t xml:space="preserve"> i za norme za NIIP i za bonitetne pragove za NIIP. </w:t>
      </w:r>
      <w:r>
        <w:rPr>
          <w:rFonts w:ascii="Times New Roman" w:hAnsi="Times New Roman"/>
          <w:noProof/>
          <w:lang w:val="pl-PL"/>
        </w:rPr>
        <w:t>To je slučaj u Irskoj, Grčkoj, na Cipru, u Portugalu i u Španjolskoj. Grčka je zabilježila marginalno pogorša</w:t>
      </w:r>
      <w:r>
        <w:rPr>
          <w:rFonts w:ascii="Times New Roman" w:hAnsi="Times New Roman"/>
          <w:noProof/>
          <w:lang w:val="pl-PL"/>
        </w:rPr>
        <w:t xml:space="preserve">nje NIIP-a, a Portugal objavio nepromijenjene pokazatelje i u oba su slučaja vrijednosni učinci umjereno smanjili NIIP u 2017.; svi su ostali poboljšali svoje rezultate. Te najnegativnije NIIP-ove </w:t>
      </w:r>
      <w:r>
        <w:rPr>
          <w:rFonts w:ascii="Times New Roman" w:hAnsi="Times New Roman"/>
          <w:b/>
          <w:noProof/>
          <w:lang w:val="pl-PL"/>
        </w:rPr>
        <w:t>često prate neto dužničke obveze</w:t>
      </w:r>
      <w:r>
        <w:rPr>
          <w:rStyle w:val="FootnoteReference"/>
          <w:rFonts w:ascii="Times New Roman" w:hAnsi="Times New Roman"/>
          <w:noProof/>
        </w:rPr>
        <w:footnoteReference w:id="19"/>
      </w:r>
      <w:r>
        <w:rPr>
          <w:noProof/>
          <w:lang w:val="pl-PL"/>
        </w:rPr>
        <w:t>.</w:t>
      </w:r>
      <w:r>
        <w:rPr>
          <w:rFonts w:ascii="Times New Roman" w:hAnsi="Times New Roman"/>
          <w:noProof/>
          <w:lang w:val="pl-PL"/>
        </w:rPr>
        <w:t xml:space="preserve"> Brojke za Cipar i Irsku </w:t>
      </w:r>
      <w:r>
        <w:rPr>
          <w:rFonts w:ascii="Times New Roman" w:hAnsi="Times New Roman"/>
          <w:noProof/>
          <w:lang w:val="pl-PL"/>
        </w:rPr>
        <w:t xml:space="preserve">moraju se promatrati i s obzirom na važnost koju za njih imaju aktivnosti multinacionalnih korporacija i međunarodno orijentiranih uslužnih sektora, a u Grčkoj s obzirom na veliki vanjski javni dug uz vrlo povoljne kamatne stope. </w:t>
      </w:r>
    </w:p>
    <w:p w:rsidR="00B26ED3" w:rsidRDefault="003423C1">
      <w:pPr>
        <w:numPr>
          <w:ilvl w:val="0"/>
          <w:numId w:val="4"/>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 xml:space="preserve">U zemljama s </w:t>
      </w:r>
      <w:r>
        <w:rPr>
          <w:rFonts w:ascii="Times New Roman" w:hAnsi="Times New Roman"/>
          <w:b/>
          <w:noProof/>
          <w:lang w:val="pl-PL"/>
        </w:rPr>
        <w:t>umjereno neg</w:t>
      </w:r>
      <w:r>
        <w:rPr>
          <w:rFonts w:ascii="Times New Roman" w:hAnsi="Times New Roman"/>
          <w:b/>
          <w:noProof/>
          <w:lang w:val="pl-PL"/>
        </w:rPr>
        <w:t>ativnim NIIP-ovima</w:t>
      </w:r>
      <w:r>
        <w:rPr>
          <w:rFonts w:ascii="Times New Roman" w:hAnsi="Times New Roman"/>
          <w:noProof/>
          <w:lang w:val="pl-PL"/>
        </w:rPr>
        <w:t xml:space="preserve">, koji su još uvijek ispod </w:t>
      </w:r>
      <w:r>
        <w:rPr>
          <w:rFonts w:ascii="Times New Roman" w:hAnsi="Times New Roman"/>
          <w:noProof/>
          <w:color w:val="000000"/>
          <w:lang w:val="pl-PL"/>
        </w:rPr>
        <w:t>praga iz tablice rezultata od -35 % BDP-a</w:t>
      </w:r>
      <w:r>
        <w:rPr>
          <w:rFonts w:ascii="Times New Roman" w:hAnsi="Times New Roman"/>
          <w:noProof/>
          <w:lang w:val="pl-PL"/>
        </w:rPr>
        <w:t xml:space="preserve">, NIIP-ovi su često ispod norme, a u nekim slučajevima i nešto ispod bonitetnih pragova. U tim zemljama </w:t>
      </w:r>
      <w:r>
        <w:rPr>
          <w:rFonts w:ascii="Times New Roman" w:hAnsi="Times New Roman"/>
          <w:noProof/>
          <w:color w:val="000000"/>
          <w:lang w:val="pl-PL"/>
        </w:rPr>
        <w:t xml:space="preserve">vlasnički kapital u velikoj mjeri utječe na negativni NIIP i s </w:t>
      </w:r>
      <w:r>
        <w:rPr>
          <w:rFonts w:ascii="Times New Roman" w:hAnsi="Times New Roman"/>
          <w:noProof/>
          <w:color w:val="000000"/>
          <w:lang w:val="pl-PL"/>
        </w:rPr>
        <w:lastRenderedPageBreak/>
        <w:t>obz</w:t>
      </w:r>
      <w:r>
        <w:rPr>
          <w:rFonts w:ascii="Times New Roman" w:hAnsi="Times New Roman"/>
          <w:noProof/>
          <w:color w:val="000000"/>
          <w:lang w:val="pl-PL"/>
        </w:rPr>
        <w:t xml:space="preserve">irom na razine priljeva neto izravnih stranih ulaganja. </w:t>
      </w:r>
      <w:r>
        <w:rPr>
          <w:rFonts w:ascii="Times New Roman" w:hAnsi="Times New Roman"/>
          <w:noProof/>
          <w:lang w:val="pl-PL"/>
        </w:rPr>
        <w:t xml:space="preserve">U zemljama koje imaju </w:t>
      </w:r>
      <w:r>
        <w:rPr>
          <w:rFonts w:ascii="Times New Roman" w:hAnsi="Times New Roman"/>
          <w:b/>
          <w:noProof/>
          <w:lang w:val="pl-PL"/>
        </w:rPr>
        <w:t>umjerene vanjske pozicije stanja</w:t>
      </w:r>
      <w:r>
        <w:rPr>
          <w:rFonts w:ascii="Times New Roman" w:hAnsi="Times New Roman"/>
          <w:noProof/>
          <w:lang w:val="pl-PL"/>
        </w:rPr>
        <w:t xml:space="preserve"> NIIP-ovi su često iznad relevantnih normi, osim u slučaju Francuske i Slovenije, gdje su ispod normi.</w:t>
      </w:r>
    </w:p>
    <w:p w:rsidR="00B26ED3" w:rsidRDefault="003423C1">
      <w:pPr>
        <w:numPr>
          <w:ilvl w:val="0"/>
          <w:numId w:val="4"/>
        </w:numPr>
        <w:tabs>
          <w:tab w:val="left" w:pos="720"/>
        </w:tabs>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 xml:space="preserve">U većini zemalja s </w:t>
      </w:r>
      <w:r>
        <w:rPr>
          <w:rFonts w:ascii="Times New Roman" w:hAnsi="Times New Roman"/>
          <w:b/>
          <w:noProof/>
          <w:lang w:val="pl-PL"/>
        </w:rPr>
        <w:t>velikim i pozitivnim raz</w:t>
      </w:r>
      <w:r>
        <w:rPr>
          <w:rFonts w:ascii="Times New Roman" w:hAnsi="Times New Roman"/>
          <w:b/>
          <w:noProof/>
          <w:lang w:val="pl-PL"/>
        </w:rPr>
        <w:t xml:space="preserve">inama NIIP-ova, </w:t>
      </w:r>
      <w:r>
        <w:rPr>
          <w:rFonts w:ascii="Times New Roman" w:hAnsi="Times New Roman"/>
          <w:noProof/>
          <w:lang w:val="pl-PL"/>
        </w:rPr>
        <w:t>NIIP-ovi nadilaze normu i 2017. su u porastu na temelju velikih suficita tekućeg računa. Zbog negativnih vrijednosnih učinaka zabilježen je marginalni pad NIIP-ova u Nizozemskoj i Danskoj. NIIP-ovi Malte i Nizozemske krajem 2017. iznosili s</w:t>
      </w:r>
      <w:r>
        <w:rPr>
          <w:rFonts w:ascii="Times New Roman" w:hAnsi="Times New Roman"/>
          <w:noProof/>
          <w:lang w:val="pl-PL"/>
        </w:rPr>
        <w:t>u oko 60 % BDP-a, NIIP-ovi Belgije, Danske i Njemačke iznad od 50 %</w:t>
      </w:r>
      <w:r>
        <w:rPr>
          <w:rStyle w:val="FootnoteReference"/>
          <w:rFonts w:ascii="Times New Roman" w:hAnsi="Times New Roman"/>
          <w:noProof/>
        </w:rPr>
        <w:footnoteReference w:id="20"/>
      </w:r>
      <w:r>
        <w:rPr>
          <w:noProof/>
          <w:lang w:val="pl-PL"/>
        </w:rPr>
        <w:t>.</w:t>
      </w:r>
      <w:r>
        <w:rPr>
          <w:rFonts w:ascii="Times New Roman" w:hAnsi="Times New Roman"/>
          <w:noProof/>
          <w:lang w:val="pl-PL"/>
        </w:rPr>
        <w:t xml:space="preserve"> </w:t>
      </w:r>
    </w:p>
    <w:p w:rsidR="00B26ED3" w:rsidRDefault="003423C1">
      <w:pPr>
        <w:keepNext/>
        <w:spacing w:before="120" w:after="120"/>
        <w:jc w:val="center"/>
        <w:rPr>
          <w:rFonts w:ascii="Times New Roman" w:eastAsia="MS Mincho" w:hAnsi="Times New Roman" w:cs="Times New Roman"/>
          <w:b/>
          <w:bCs/>
          <w:noProof/>
          <w:lang w:val="pl-PL"/>
        </w:rPr>
      </w:pPr>
      <w:r>
        <w:rPr>
          <w:rFonts w:ascii="Times New Roman" w:hAnsi="Times New Roman"/>
          <w:b/>
          <w:noProof/>
          <w:lang w:val="pl-PL"/>
        </w:rPr>
        <w:t xml:space="preserve">Grafikon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lang w:val="pl-PL"/>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lang w:val="pl-PL"/>
        </w:rPr>
        <w:t>4</w:t>
      </w:r>
      <w:r>
        <w:rPr>
          <w:rFonts w:ascii="Times New Roman" w:eastAsia="MS Mincho" w:hAnsi="Times New Roman" w:cs="Times New Roman"/>
          <w:b/>
          <w:bCs/>
          <w:noProof/>
        </w:rPr>
        <w:fldChar w:fldCharType="end"/>
      </w:r>
      <w:r>
        <w:rPr>
          <w:rFonts w:ascii="Times New Roman" w:hAnsi="Times New Roman"/>
          <w:b/>
          <w:noProof/>
          <w:lang w:val="pl-PL"/>
        </w:rPr>
        <w:t>: Neto stanja međunarodnih ulaganja (NIIP-ovi) i referentna mjerila u 2017.</w:t>
      </w:r>
    </w:p>
    <w:p w:rsidR="00B26ED3" w:rsidRDefault="003423C1">
      <w:pPr>
        <w:keepNext/>
        <w:spacing w:before="120" w:after="120"/>
        <w:jc w:val="center"/>
        <w:rPr>
          <w:rFonts w:ascii="Times New Roman" w:eastAsia="MS Mincho" w:hAnsi="Times New Roman" w:cs="Times New Roman"/>
          <w:b/>
          <w:bCs/>
          <w:noProof/>
          <w:sz w:val="24"/>
          <w:szCs w:val="20"/>
        </w:rPr>
      </w:pPr>
      <w:r>
        <w:rPr>
          <w:noProof/>
          <w:lang w:eastAsia="en-GB"/>
        </w:rPr>
        <w:drawing>
          <wp:inline distT="0" distB="0" distL="0" distR="0">
            <wp:extent cx="5229225" cy="2981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9225" cy="2981325"/>
                    </a:xfrm>
                    <a:prstGeom prst="rect">
                      <a:avLst/>
                    </a:prstGeom>
                    <a:noFill/>
                    <a:ln>
                      <a:noFill/>
                    </a:ln>
                  </pic:spPr>
                </pic:pic>
              </a:graphicData>
            </a:graphic>
          </wp:inline>
        </w:drawing>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Eurostat (BPM6, ESA10), izračuni službi Komisije. </w:t>
      </w:r>
    </w:p>
    <w:p w:rsidR="00B26ED3" w:rsidRDefault="003423C1">
      <w:pPr>
        <w:spacing w:after="0"/>
        <w:jc w:val="both"/>
        <w:rPr>
          <w:rFonts w:ascii="Times New Roman" w:eastAsia="Times New Roman" w:hAnsi="Times New Roman" w:cs="Times New Roman"/>
          <w:noProof/>
          <w:sz w:val="20"/>
          <w:szCs w:val="20"/>
          <w:lang w:val="pl-PL"/>
        </w:rPr>
      </w:pPr>
      <w:r>
        <w:rPr>
          <w:rFonts w:ascii="Times New Roman" w:hAnsi="Times New Roman"/>
          <w:i/>
          <w:noProof/>
          <w:sz w:val="20"/>
          <w:lang w:val="pl-PL"/>
        </w:rPr>
        <w:t>Napomena</w:t>
      </w:r>
      <w:r>
        <w:rPr>
          <w:rFonts w:ascii="Times New Roman" w:hAnsi="Times New Roman"/>
          <w:noProof/>
          <w:sz w:val="20"/>
          <w:lang w:val="pl-PL"/>
        </w:rPr>
        <w:t xml:space="preserve">: Zemlje su prikazane padajućim redoslijedom prema udjelu NIIP-a u BDP-u u 2017. NENDI je NIIP ne uključujući instrumente bez rizika neispunjavanja obveza, vidjeti okvir 1. za više informacija. Za objašnjenje norme NIIP-a i bonitetnog praga NIIP-a vidjeti </w:t>
      </w:r>
      <w:r>
        <w:rPr>
          <w:rFonts w:ascii="Times New Roman" w:hAnsi="Times New Roman"/>
          <w:noProof/>
          <w:sz w:val="20"/>
          <w:lang w:val="pl-PL"/>
        </w:rPr>
        <w:t xml:space="preserve">bilješku </w:t>
      </w:r>
      <w:r>
        <w:rPr>
          <w:rFonts w:ascii="Times New Roman" w:eastAsia="Times New Roman" w:hAnsi="Times New Roman" w:cs="Times New Roman"/>
          <w:noProof/>
          <w:sz w:val="20"/>
          <w:szCs w:val="20"/>
        </w:rPr>
        <w:fldChar w:fldCharType="begin" w:fldLock="1"/>
      </w:r>
      <w:r>
        <w:rPr>
          <w:rFonts w:ascii="Times New Roman" w:eastAsia="Times New Roman" w:hAnsi="Times New Roman" w:cs="Times New Roman"/>
          <w:noProof/>
          <w:sz w:val="20"/>
          <w:szCs w:val="20"/>
          <w:lang w:val="pl-PL"/>
        </w:rPr>
        <w:instrText xml:space="preserve"> NOTEREF _Ref526336022 \h  \* MERGEFORMAT </w:instrTex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fldChar w:fldCharType="separate"/>
      </w:r>
      <w:r>
        <w:rPr>
          <w:rFonts w:ascii="Times New Roman" w:eastAsia="Times New Roman" w:hAnsi="Times New Roman" w:cs="Times New Roman"/>
          <w:noProof/>
          <w:sz w:val="20"/>
          <w:szCs w:val="20"/>
          <w:lang w:val="pl-PL"/>
        </w:rPr>
        <w:t>18</w:t>
      </w:r>
      <w:r>
        <w:rPr>
          <w:rFonts w:ascii="Times New Roman" w:eastAsia="Times New Roman" w:hAnsi="Times New Roman" w:cs="Times New Roman"/>
          <w:noProof/>
          <w:sz w:val="20"/>
          <w:szCs w:val="20"/>
        </w:rPr>
        <w:fldChar w:fldCharType="end"/>
      </w:r>
      <w:r>
        <w:rPr>
          <w:rFonts w:ascii="Times New Roman" w:hAnsi="Times New Roman"/>
          <w:noProof/>
          <w:sz w:val="20"/>
          <w:lang w:val="pl-PL"/>
        </w:rPr>
        <w:t xml:space="preserve">. </w:t>
      </w:r>
    </w:p>
    <w:p w:rsidR="00B26ED3" w:rsidRDefault="00B26ED3">
      <w:pPr>
        <w:keepNext/>
        <w:spacing w:after="0"/>
        <w:jc w:val="center"/>
        <w:rPr>
          <w:rFonts w:ascii="Times New Roman" w:eastAsia="MS Mincho" w:hAnsi="Times New Roman" w:cs="Times New Roman"/>
          <w:b/>
          <w:bCs/>
          <w:noProof/>
          <w:lang w:val="pl-PL"/>
        </w:rPr>
      </w:pPr>
    </w:p>
    <w:p w:rsidR="00B26ED3" w:rsidRDefault="003423C1">
      <w:pPr>
        <w:keepNext/>
        <w:spacing w:before="120" w:after="120"/>
        <w:jc w:val="center"/>
        <w:rPr>
          <w:rFonts w:ascii="Times New Roman" w:eastAsia="MS Mincho" w:hAnsi="Times New Roman" w:cs="Times New Roman"/>
          <w:b/>
          <w:bCs/>
          <w:noProof/>
          <w:lang w:val="pl-PL"/>
        </w:rPr>
      </w:pPr>
      <w:r>
        <w:rPr>
          <w:rFonts w:ascii="Times New Roman" w:hAnsi="Times New Roman"/>
          <w:b/>
          <w:noProof/>
          <w:lang w:val="pl-PL"/>
        </w:rPr>
        <w:t xml:space="preserve">Grafikon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lang w:val="pl-PL"/>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lang w:val="pl-PL"/>
        </w:rPr>
        <w:t>5</w:t>
      </w:r>
      <w:r>
        <w:rPr>
          <w:rFonts w:ascii="Times New Roman" w:eastAsia="MS Mincho" w:hAnsi="Times New Roman" w:cs="Times New Roman"/>
          <w:b/>
          <w:bCs/>
          <w:noProof/>
        </w:rPr>
        <w:fldChar w:fldCharType="end"/>
      </w:r>
      <w:r>
        <w:rPr>
          <w:rFonts w:ascii="Times New Roman" w:hAnsi="Times New Roman"/>
          <w:b/>
          <w:noProof/>
          <w:lang w:val="pl-PL"/>
        </w:rPr>
        <w:t>: Dinamika neto stanja međunarodnih ulaganja (NIIP-ovi)</w:t>
      </w:r>
    </w:p>
    <w:p w:rsidR="00B26ED3" w:rsidRDefault="003423C1">
      <w:pPr>
        <w:tabs>
          <w:tab w:val="left" w:pos="720"/>
        </w:tabs>
        <w:spacing w:before="120" w:after="120"/>
        <w:ind w:left="425"/>
        <w:jc w:val="both"/>
        <w:rPr>
          <w:rFonts w:ascii="Times New Roman" w:eastAsia="Times New Roman" w:hAnsi="Times New Roman" w:cs="Times New Roman"/>
          <w:noProof/>
          <w:sz w:val="24"/>
          <w:szCs w:val="20"/>
        </w:rPr>
      </w:pPr>
      <w:r>
        <w:rPr>
          <w:noProof/>
          <w:lang w:eastAsia="en-GB"/>
        </w:rPr>
        <w:drawing>
          <wp:inline distT="0" distB="0" distL="0" distR="0">
            <wp:extent cx="4991100" cy="3019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1100" cy="3019425"/>
                    </a:xfrm>
                    <a:prstGeom prst="rect">
                      <a:avLst/>
                    </a:prstGeom>
                    <a:noFill/>
                    <a:ln>
                      <a:noFill/>
                    </a:ln>
                  </pic:spPr>
                </pic:pic>
              </a:graphicData>
            </a:graphic>
          </wp:inline>
        </w:drawing>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 xml:space="preserve">Izvor: </w:t>
      </w:r>
      <w:r>
        <w:rPr>
          <w:rFonts w:ascii="Times New Roman" w:hAnsi="Times New Roman"/>
          <w:noProof/>
          <w:sz w:val="20"/>
        </w:rPr>
        <w:t>Eurostat</w:t>
      </w:r>
    </w:p>
    <w:p w:rsidR="00B26ED3" w:rsidRDefault="003423C1">
      <w:pPr>
        <w:spacing w:after="0"/>
        <w:jc w:val="both"/>
        <w:rPr>
          <w:rFonts w:ascii="Times New Roman" w:eastAsia="Times New Roman" w:hAnsi="Times New Roman" w:cs="Times New Roman"/>
          <w:i/>
          <w:noProof/>
          <w:sz w:val="20"/>
          <w:szCs w:val="20"/>
        </w:rPr>
      </w:pPr>
      <w:r>
        <w:rPr>
          <w:rFonts w:ascii="Times New Roman" w:hAnsi="Times New Roman"/>
          <w:noProof/>
          <w:sz w:val="20"/>
        </w:rPr>
        <w:t xml:space="preserve">Napomena: Zemlje su </w:t>
      </w:r>
      <w:r>
        <w:rPr>
          <w:rFonts w:ascii="Times New Roman" w:hAnsi="Times New Roman"/>
          <w:noProof/>
          <w:sz w:val="20"/>
        </w:rPr>
        <w:t>prikazane padajućim redoslijedom prema promjeni udjela NIIP-a u BDP-u u 2017.</w:t>
      </w:r>
    </w:p>
    <w:p w:rsidR="00B26ED3" w:rsidRDefault="003423C1">
      <w:pPr>
        <w:spacing w:before="120" w:after="120"/>
        <w:jc w:val="both"/>
        <w:rPr>
          <w:rFonts w:ascii="Times New Roman" w:eastAsia="Times New Roman" w:hAnsi="Times New Roman" w:cs="Times New Roman"/>
          <w:noProof/>
        </w:rPr>
      </w:pPr>
      <w:r>
        <w:rPr>
          <w:rFonts w:ascii="Times New Roman" w:hAnsi="Times New Roman"/>
          <w:b/>
          <w:noProof/>
        </w:rPr>
        <w:t xml:space="preserve">Kretanja troškovne konkurentnosti u manjoj mjeri pogoduju rebalansu. </w:t>
      </w:r>
      <w:r>
        <w:rPr>
          <w:rFonts w:ascii="Times New Roman" w:hAnsi="Times New Roman"/>
          <w:noProof/>
        </w:rPr>
        <w:t>Obrasce jediničnih troškova rada (ULC) nakon krize karakterizirala je relativno slaba dinamika u zemljama u k</w:t>
      </w:r>
      <w:r>
        <w:rPr>
          <w:rFonts w:ascii="Times New Roman" w:hAnsi="Times New Roman"/>
          <w:noProof/>
        </w:rPr>
        <w:t>ojima je zabilježena kompresija potražnje nakon uklanjanja velikih deficita na tekućem računu. Rast jediničnih troškova rada nastavio se usporedno s gospodarskim oporavkom, no ostao je relativno slab unatoč povećanju napetosti tržišta rada. U nekoliko zema</w:t>
      </w:r>
      <w:r>
        <w:rPr>
          <w:rFonts w:ascii="Times New Roman" w:hAnsi="Times New Roman"/>
          <w:noProof/>
        </w:rPr>
        <w:t>lja srednje i istočne Europe zabilježen je ubrzani rast jediničnih troškova rada: od 2012. u Bugarskoj i Estoniji, 2013. u Latviji i Litvi, 2016. u Češkoj, Mađarskoj i Rumunjskoj. Rast jediničnih troškova rada u većini država članica dodatno je ubrzan 2017</w:t>
      </w:r>
      <w:r>
        <w:rPr>
          <w:rFonts w:ascii="Times New Roman" w:hAnsi="Times New Roman"/>
          <w:noProof/>
        </w:rPr>
        <w:t xml:space="preserve">. na temelju konsolidacije gospodarskog rasta, no bez znatnog povećanja troškova rada u zemljama koje su velike neto vjerovnice. Kao rezultat toga i dalje je aktualan trend kretanja troškovne konkurentnosti koji manje pogoduje rebalansu, koji je započet u </w:t>
      </w:r>
      <w:r>
        <w:rPr>
          <w:rFonts w:ascii="Times New Roman" w:hAnsi="Times New Roman"/>
          <w:noProof/>
        </w:rPr>
        <w:t xml:space="preserve">2016. (vidjeti i okvir 2.). </w:t>
      </w:r>
    </w:p>
    <w:p w:rsidR="00B26ED3" w:rsidRDefault="003423C1">
      <w:pPr>
        <w:numPr>
          <w:ilvl w:val="0"/>
          <w:numId w:val="5"/>
        </w:numPr>
        <w:spacing w:before="120" w:after="120"/>
        <w:ind w:left="567" w:hanging="425"/>
        <w:jc w:val="both"/>
        <w:rPr>
          <w:rFonts w:ascii="Times New Roman" w:eastAsia="Calibri" w:hAnsi="Times New Roman" w:cs="Times New Roman"/>
          <w:noProof/>
        </w:rPr>
      </w:pPr>
      <w:r>
        <w:rPr>
          <w:rFonts w:ascii="Times New Roman" w:hAnsi="Times New Roman"/>
          <w:b/>
          <w:noProof/>
        </w:rPr>
        <w:t>Jedinični troškovi rada u većini država članica ubrzano rastu</w:t>
      </w:r>
      <w:r>
        <w:rPr>
          <w:rFonts w:ascii="Times New Roman" w:hAnsi="Times New Roman"/>
          <w:noProof/>
        </w:rPr>
        <w:t xml:space="preserve">. Rast jediničnih troškova rada u posljednjih nekoliko godina bio je posebno izražen u Bugarskoj, Estoniji, Latviji i Litvi (grafikon </w:t>
      </w:r>
      <w:r>
        <w:rPr>
          <w:rFonts w:ascii="Times New Roman" w:eastAsia="MS Mincho" w:hAnsi="Times New Roman" w:cs="Times New Roman"/>
          <w:bCs/>
          <w:noProof/>
        </w:rPr>
        <w:fldChar w:fldCharType="begin" w:fldLock="1"/>
      </w:r>
      <w:r>
        <w:rPr>
          <w:rFonts w:ascii="Times New Roman" w:eastAsia="MS Mincho" w:hAnsi="Times New Roman" w:cs="Times New Roman"/>
          <w:bCs/>
          <w:noProof/>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rPr>
        <w:t>6</w:t>
      </w:r>
      <w:r>
        <w:rPr>
          <w:rFonts w:ascii="Times New Roman" w:eastAsia="MS Mincho" w:hAnsi="Times New Roman" w:cs="Times New Roman"/>
          <w:bCs/>
          <w:noProof/>
        </w:rPr>
        <w:fldChar w:fldCharType="end"/>
      </w:r>
      <w:r>
        <w:rPr>
          <w:rFonts w:ascii="Times New Roman" w:hAnsi="Times New Roman"/>
          <w:b/>
          <w:noProof/>
        </w:rPr>
        <w:t>)</w:t>
      </w:r>
      <w:r>
        <w:rPr>
          <w:rFonts w:ascii="Times New Roman" w:hAnsi="Times New Roman"/>
          <w:noProof/>
        </w:rPr>
        <w:t>; za s</w:t>
      </w:r>
      <w:r>
        <w:rPr>
          <w:rFonts w:ascii="Times New Roman" w:hAnsi="Times New Roman"/>
          <w:noProof/>
        </w:rPr>
        <w:t xml:space="preserve">ve te države jedinični trošak rada prešao je prag tablice. U 2017. ubrzanja jediničnih troškova rada iz prethodnih godina bila su posebno izražena u Bugarskoj i Rumunjskoj, a u manjoj mjeri i u Češkoj, Luksemburgu i Slovačkoj. Procjene za 2018. upućuju na </w:t>
      </w:r>
      <w:r>
        <w:rPr>
          <w:rFonts w:ascii="Times New Roman" w:hAnsi="Times New Roman"/>
          <w:noProof/>
        </w:rPr>
        <w:t>scenarije kontinuirane dinamičnosti jediničnih troškova rada u mnogim državama, a značajnije se ubrzava u Češkoj, Mađarskoj, Latviji, Litvi i Rumunjskoj, dok se u Bugarskoj usporava, ali ostaje na visokoj razini.</w:t>
      </w:r>
    </w:p>
    <w:p w:rsidR="00B26ED3" w:rsidRDefault="003423C1">
      <w:pPr>
        <w:numPr>
          <w:ilvl w:val="0"/>
          <w:numId w:val="5"/>
        </w:numPr>
        <w:spacing w:before="120" w:after="120"/>
        <w:ind w:left="567" w:hanging="425"/>
        <w:jc w:val="both"/>
        <w:rPr>
          <w:rFonts w:ascii="Times New Roman" w:eastAsia="Calibri" w:hAnsi="Times New Roman" w:cs="Times New Roman"/>
          <w:noProof/>
        </w:rPr>
      </w:pPr>
      <w:r>
        <w:rPr>
          <w:rFonts w:ascii="Times New Roman" w:hAnsi="Times New Roman"/>
          <w:b/>
          <w:noProof/>
        </w:rPr>
        <w:t>Obrazac rasta jediničnih troškova rada među</w:t>
      </w:r>
      <w:r>
        <w:rPr>
          <w:rFonts w:ascii="Times New Roman" w:hAnsi="Times New Roman"/>
          <w:b/>
          <w:noProof/>
        </w:rPr>
        <w:t xml:space="preserve"> državama uglavnom odražava razlike u napetosti tržišta rada.</w:t>
      </w:r>
      <w:r>
        <w:rPr>
          <w:rFonts w:ascii="Times New Roman" w:hAnsi="Times New Roman"/>
          <w:noProof/>
        </w:rPr>
        <w:t xml:space="preserve"> Zemlje u kojima je jedinični trošak rada najbrže rastao najčešće su one koje bilježe niže stope nezaposlenosti (grafikon 8.). Zemlje koje su proteklih godina zabilježile ubrzan rast BDP-a, poseb</w:t>
      </w:r>
      <w:r>
        <w:rPr>
          <w:rFonts w:ascii="Times New Roman" w:hAnsi="Times New Roman"/>
          <w:noProof/>
        </w:rPr>
        <w:t xml:space="preserve">no baltičke zemlje i niz drugih istočnoeuropskih zemalja, imaju nisku </w:t>
      </w:r>
      <w:r>
        <w:rPr>
          <w:rFonts w:ascii="Times New Roman" w:hAnsi="Times New Roman"/>
          <w:noProof/>
        </w:rPr>
        <w:lastRenderedPageBreak/>
        <w:t xml:space="preserve">ili umjerenu nezaposlenost i visoke stope rasta jediničnih troškova rada, dok je dinamika troškova rada općenito suzdržanija u zemljama s većom nezaposlenošću. Takav se odnos temelji na </w:t>
      </w:r>
      <w:r>
        <w:rPr>
          <w:rFonts w:ascii="Times New Roman" w:hAnsi="Times New Roman"/>
          <w:noProof/>
        </w:rPr>
        <w:t xml:space="preserve">dinamici Phillipsove krivulje, no slabo je primjenjiv s obzirom na to da neke zemlje pokazuju stope rasta jediničnih troškova rada koje su mnogo veće od očekivanih, posebno baltičke zemlje, Bugarska, Češka, Mađarska ili Rumunjska. Istovremeno druge zemlje </w:t>
      </w:r>
      <w:r>
        <w:rPr>
          <w:rFonts w:ascii="Times New Roman" w:hAnsi="Times New Roman"/>
          <w:noProof/>
        </w:rPr>
        <w:t>pokazuju niži rast jediničnih troškova rada od očekivanog (npr. Hrvatska, Finska i Irska). U prvoj skupini snažan rast plaća može se povezati i s manjkom radne snage zbog iseljavanja, nedostatka vještina i neusklađenosti ponuđenih i traženih vještina</w:t>
      </w:r>
      <w:r>
        <w:rPr>
          <w:rStyle w:val="FootnoteReference"/>
          <w:rFonts w:ascii="Times New Roman" w:hAnsi="Times New Roman"/>
          <w:noProof/>
        </w:rPr>
        <w:footnoteReference w:id="21"/>
      </w:r>
      <w:r>
        <w:rPr>
          <w:noProof/>
        </w:rPr>
        <w:t>.</w:t>
      </w:r>
    </w:p>
    <w:p w:rsidR="00B26ED3" w:rsidRPr="003423C1" w:rsidRDefault="003423C1">
      <w:pPr>
        <w:numPr>
          <w:ilvl w:val="0"/>
          <w:numId w:val="5"/>
        </w:numPr>
        <w:spacing w:before="120" w:after="120"/>
        <w:ind w:left="567" w:hanging="425"/>
        <w:jc w:val="both"/>
        <w:rPr>
          <w:rFonts w:ascii="Times New Roman" w:eastAsia="Calibri" w:hAnsi="Times New Roman" w:cs="Times New Roman"/>
          <w:noProof/>
          <w:lang w:val="fr-BE"/>
        </w:rPr>
      </w:pPr>
      <w:r w:rsidRPr="003423C1">
        <w:rPr>
          <w:rFonts w:ascii="Times New Roman" w:hAnsi="Times New Roman"/>
          <w:b/>
          <w:noProof/>
          <w:lang w:val="fr-BE"/>
        </w:rPr>
        <w:t>Ras</w:t>
      </w:r>
      <w:r w:rsidRPr="003423C1">
        <w:rPr>
          <w:rFonts w:ascii="Times New Roman" w:hAnsi="Times New Roman"/>
          <w:b/>
          <w:noProof/>
          <w:lang w:val="fr-BE"/>
        </w:rPr>
        <w:t>t nominalnih plaća dao je najveći doprinos rastu jediničnih troškova rada u 2017.</w:t>
      </w:r>
      <w:r w:rsidRPr="003423C1">
        <w:rPr>
          <w:rFonts w:ascii="Times New Roman" w:hAnsi="Times New Roman"/>
          <w:noProof/>
          <w:lang w:val="fr-BE"/>
        </w:rPr>
        <w:t xml:space="preserve"> U većini država članica najveći doprinos rastu jediničnih troškova rada temeljio se na rastu nominalnih plaća, dok je produktivnost rada imala relativno manji utjecaj. Produk</w:t>
      </w:r>
      <w:r w:rsidRPr="003423C1">
        <w:rPr>
          <w:rFonts w:ascii="Times New Roman" w:hAnsi="Times New Roman"/>
          <w:noProof/>
          <w:lang w:val="fr-BE"/>
        </w:rPr>
        <w:t xml:space="preserve">tivnost rada općenito doprinosi usporavanju rasta jediničnih troškova rada zbog produbljivanja kapitala i rasta ukupne faktorske produktivnosti (TFP), dok su smanjeni radni sati često podrazumijevali smanjenu produktivnost (grafikon 7.). </w:t>
      </w:r>
    </w:p>
    <w:p w:rsidR="00B26ED3" w:rsidRPr="003423C1" w:rsidRDefault="003423C1">
      <w:pPr>
        <w:numPr>
          <w:ilvl w:val="0"/>
          <w:numId w:val="5"/>
        </w:numPr>
        <w:spacing w:before="120" w:after="120"/>
        <w:ind w:left="567" w:hanging="425"/>
        <w:jc w:val="both"/>
        <w:rPr>
          <w:rFonts w:ascii="Times New Roman" w:eastAsia="Calibri" w:hAnsi="Times New Roman" w:cs="Times New Roman"/>
          <w:noProof/>
          <w:lang w:val="fr-BE"/>
        </w:rPr>
      </w:pPr>
      <w:r w:rsidRPr="003423C1">
        <w:rPr>
          <w:rFonts w:ascii="Times New Roman" w:hAnsi="Times New Roman"/>
          <w:b/>
          <w:noProof/>
          <w:lang w:val="fr-BE"/>
        </w:rPr>
        <w:t>Obrasci rasta jed</w:t>
      </w:r>
      <w:r w:rsidRPr="003423C1">
        <w:rPr>
          <w:rFonts w:ascii="Times New Roman" w:hAnsi="Times New Roman"/>
          <w:b/>
          <w:noProof/>
          <w:lang w:val="fr-BE"/>
        </w:rPr>
        <w:t xml:space="preserve">iničnih troškova rada sve su manje povezani s potrebama za vanjskim rebalansom. </w:t>
      </w:r>
      <w:r w:rsidRPr="003423C1">
        <w:rPr>
          <w:rFonts w:ascii="Times New Roman" w:hAnsi="Times New Roman"/>
          <w:noProof/>
          <w:lang w:val="fr-BE"/>
        </w:rPr>
        <w:t>Dok je u razdoblju krize nezaposlenost bila veća u zemljama neto dužnicama u kojima je dolazilo do preokreta u stanju tekućeg računa i slijedom toga kompresije potražnje, stope</w:t>
      </w:r>
      <w:r w:rsidRPr="003423C1">
        <w:rPr>
          <w:rFonts w:ascii="Times New Roman" w:hAnsi="Times New Roman"/>
          <w:noProof/>
          <w:lang w:val="fr-BE"/>
        </w:rPr>
        <w:t xml:space="preserve"> nezaposlenosti pomalo se ujednačuju od početka gospodarskog oporavka, što upućuje na to da su obrasci rasta jediničnih troškova rada, koji uglavnom odražavaju različite razine napetosti tržišta rada, sve manje povezani s potrebama za vanjskim rebalansom. </w:t>
      </w:r>
      <w:r w:rsidRPr="003423C1">
        <w:rPr>
          <w:rFonts w:ascii="Times New Roman" w:hAnsi="Times New Roman"/>
          <w:noProof/>
          <w:lang w:val="fr-BE"/>
        </w:rPr>
        <w:t>U 2017. neke zemlje neto dužnice ponovno su zabilježile rast jediničnih troškova rada nakon godina smanjenja ili stagnacije, što je na neki način potvrdilo trend iz 2016., pri čemu je ubrzanje bilo očitije na Cipru, u Grčkoj i Portugalu. Istovremeno, trajn</w:t>
      </w:r>
      <w:r w:rsidRPr="003423C1">
        <w:rPr>
          <w:rFonts w:ascii="Times New Roman" w:hAnsi="Times New Roman"/>
          <w:noProof/>
          <w:lang w:val="fr-BE"/>
        </w:rPr>
        <w:t xml:space="preserve">o napeta tržišta rada u zemljama koje su neto vjerovnice dosad nisu dovela do značajnih ubrzanja rasta plaća. </w:t>
      </w:r>
    </w:p>
    <w:p w:rsidR="00B26ED3" w:rsidRPr="003423C1" w:rsidRDefault="00B26ED3">
      <w:pPr>
        <w:spacing w:before="120" w:after="120"/>
        <w:jc w:val="both"/>
        <w:rPr>
          <w:rFonts w:ascii="Times New Roman" w:eastAsia="Times New Roman" w:hAnsi="Times New Roman" w:cs="Times New Roman"/>
          <w:b/>
          <w:noProof/>
          <w:sz w:val="24"/>
          <w:szCs w:val="24"/>
          <w:lang w:val="fr-BE"/>
        </w:rPr>
      </w:pPr>
    </w:p>
    <w:p w:rsidR="00B26ED3" w:rsidRPr="003423C1" w:rsidRDefault="003423C1">
      <w:pPr>
        <w:keepNext/>
        <w:spacing w:after="120"/>
        <w:jc w:val="center"/>
        <w:rPr>
          <w:rFonts w:ascii="Times New Roman" w:eastAsia="MS Mincho" w:hAnsi="Times New Roman" w:cs="Times New Roman"/>
          <w:b/>
          <w:bCs/>
          <w:noProof/>
          <w:lang w:val="fr-BE"/>
        </w:rPr>
      </w:pPr>
      <w:r w:rsidRPr="003423C1">
        <w:rPr>
          <w:rFonts w:ascii="Times New Roman" w:hAnsi="Times New Roman"/>
          <w:b/>
          <w:noProof/>
          <w:lang w:val="fr-BE"/>
        </w:rPr>
        <w:lastRenderedPageBreak/>
        <w:t>Grafikon 6.: Rast jediničnih troškova rada u posljednjih nekoliko godina</w:t>
      </w:r>
    </w:p>
    <w:p w:rsidR="00B26ED3" w:rsidRDefault="003423C1">
      <w:pPr>
        <w:spacing w:after="120"/>
        <w:jc w:val="center"/>
        <w:rPr>
          <w:rFonts w:ascii="Times New Roman" w:eastAsia="Times New Roman" w:hAnsi="Times New Roman" w:cs="Times New Roman"/>
          <w:b/>
          <w:noProof/>
          <w:sz w:val="24"/>
          <w:szCs w:val="24"/>
        </w:rPr>
      </w:pPr>
      <w:r>
        <w:rPr>
          <w:noProof/>
          <w:lang w:eastAsia="en-GB"/>
        </w:rPr>
        <w:drawing>
          <wp:inline distT="0" distB="0" distL="0" distR="0">
            <wp:extent cx="5172075" cy="2490963"/>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5155" cy="2502079"/>
                    </a:xfrm>
                    <a:prstGeom prst="rect">
                      <a:avLst/>
                    </a:prstGeom>
                    <a:noFill/>
                    <a:ln>
                      <a:noFill/>
                    </a:ln>
                  </pic:spPr>
                </pic:pic>
              </a:graphicData>
            </a:graphic>
          </wp:inline>
        </w:drawing>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AMECO; Podaci za 2018. potječu iz Komisijine jesenske prognoze</w:t>
      </w:r>
      <w:r>
        <w:rPr>
          <w:rFonts w:ascii="Times New Roman" w:hAnsi="Times New Roman"/>
          <w:noProof/>
          <w:sz w:val="20"/>
        </w:rPr>
        <w:t xml:space="preserve"> 2018. </w:t>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Napomena:</w:t>
      </w:r>
      <w:r>
        <w:rPr>
          <w:rFonts w:ascii="Times New Roman" w:hAnsi="Times New Roman"/>
          <w:noProof/>
          <w:sz w:val="20"/>
        </w:rPr>
        <w:t xml:space="preserve"> Zemlje su prikazane rastućim redoslijedom prema rastu jediničnog troška rada u 2017.</w:t>
      </w:r>
    </w:p>
    <w:p w:rsidR="00B26ED3" w:rsidRDefault="00B26ED3">
      <w:pPr>
        <w:spacing w:after="0"/>
        <w:jc w:val="center"/>
        <w:rPr>
          <w:rFonts w:ascii="Times New Roman" w:eastAsia="Times New Roman" w:hAnsi="Times New Roman" w:cs="Times New Roman"/>
          <w:b/>
          <w:noProof/>
        </w:rPr>
      </w:pPr>
    </w:p>
    <w:p w:rsidR="00B26ED3" w:rsidRDefault="003423C1">
      <w:pPr>
        <w:keepNext/>
        <w:spacing w:after="120"/>
        <w:jc w:val="center"/>
        <w:rPr>
          <w:rFonts w:ascii="Times New Roman" w:eastAsia="MS Mincho" w:hAnsi="Times New Roman" w:cs="Times New Roman"/>
          <w:b/>
          <w:bCs/>
          <w:noProof/>
          <w:sz w:val="24"/>
          <w:szCs w:val="20"/>
          <w:lang w:val="sv-SE"/>
        </w:rPr>
      </w:pPr>
      <w:r>
        <w:rPr>
          <w:rFonts w:ascii="Times New Roman" w:hAnsi="Times New Roman"/>
          <w:b/>
          <w:noProof/>
          <w:lang w:val="sv-SE"/>
        </w:rPr>
        <w:t>Grafikon 7.: Rast jediničnih troškova rada i pokretači tog rasta, 2017.</w:t>
      </w:r>
    </w:p>
    <w:p w:rsidR="00B26ED3" w:rsidRDefault="003423C1">
      <w:pPr>
        <w:spacing w:after="120"/>
        <w:jc w:val="center"/>
        <w:rPr>
          <w:rFonts w:ascii="Times New Roman" w:eastAsia="Times New Roman" w:hAnsi="Times New Roman" w:cs="Times New Roman"/>
          <w:b/>
          <w:i/>
          <w:noProof/>
          <w:sz w:val="16"/>
          <w:szCs w:val="20"/>
        </w:rPr>
      </w:pPr>
      <w:r>
        <w:rPr>
          <w:noProof/>
          <w:lang w:eastAsia="en-GB"/>
        </w:rPr>
        <w:drawing>
          <wp:inline distT="0" distB="0" distL="0" distR="0">
            <wp:extent cx="5416158" cy="2419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6024" cy="2423757"/>
                    </a:xfrm>
                    <a:prstGeom prst="rect">
                      <a:avLst/>
                    </a:prstGeom>
                    <a:noFill/>
                    <a:ln>
                      <a:noFill/>
                    </a:ln>
                  </pic:spPr>
                </pic:pic>
              </a:graphicData>
            </a:graphic>
          </wp:inline>
        </w:drawing>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AMECO i izračuni službi Komisije</w:t>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Napomena:</w:t>
      </w:r>
      <w:r>
        <w:rPr>
          <w:rFonts w:ascii="Times New Roman" w:hAnsi="Times New Roman"/>
          <w:noProof/>
          <w:sz w:val="20"/>
        </w:rPr>
        <w:t xml:space="preserve"> Zemlje su prikazane rastućim redoslijedom prema rastu jediničnog troška rada u 2017. Raščlamba se temelji na standardnoj raščlambi rasta jediničnog troška rada prema nominalnoj zaradi po satu i produktivnosti rada, pri čemu se produktivnost rada s pomoću </w:t>
      </w:r>
      <w:r>
        <w:rPr>
          <w:rFonts w:ascii="Times New Roman" w:hAnsi="Times New Roman"/>
          <w:noProof/>
          <w:sz w:val="20"/>
        </w:rPr>
        <w:t xml:space="preserve">standardnog okvira za analizu rasta dalje raščlanjuje na doprinos radnih sati, ukupnu faktorsku produktivnost i akumulaciju kapitala. </w:t>
      </w:r>
    </w:p>
    <w:p w:rsidR="00B26ED3" w:rsidRDefault="00B26ED3">
      <w:pPr>
        <w:spacing w:before="120" w:after="120"/>
        <w:jc w:val="both"/>
        <w:rPr>
          <w:rFonts w:ascii="Times New Roman" w:eastAsia="Times New Roman" w:hAnsi="Times New Roman" w:cs="Times New Roman"/>
          <w:noProof/>
          <w:sz w:val="20"/>
          <w:szCs w:val="20"/>
        </w:rPr>
      </w:pPr>
    </w:p>
    <w:p w:rsidR="00B26ED3" w:rsidRDefault="003423C1">
      <w:pPr>
        <w:keepNext/>
        <w:spacing w:before="120" w:after="120"/>
        <w:jc w:val="center"/>
        <w:rPr>
          <w:rFonts w:ascii="Times New Roman" w:eastAsia="MS Mincho" w:hAnsi="Times New Roman" w:cs="Times New Roman"/>
          <w:b/>
          <w:bCs/>
          <w:noProof/>
        </w:rPr>
      </w:pPr>
      <w:r>
        <w:rPr>
          <w:rFonts w:ascii="Times New Roman" w:hAnsi="Times New Roman"/>
          <w:b/>
          <w:noProof/>
        </w:rPr>
        <w:lastRenderedPageBreak/>
        <w:t>Grafikon 8.: Rast jediničnih troškova rada i stopa nezaposlenosti</w:t>
      </w:r>
    </w:p>
    <w:p w:rsidR="00B26ED3" w:rsidRDefault="003423C1">
      <w:pPr>
        <w:spacing w:before="120" w:after="120"/>
        <w:jc w:val="center"/>
        <w:rPr>
          <w:rFonts w:ascii="Times New Roman" w:eastAsia="Times New Roman" w:hAnsi="Times New Roman" w:cs="Times New Roman"/>
          <w:b/>
          <w:noProof/>
          <w:sz w:val="24"/>
          <w:szCs w:val="24"/>
        </w:rPr>
      </w:pPr>
      <w:r>
        <w:rPr>
          <w:noProof/>
          <w:lang w:eastAsia="en-GB"/>
        </w:rPr>
        <w:drawing>
          <wp:inline distT="0" distB="0" distL="0" distR="0">
            <wp:extent cx="3048000" cy="2905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2905125"/>
                    </a:xfrm>
                    <a:prstGeom prst="rect">
                      <a:avLst/>
                    </a:prstGeom>
                    <a:noFill/>
                    <a:ln>
                      <a:noFill/>
                    </a:ln>
                  </pic:spPr>
                </pic:pic>
              </a:graphicData>
            </a:graphic>
          </wp:inline>
        </w:drawing>
      </w:r>
    </w:p>
    <w:p w:rsidR="00B26ED3" w:rsidRDefault="003423C1">
      <w:pPr>
        <w:spacing w:before="120" w:after="120"/>
        <w:jc w:val="both"/>
        <w:rPr>
          <w:rFonts w:ascii="Times New Roman" w:eastAsia="Times New Roman" w:hAnsi="Times New Roman" w:cs="Times New Roman"/>
          <w:i/>
          <w:noProof/>
          <w:sz w:val="20"/>
          <w:szCs w:val="24"/>
        </w:rPr>
      </w:pPr>
      <w:r>
        <w:rPr>
          <w:rFonts w:ascii="Times New Roman" w:hAnsi="Times New Roman"/>
          <w:i/>
          <w:noProof/>
          <w:sz w:val="20"/>
        </w:rPr>
        <w:t xml:space="preserve">Izvor: </w:t>
      </w:r>
      <w:r>
        <w:rPr>
          <w:rFonts w:ascii="Times New Roman" w:hAnsi="Times New Roman"/>
          <w:noProof/>
          <w:sz w:val="20"/>
        </w:rPr>
        <w:t>AMECO</w:t>
      </w:r>
    </w:p>
    <w:p w:rsidR="00B26ED3" w:rsidRDefault="00B26ED3">
      <w:pPr>
        <w:spacing w:before="120" w:after="120"/>
        <w:jc w:val="center"/>
        <w:rPr>
          <w:rFonts w:ascii="Times New Roman" w:eastAsia="Times New Roman" w:hAnsi="Times New Roman" w:cs="Times New Roman"/>
          <w:b/>
          <w:noProof/>
          <w:sz w:val="24"/>
          <w:szCs w:val="24"/>
        </w:rPr>
      </w:pPr>
    </w:p>
    <w:p w:rsidR="00B26ED3" w:rsidRDefault="003423C1">
      <w:pPr>
        <w:spacing w:before="120" w:after="120"/>
        <w:jc w:val="both"/>
        <w:rPr>
          <w:rFonts w:ascii="Times New Roman" w:eastAsia="Times New Roman" w:hAnsi="Times New Roman" w:cs="Times New Roman"/>
          <w:noProof/>
        </w:rPr>
      </w:pPr>
      <w:r>
        <w:rPr>
          <w:rFonts w:ascii="Times New Roman" w:hAnsi="Times New Roman"/>
          <w:b/>
          <w:noProof/>
        </w:rPr>
        <w:t xml:space="preserve">Kretanja cjenovne konkurentnosti koja se mjere realnim efektivnim tečajnim stopama (REER-ovi) samo djelomično odražavaju promjene troškovne konkurentnosti koje se temelje na jediničnim troškovima rada. </w:t>
      </w:r>
      <w:r>
        <w:rPr>
          <w:rFonts w:ascii="Times New Roman" w:hAnsi="Times New Roman"/>
          <w:noProof/>
        </w:rPr>
        <w:t xml:space="preserve">Razlike u rastu jediničnih troškova rada dovele su do </w:t>
      </w:r>
      <w:r>
        <w:rPr>
          <w:rFonts w:ascii="Times New Roman" w:hAnsi="Times New Roman"/>
          <w:noProof/>
        </w:rPr>
        <w:t>povećanja i smanjenja troškovne konkurentnosti za države članice EU-a kada se mjere REER-ovima temeljenima na jediničnom trošku rada, pri čemu se u obzir uzimaju i promjene u rastu jediničnih troškova rada u odnosu na konkurente na domaćim tržištima i trži</w:t>
      </w:r>
      <w:r>
        <w:rPr>
          <w:rFonts w:ascii="Times New Roman" w:hAnsi="Times New Roman"/>
          <w:noProof/>
        </w:rPr>
        <w:t xml:space="preserve">štima trećih zemalja, kao i kretanja nominalnih tečajnih stopa (grafikon 9.). </w:t>
      </w:r>
    </w:p>
    <w:p w:rsidR="00B26ED3" w:rsidRDefault="003423C1">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Posljednjih godina </w:t>
      </w:r>
      <w:r>
        <w:rPr>
          <w:rFonts w:ascii="Times New Roman" w:hAnsi="Times New Roman"/>
          <w:b/>
          <w:noProof/>
        </w:rPr>
        <w:t>većina država članica europodručja zabilježila je smanjenje REER-a temeljenog na jediničnom trošku rada</w:t>
      </w:r>
      <w:r>
        <w:rPr>
          <w:rFonts w:ascii="Times New Roman" w:hAnsi="Times New Roman"/>
          <w:noProof/>
        </w:rPr>
        <w:t xml:space="preserve">, što znači da su od 2016. relativna smanjenja troškova rada bila dostatna da nadoknade efektivnu aprecijaciju eura. Međutim </w:t>
      </w:r>
      <w:r>
        <w:rPr>
          <w:rFonts w:ascii="Times New Roman" w:hAnsi="Times New Roman"/>
          <w:b/>
          <w:noProof/>
        </w:rPr>
        <w:t>nekoliko je zemalja europodručja</w:t>
      </w:r>
      <w:r>
        <w:rPr>
          <w:rFonts w:ascii="Times New Roman" w:hAnsi="Times New Roman"/>
          <w:noProof/>
        </w:rPr>
        <w:t xml:space="preserve">, </w:t>
      </w:r>
      <w:r>
        <w:rPr>
          <w:rFonts w:ascii="Times New Roman" w:hAnsi="Times New Roman"/>
          <w:b/>
          <w:noProof/>
        </w:rPr>
        <w:t>posebno baltičke zemlje, zabilježilo gubitke troškovne konkurentnosti</w:t>
      </w:r>
      <w:r>
        <w:rPr>
          <w:rFonts w:ascii="Times New Roman" w:hAnsi="Times New Roman"/>
          <w:noProof/>
        </w:rPr>
        <w:t xml:space="preserve"> mjerene REER-om temeljenom </w:t>
      </w:r>
      <w:r>
        <w:rPr>
          <w:rFonts w:ascii="Times New Roman" w:hAnsi="Times New Roman"/>
          <w:noProof/>
        </w:rPr>
        <w:t xml:space="preserve">na jediničnom trošku rada. U zemljama izvan europodručja promjene REER-a temeljenog na jediničnom trošku rada uglavnom su se odnosile na fluktuacije nominalne tečajne stope mjerene nominalnim efektivnim tečajnim stopama (NEER-ovi). Deprecijacija je dovela </w:t>
      </w:r>
      <w:r>
        <w:rPr>
          <w:rFonts w:ascii="Times New Roman" w:hAnsi="Times New Roman"/>
          <w:noProof/>
        </w:rPr>
        <w:t>do povećanje konkurentnosti u Poljskoj, Rumunjskoj, Švedskoj i Ujedinjenoj Kraljevini; aprecijacija je imala veći utjecaj u Bugarskoj i Češkoj. Posljednjih godina povećanje troškovne konkurentnosti koje se mjeri promjenama REER-a temeljenog na jediničnom t</w:t>
      </w:r>
      <w:r>
        <w:rPr>
          <w:rFonts w:ascii="Times New Roman" w:hAnsi="Times New Roman"/>
          <w:noProof/>
        </w:rPr>
        <w:t>rošku rada u načelu je bilo veće u zemljama neto dužnicama. To opažanje odgovara prethodno navedenim činjenicama koje se odnose na dinamiku jediničnih troškova rada.</w:t>
      </w:r>
    </w:p>
    <w:p w:rsidR="00B26ED3" w:rsidRDefault="003423C1">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Dinamike konkurentnosti cijena</w:t>
      </w:r>
      <w:r>
        <w:rPr>
          <w:rFonts w:ascii="Times New Roman" w:hAnsi="Times New Roman"/>
          <w:noProof/>
        </w:rPr>
        <w:t xml:space="preserve">, koje se mjere REER-om temeljenim na deflatoru BDP-a, </w:t>
      </w:r>
      <w:r>
        <w:rPr>
          <w:rFonts w:ascii="Times New Roman" w:hAnsi="Times New Roman"/>
          <w:b/>
          <w:noProof/>
        </w:rPr>
        <w:t xml:space="preserve">bile </w:t>
      </w:r>
      <w:r>
        <w:rPr>
          <w:rFonts w:ascii="Times New Roman" w:hAnsi="Times New Roman"/>
          <w:b/>
          <w:noProof/>
        </w:rPr>
        <w:t>su više ograničene nego dinamike troškovne konkurentnosti,</w:t>
      </w:r>
      <w:r>
        <w:rPr>
          <w:rFonts w:ascii="Times New Roman" w:hAnsi="Times New Roman"/>
          <w:noProof/>
        </w:rPr>
        <w:t xml:space="preserve"> koje se mjere REER-om temeljenom na jediničnom trošku rada. To znači da je dio promjena jediničnih troškova rada utjecao na razlike između cijene i troška i da nije prenesen u cijene (grafikon 9.).</w:t>
      </w:r>
      <w:r>
        <w:rPr>
          <w:rFonts w:ascii="Times New Roman" w:hAnsi="Times New Roman"/>
          <w:noProof/>
        </w:rPr>
        <w:t xml:space="preserve"> Dokazi </w:t>
      </w:r>
      <w:r>
        <w:rPr>
          <w:rFonts w:ascii="Times New Roman" w:hAnsi="Times New Roman"/>
          <w:noProof/>
        </w:rPr>
        <w:lastRenderedPageBreak/>
        <w:t xml:space="preserve">upućuju na to da je </w:t>
      </w:r>
      <w:r>
        <w:rPr>
          <w:rFonts w:ascii="Times New Roman" w:hAnsi="Times New Roman"/>
          <w:b/>
          <w:noProof/>
        </w:rPr>
        <w:t>kompresija marže</w:t>
      </w:r>
      <w:r>
        <w:rPr>
          <w:rFonts w:ascii="Times New Roman" w:hAnsi="Times New Roman"/>
          <w:noProof/>
        </w:rPr>
        <w:t xml:space="preserve"> bila posebno izražena u zemljama u kojima je zabilježen velik gubitak troškovne konkurentnosti, posebno u baltičkim državama, Bugarskoj i Rumunjskoj</w:t>
      </w:r>
      <w:r>
        <w:rPr>
          <w:rStyle w:val="FootnoteReference"/>
          <w:rFonts w:ascii="Times New Roman" w:hAnsi="Times New Roman"/>
          <w:noProof/>
        </w:rPr>
        <w:footnoteReference w:id="22"/>
      </w:r>
      <w:r>
        <w:rPr>
          <w:noProof/>
        </w:rPr>
        <w:t>.</w:t>
      </w:r>
      <w:r>
        <w:rPr>
          <w:rFonts w:ascii="Times New Roman" w:hAnsi="Times New Roman"/>
          <w:noProof/>
        </w:rPr>
        <w:t xml:space="preserve"> </w:t>
      </w:r>
    </w:p>
    <w:p w:rsidR="00B26ED3" w:rsidRPr="003423C1" w:rsidRDefault="003423C1">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val="fr-BE"/>
        </w:rPr>
      </w:pPr>
      <w:r>
        <w:rPr>
          <w:rFonts w:ascii="Times New Roman" w:hAnsi="Times New Roman"/>
          <w:noProof/>
        </w:rPr>
        <w:t xml:space="preserve">U velikom broju zemalja vrlo umjerene ili </w:t>
      </w:r>
      <w:r>
        <w:rPr>
          <w:rFonts w:ascii="Times New Roman" w:hAnsi="Times New Roman"/>
          <w:b/>
          <w:noProof/>
        </w:rPr>
        <w:t>negativne stope i</w:t>
      </w:r>
      <w:r>
        <w:rPr>
          <w:rFonts w:ascii="Times New Roman" w:hAnsi="Times New Roman"/>
          <w:b/>
          <w:noProof/>
        </w:rPr>
        <w:t>nflacije potrošačkih cijena</w:t>
      </w:r>
      <w:r>
        <w:rPr>
          <w:rFonts w:ascii="Times New Roman" w:hAnsi="Times New Roman"/>
          <w:noProof/>
        </w:rPr>
        <w:t xml:space="preserve"> odrazile su se u velikom </w:t>
      </w:r>
      <w:r>
        <w:rPr>
          <w:rFonts w:ascii="Times New Roman" w:hAnsi="Times New Roman"/>
          <w:b/>
          <w:noProof/>
        </w:rPr>
        <w:t>rastu konkurentnosti</w:t>
      </w:r>
      <w:r>
        <w:rPr>
          <w:rFonts w:ascii="Times New Roman" w:hAnsi="Times New Roman"/>
          <w:noProof/>
        </w:rPr>
        <w:t xml:space="preserve"> koji se mjeri REER-om temeljenom na HICP-u. </w:t>
      </w:r>
      <w:r w:rsidRPr="003423C1">
        <w:rPr>
          <w:rFonts w:ascii="Times New Roman" w:hAnsi="Times New Roman"/>
          <w:noProof/>
          <w:lang w:val="fr-BE"/>
        </w:rPr>
        <w:t xml:space="preserve">Dvije zemlje, Cipar i Irska, bile su ispod donjeg praga tablice rezultata u 2017. U većini je zemalja </w:t>
      </w:r>
      <w:r w:rsidRPr="003423C1">
        <w:rPr>
          <w:rFonts w:ascii="Times New Roman" w:hAnsi="Times New Roman"/>
          <w:b/>
          <w:noProof/>
          <w:lang w:val="fr-BE"/>
        </w:rPr>
        <w:t>trenutačni konkurentski položaj povo</w:t>
      </w:r>
      <w:r w:rsidRPr="003423C1">
        <w:rPr>
          <w:rFonts w:ascii="Times New Roman" w:hAnsi="Times New Roman"/>
          <w:b/>
          <w:noProof/>
          <w:lang w:val="fr-BE"/>
        </w:rPr>
        <w:t>ljniji od onoga prije krize jer je razina REER-a na temelju HIPC-a</w:t>
      </w:r>
      <w:r w:rsidRPr="003423C1">
        <w:rPr>
          <w:rFonts w:ascii="Times New Roman" w:hAnsi="Times New Roman"/>
          <w:noProof/>
          <w:lang w:val="fr-BE"/>
        </w:rPr>
        <w:t xml:space="preserve"> niža od one zabilježene na prethodnim najvećim razinama. Realna se deprecijacija u većini slučajeva poklopila sa smanjenjem relativne cijene nerazmjenjivih dobara i povećanim udjelom razmje</w:t>
      </w:r>
      <w:r w:rsidRPr="003423C1">
        <w:rPr>
          <w:rFonts w:ascii="Times New Roman" w:hAnsi="Times New Roman"/>
          <w:noProof/>
          <w:lang w:val="fr-BE"/>
        </w:rPr>
        <w:t xml:space="preserve">njivih dobara u gospodarstvu, čime se poboljšava potencijal za dinamiku rasta koja se temelji na izvozu. No u nekoliko zemalja, posebno u Austriji, Estoniji i Litvi, trenutačni iznosi REER-a koji se temelji na HICP-u blizu su ili iznad prethodnih najvećih </w:t>
      </w:r>
      <w:r w:rsidRPr="003423C1">
        <w:rPr>
          <w:rFonts w:ascii="Times New Roman" w:hAnsi="Times New Roman"/>
          <w:noProof/>
          <w:lang w:val="fr-BE"/>
        </w:rPr>
        <w:t xml:space="preserve">razina. </w:t>
      </w:r>
    </w:p>
    <w:p w:rsidR="00B26ED3" w:rsidRPr="003423C1" w:rsidRDefault="00B26ED3">
      <w:pPr>
        <w:pStyle w:val="ListParagraph"/>
        <w:spacing w:before="120" w:after="120"/>
        <w:ind w:left="567"/>
        <w:contextualSpacing w:val="0"/>
        <w:jc w:val="both"/>
        <w:rPr>
          <w:rFonts w:ascii="Times New Roman" w:eastAsia="Times New Roman" w:hAnsi="Times New Roman" w:cs="Times New Roman"/>
          <w:b/>
          <w:noProof/>
          <w:lang w:val="fr-BE"/>
        </w:rPr>
      </w:pPr>
    </w:p>
    <w:p w:rsidR="00B26ED3" w:rsidRDefault="003423C1">
      <w:pPr>
        <w:keepNext/>
        <w:spacing w:before="120" w:after="120"/>
        <w:jc w:val="center"/>
        <w:rPr>
          <w:rFonts w:ascii="Times New Roman" w:eastAsia="MS Mincho" w:hAnsi="Times New Roman" w:cs="Times New Roman"/>
          <w:b/>
          <w:bCs/>
          <w:noProof/>
        </w:rPr>
      </w:pPr>
      <w:r>
        <w:rPr>
          <w:rFonts w:ascii="Times New Roman" w:hAnsi="Times New Roman"/>
          <w:b/>
          <w:noProof/>
        </w:rPr>
        <w:t>Grafikon 9.: nominalne i realne efektivne tečajne stope (NEER i REER)</w:t>
      </w:r>
    </w:p>
    <w:p w:rsidR="00B26ED3" w:rsidRDefault="003423C1">
      <w:pPr>
        <w:keepNext/>
        <w:spacing w:before="120" w:after="120"/>
        <w:jc w:val="center"/>
        <w:rPr>
          <w:rFonts w:ascii="Times New Roman" w:eastAsia="MS Mincho" w:hAnsi="Times New Roman" w:cs="Times New Roman"/>
          <w:b/>
          <w:bCs/>
          <w:noProof/>
        </w:rPr>
      </w:pPr>
      <w:r>
        <w:rPr>
          <w:noProof/>
          <w:lang w:eastAsia="en-GB"/>
        </w:rPr>
        <w:drawing>
          <wp:inline distT="0" distB="0" distL="0" distR="0">
            <wp:extent cx="5005829" cy="2930687"/>
            <wp:effectExtent l="0" t="0" r="444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5697" cy="2930610"/>
                    </a:xfrm>
                    <a:prstGeom prst="rect">
                      <a:avLst/>
                    </a:prstGeom>
                    <a:noFill/>
                    <a:ln>
                      <a:noFill/>
                    </a:ln>
                  </pic:spPr>
                </pic:pic>
              </a:graphicData>
            </a:graphic>
          </wp:inline>
        </w:drawing>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AMECO</w:t>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Napomena:</w:t>
      </w:r>
      <w:r>
        <w:rPr>
          <w:rFonts w:ascii="Times New Roman" w:hAnsi="Times New Roman"/>
          <w:noProof/>
          <w:sz w:val="20"/>
        </w:rPr>
        <w:t xml:space="preserve"> Zemlje su prikazane rastućim redoslijedom prema prosječnoj godišnjoj promjeni realne efektivne tečajne stope (REER) na temelju rasta jediničnih troškov</w:t>
      </w:r>
      <w:r>
        <w:rPr>
          <w:rFonts w:ascii="Times New Roman" w:hAnsi="Times New Roman"/>
          <w:noProof/>
          <w:sz w:val="20"/>
        </w:rPr>
        <w:t>a rada od 2015. do 2017. REER-ovi na temelju jediničnih troškova rada i deflatora BDP-a te nominalne efektivne tečajne stope (NEER) izračunavaju se u odnosu na 37 trgovinskih partnera; REER na temelju HIPC-a izračunava se u odnosu na 42 trgovinska partnera</w:t>
      </w:r>
      <w:r>
        <w:rPr>
          <w:rFonts w:ascii="Times New Roman" w:hAnsi="Times New Roman"/>
          <w:noProof/>
          <w:sz w:val="20"/>
        </w:rPr>
        <w:t xml:space="preserve"> kao u tablici rezultata IMU-a.</w:t>
      </w:r>
    </w:p>
    <w:p w:rsidR="00B26ED3" w:rsidRDefault="00B26ED3">
      <w:pPr>
        <w:spacing w:before="120" w:after="120"/>
        <w:jc w:val="both"/>
        <w:rPr>
          <w:rFonts w:ascii="Times New Roman" w:eastAsia="Times New Roman" w:hAnsi="Times New Roman" w:cs="Times New Roman"/>
          <w:noProof/>
          <w:sz w:val="20"/>
          <w:szCs w:val="20"/>
        </w:rPr>
      </w:pPr>
    </w:p>
    <w:p w:rsidR="00B26ED3" w:rsidRDefault="003423C1">
      <w:pPr>
        <w:rPr>
          <w:rFonts w:ascii="Times New Roman" w:eastAsia="Times New Roman" w:hAnsi="Times New Roman" w:cs="Times New Roman"/>
          <w:b/>
          <w:noProof/>
        </w:rPr>
      </w:pPr>
      <w:r>
        <w:rPr>
          <w:noProof/>
        </w:rPr>
        <w:br w:type="page"/>
      </w:r>
    </w:p>
    <w:p w:rsidR="00B26ED3" w:rsidRDefault="003423C1">
      <w:pPr>
        <w:spacing w:before="120" w:after="120"/>
        <w:jc w:val="both"/>
        <w:rPr>
          <w:rFonts w:ascii="Times New Roman" w:eastAsia="Times New Roman" w:hAnsi="Times New Roman" w:cs="Times New Roman"/>
          <w:noProof/>
        </w:rPr>
      </w:pPr>
      <w:r>
        <w:rPr>
          <w:rFonts w:ascii="Times New Roman" w:hAnsi="Times New Roman"/>
          <w:b/>
          <w:noProof/>
        </w:rPr>
        <w:lastRenderedPageBreak/>
        <w:t>U većini država članica EU-a bilježe se povećanja udjela na izvoznom tržištu, ali smanjuju se opsegom</w:t>
      </w:r>
      <w:r>
        <w:rPr>
          <w:rFonts w:ascii="Times New Roman" w:hAnsi="Times New Roman"/>
          <w:noProof/>
        </w:rPr>
        <w:t xml:space="preserve">. Kumulativna promjena udjela na izvoznom tržištu tijekom 5 godina zabilježena u 2017. pokazuje pozitivne vrijednosti u </w:t>
      </w:r>
      <w:r>
        <w:rPr>
          <w:rFonts w:ascii="Times New Roman" w:hAnsi="Times New Roman"/>
          <w:noProof/>
        </w:rPr>
        <w:t>većini država članica EU-a, a samo su u jednoj zemlji (Grčkoj) gubici udjela na izvoznom tržištu nisu bili unutar praga tablice rezultata. Noviji podaci pokazuju diferenciranu sliku; povećanja još prevladavaju ali u 2017. postaju umjerenija s obzirom na ap</w:t>
      </w:r>
      <w:r>
        <w:rPr>
          <w:rFonts w:ascii="Times New Roman" w:hAnsi="Times New Roman"/>
          <w:noProof/>
        </w:rPr>
        <w:t>recijaciju eura i manje pogodne dinamike cijena robe. Istovremeno kad su se 2017. izvozne aktivnosti država članica EU-a nastavile oporavljati, rast izvoza u drugim gospodarstvima približio se rastu izvoza EU-a 2017. s ubrzanjem iz prethodnih godina</w:t>
      </w:r>
      <w:r>
        <w:rPr>
          <w:rStyle w:val="FootnoteReference"/>
          <w:rFonts w:ascii="Times New Roman" w:hAnsi="Times New Roman"/>
          <w:noProof/>
        </w:rPr>
        <w:footnoteReference w:id="23"/>
      </w:r>
      <w:r>
        <w:rPr>
          <w:rFonts w:ascii="Times New Roman" w:hAnsi="Times New Roman"/>
          <w:noProof/>
        </w:rPr>
        <w:t>.</w:t>
      </w:r>
    </w:p>
    <w:p w:rsidR="00B26ED3" w:rsidRDefault="003423C1">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Pret</w:t>
      </w:r>
      <w:r>
        <w:rPr>
          <w:rFonts w:ascii="Times New Roman" w:hAnsi="Times New Roman"/>
          <w:noProof/>
        </w:rPr>
        <w:t xml:space="preserve">hodnom ukupnom pozitivnom trendu u pogledu udjela na izvoznom tržištu za EU pogodovalo je ponovno povećanje potražnje za izvozom unutar EU-a i povećanje konkurentnosti, kako je prethodno navedeno. </w:t>
      </w:r>
      <w:r>
        <w:rPr>
          <w:rFonts w:ascii="Times New Roman" w:hAnsi="Times New Roman"/>
          <w:b/>
          <w:noProof/>
        </w:rPr>
        <w:t xml:space="preserve">Povećanja tržišnog udjela bila su općenito više izražena u </w:t>
      </w:r>
      <w:r>
        <w:rPr>
          <w:rFonts w:ascii="Times New Roman" w:hAnsi="Times New Roman"/>
          <w:b/>
          <w:noProof/>
        </w:rPr>
        <w:t>zemljama neto dužnicama i zemljama srednje i istočne Europe</w:t>
      </w:r>
      <w:r>
        <w:rPr>
          <w:rFonts w:ascii="Times New Roman" w:hAnsi="Times New Roman"/>
          <w:noProof/>
        </w:rPr>
        <w:t xml:space="preserve">, što znači da se veći rast konkurentnosti u tim zemljama uglavnom prenosi u prednost u pogledu prodora izvoza. </w:t>
      </w:r>
    </w:p>
    <w:p w:rsidR="00B26ED3" w:rsidRDefault="003423C1">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Noviji podaci o promjenama godišnjeg tržišnog udjela ukazuju na povećanja u 2016., nakon čega slijede umjereniji rezultati za 2017. (grafikon 10.). </w:t>
      </w:r>
      <w:r>
        <w:rPr>
          <w:rFonts w:ascii="Times New Roman" w:hAnsi="Times New Roman"/>
          <w:b/>
          <w:noProof/>
        </w:rPr>
        <w:t>Povećanja u 2017. postaju umjerenija u gotovo svim državama članicama EU-a</w:t>
      </w:r>
      <w:r>
        <w:rPr>
          <w:rFonts w:ascii="Times New Roman" w:hAnsi="Times New Roman"/>
          <w:noProof/>
        </w:rPr>
        <w:t>, dok su u Grčkoj i Litvi zabiljež</w:t>
      </w:r>
      <w:r>
        <w:rPr>
          <w:rFonts w:ascii="Times New Roman" w:hAnsi="Times New Roman"/>
          <w:noProof/>
        </w:rPr>
        <w:t>ena veća povećanja, što odražava preokret trenda velikih gubitaka u prethodnom razdoblju.</w:t>
      </w:r>
    </w:p>
    <w:p w:rsidR="00B26ED3" w:rsidRDefault="00B26ED3">
      <w:pPr>
        <w:spacing w:before="120" w:after="120"/>
        <w:jc w:val="center"/>
        <w:rPr>
          <w:rFonts w:ascii="Times New Roman" w:eastAsia="Times New Roman" w:hAnsi="Times New Roman" w:cs="Times New Roman"/>
          <w:b/>
          <w:noProof/>
          <w:sz w:val="24"/>
          <w:szCs w:val="24"/>
        </w:rPr>
      </w:pPr>
    </w:p>
    <w:p w:rsidR="00B26ED3" w:rsidRDefault="003423C1">
      <w:pPr>
        <w:keepNext/>
        <w:spacing w:before="120" w:after="120"/>
        <w:jc w:val="center"/>
        <w:rPr>
          <w:rFonts w:ascii="Times New Roman" w:eastAsia="MS Mincho" w:hAnsi="Times New Roman" w:cs="Times New Roman"/>
          <w:b/>
          <w:bCs/>
          <w:noProof/>
        </w:rPr>
      </w:pPr>
      <w:r>
        <w:rPr>
          <w:rFonts w:ascii="Times New Roman" w:hAnsi="Times New Roman"/>
          <w:b/>
          <w:noProof/>
        </w:rPr>
        <w:t>Grafikon 10.: Promjena udjela na izvoznom tržištu u posljednjih nekoliko godina</w:t>
      </w:r>
    </w:p>
    <w:p w:rsidR="00B26ED3" w:rsidRDefault="003423C1">
      <w:pPr>
        <w:spacing w:before="120" w:after="120"/>
        <w:jc w:val="center"/>
        <w:rPr>
          <w:rFonts w:ascii="Times New Roman" w:eastAsia="Times New Roman" w:hAnsi="Times New Roman" w:cs="Times New Roman"/>
          <w:b/>
          <w:noProof/>
          <w:sz w:val="24"/>
          <w:szCs w:val="24"/>
        </w:rPr>
      </w:pPr>
      <w:r>
        <w:rPr>
          <w:noProof/>
          <w:lang w:eastAsia="en-GB"/>
        </w:rPr>
        <w:drawing>
          <wp:inline distT="0" distB="0" distL="0" distR="0">
            <wp:extent cx="5257800" cy="2828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7800" cy="2828925"/>
                    </a:xfrm>
                    <a:prstGeom prst="rect">
                      <a:avLst/>
                    </a:prstGeom>
                    <a:noFill/>
                    <a:ln>
                      <a:noFill/>
                    </a:ln>
                  </pic:spPr>
                </pic:pic>
              </a:graphicData>
            </a:graphic>
          </wp:inline>
        </w:drawing>
      </w:r>
    </w:p>
    <w:p w:rsidR="00B26ED3" w:rsidRPr="003423C1" w:rsidRDefault="003423C1">
      <w:pPr>
        <w:spacing w:after="0"/>
        <w:jc w:val="both"/>
        <w:rPr>
          <w:rFonts w:ascii="Times New Roman" w:eastAsia="Times New Roman" w:hAnsi="Times New Roman" w:cs="Times New Roman"/>
          <w:noProof/>
          <w:sz w:val="20"/>
          <w:szCs w:val="20"/>
          <w:lang w:val="fr-BE"/>
        </w:rPr>
      </w:pPr>
      <w:r w:rsidRPr="003423C1">
        <w:rPr>
          <w:rFonts w:ascii="Times New Roman" w:hAnsi="Times New Roman"/>
          <w:i/>
          <w:noProof/>
          <w:sz w:val="20"/>
          <w:lang w:val="fr-BE"/>
        </w:rPr>
        <w:t>Izvor:</w:t>
      </w:r>
      <w:r w:rsidRPr="003423C1">
        <w:rPr>
          <w:rFonts w:ascii="Times New Roman" w:hAnsi="Times New Roman"/>
          <w:noProof/>
          <w:sz w:val="20"/>
          <w:lang w:val="fr-BE"/>
        </w:rPr>
        <w:t xml:space="preserve"> Eurostat, izračuni službi Komisije.</w:t>
      </w:r>
    </w:p>
    <w:p w:rsidR="00B26ED3" w:rsidRPr="003423C1" w:rsidRDefault="003423C1">
      <w:pPr>
        <w:spacing w:after="0"/>
        <w:jc w:val="both"/>
        <w:rPr>
          <w:rFonts w:ascii="Times New Roman" w:eastAsia="Times New Roman" w:hAnsi="Times New Roman" w:cs="Times New Roman"/>
          <w:i/>
          <w:noProof/>
          <w:sz w:val="20"/>
          <w:szCs w:val="20"/>
          <w:lang w:val="fr-BE"/>
        </w:rPr>
      </w:pPr>
      <w:r w:rsidRPr="003423C1">
        <w:rPr>
          <w:rFonts w:ascii="Times New Roman" w:hAnsi="Times New Roman"/>
          <w:i/>
          <w:noProof/>
          <w:sz w:val="20"/>
          <w:lang w:val="fr-BE"/>
        </w:rPr>
        <w:t xml:space="preserve">Napomena: </w:t>
      </w:r>
      <w:r w:rsidRPr="003423C1">
        <w:rPr>
          <w:rFonts w:ascii="Times New Roman" w:hAnsi="Times New Roman"/>
          <w:noProof/>
          <w:sz w:val="20"/>
          <w:lang w:val="fr-BE"/>
        </w:rPr>
        <w:t xml:space="preserve">Zemlje su prikazane rastućim </w:t>
      </w:r>
      <w:r w:rsidRPr="003423C1">
        <w:rPr>
          <w:rFonts w:ascii="Times New Roman" w:hAnsi="Times New Roman"/>
          <w:noProof/>
          <w:sz w:val="20"/>
          <w:lang w:val="fr-BE"/>
        </w:rPr>
        <w:t>redoslijedom prema godišnjoj promjeni udjela na izvoznom tržištu u 2017.</w:t>
      </w:r>
    </w:p>
    <w:p w:rsidR="00B26ED3" w:rsidRPr="003423C1" w:rsidRDefault="003423C1">
      <w:pPr>
        <w:rPr>
          <w:rFonts w:ascii="Times New Roman" w:eastAsia="Times New Roman" w:hAnsi="Times New Roman" w:cs="Times New Roman"/>
          <w:i/>
          <w:noProof/>
          <w:sz w:val="20"/>
          <w:szCs w:val="20"/>
          <w:lang w:val="fr-BE"/>
        </w:rPr>
      </w:pPr>
      <w:r w:rsidRPr="003423C1">
        <w:rPr>
          <w:noProof/>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B26ED3">
        <w:tc>
          <w:tcPr>
            <w:tcW w:w="9288" w:type="dxa"/>
            <w:shd w:val="clear" w:color="auto" w:fill="BFBFBF" w:themeFill="background1" w:themeFillShade="BF"/>
          </w:tcPr>
          <w:p w:rsidR="00B26ED3" w:rsidRPr="003423C1" w:rsidRDefault="003423C1">
            <w:pPr>
              <w:jc w:val="both"/>
              <w:rPr>
                <w:rFonts w:ascii="Times New Roman" w:hAnsi="Times New Roman" w:cs="Times New Roman"/>
                <w:b/>
                <w:i/>
                <w:noProof/>
                <w:lang w:val="fr-BE"/>
              </w:rPr>
            </w:pPr>
            <w:r w:rsidRPr="003423C1">
              <w:rPr>
                <w:noProof/>
                <w:lang w:val="fr-BE"/>
              </w:rPr>
              <w:lastRenderedPageBreak/>
              <w:br w:type="page"/>
            </w:r>
            <w:r w:rsidRPr="003423C1">
              <w:rPr>
                <w:noProof/>
                <w:lang w:val="fr-BE"/>
              </w:rPr>
              <w:br w:type="page"/>
            </w:r>
            <w:r w:rsidRPr="003423C1">
              <w:rPr>
                <w:noProof/>
                <w:lang w:val="fr-BE"/>
              </w:rPr>
              <w:br w:type="page"/>
            </w:r>
            <w:r w:rsidRPr="003423C1">
              <w:rPr>
                <w:rFonts w:ascii="Times New Roman" w:hAnsi="Times New Roman"/>
                <w:b/>
                <w:i/>
                <w:noProof/>
                <w:lang w:val="fr-BE"/>
              </w:rPr>
              <w:t>Okvir 2.: Dimenzija makroekonomskih neravnoteža povezana s europodručjem</w:t>
            </w:r>
          </w:p>
          <w:p w:rsidR="00B26ED3" w:rsidRDefault="003423C1">
            <w:pPr>
              <w:jc w:val="both"/>
              <w:rPr>
                <w:rFonts w:ascii="Times New Roman" w:hAnsi="Times New Roman" w:cs="Times New Roman"/>
                <w:noProof/>
                <w:lang w:val="pl-PL"/>
              </w:rPr>
            </w:pPr>
            <w:r>
              <w:rPr>
                <w:rFonts w:ascii="Times New Roman" w:hAnsi="Times New Roman"/>
                <w:b/>
                <w:noProof/>
                <w:lang w:val="it-IT"/>
              </w:rPr>
              <w:t xml:space="preserve">Tekući račun europodručja stabilizirao se na vrlo visokim razinama. </w:t>
            </w:r>
            <w:r>
              <w:rPr>
                <w:rFonts w:ascii="Times New Roman" w:hAnsi="Times New Roman"/>
                <w:noProof/>
                <w:lang w:val="it-IT"/>
              </w:rPr>
              <w:t xml:space="preserve">Saldo tekućeg računa europodručja vidljivo se povećao nakon krize 2008. do 2016. </w:t>
            </w:r>
            <w:r>
              <w:rPr>
                <w:rFonts w:ascii="Times New Roman" w:hAnsi="Times New Roman"/>
                <w:noProof/>
                <w:lang w:val="pl-PL"/>
              </w:rPr>
              <w:t>Od tada se njegova vrijednost stabilizirala na razini od oko 3,2 % BDP-a u 2016. i 2017. na temelju statistike bilance plaćanja</w:t>
            </w:r>
            <w:r>
              <w:rPr>
                <w:rStyle w:val="FootnoteReference"/>
                <w:rFonts w:ascii="Times New Roman" w:hAnsi="Times New Roman"/>
                <w:noProof/>
              </w:rPr>
              <w:footnoteReference w:id="24"/>
            </w:r>
            <w:r>
              <w:rPr>
                <w:noProof/>
                <w:lang w:val="pl-PL"/>
              </w:rPr>
              <w:t>.</w:t>
            </w:r>
            <w:r>
              <w:rPr>
                <w:rFonts w:ascii="Times New Roman" w:hAnsi="Times New Roman"/>
                <w:noProof/>
                <w:lang w:val="pl-PL"/>
              </w:rPr>
              <w:t xml:space="preserve"> Suficit tekućeg računa europodručja i dalje j</w:t>
            </w:r>
            <w:r>
              <w:rPr>
                <w:rFonts w:ascii="Times New Roman" w:hAnsi="Times New Roman"/>
                <w:noProof/>
                <w:lang w:val="pl-PL"/>
              </w:rPr>
              <w:t>e najveći u svijetu te se procjenjuje da je iznad vrijednosti koja bi se očekivala na temelju ekonomskih značajki (oko 1,5 % BDP-a europodručja)</w:t>
            </w:r>
            <w:r>
              <w:rPr>
                <w:rStyle w:val="FootnoteReference"/>
                <w:rFonts w:ascii="Times New Roman" w:hAnsi="Times New Roman"/>
                <w:noProof/>
              </w:rPr>
              <w:footnoteReference w:id="25"/>
            </w:r>
            <w:r>
              <w:rPr>
                <w:noProof/>
                <w:lang w:val="pl-PL"/>
              </w:rPr>
              <w:t>.</w:t>
            </w:r>
            <w:r>
              <w:rPr>
                <w:rFonts w:ascii="Times New Roman" w:hAnsi="Times New Roman"/>
                <w:noProof/>
                <w:lang w:val="pl-PL"/>
              </w:rPr>
              <w:t xml:space="preserve"> Ne bude li promjene u politikama, očekuje se da će se suficit tekućeg računa europodručja nešto smanjiti do 2</w:t>
            </w:r>
            <w:r>
              <w:rPr>
                <w:rFonts w:ascii="Times New Roman" w:hAnsi="Times New Roman"/>
                <w:noProof/>
                <w:lang w:val="pl-PL"/>
              </w:rPr>
              <w:t>020. u skladu s Komisijinom jesenskom prognozom 2018</w:t>
            </w:r>
            <w:r>
              <w:rPr>
                <w:rStyle w:val="FootnoteReference"/>
                <w:rFonts w:ascii="Times New Roman" w:hAnsi="Times New Roman"/>
                <w:noProof/>
              </w:rPr>
              <w:footnoteReference w:id="26"/>
            </w:r>
            <w:r>
              <w:rPr>
                <w:noProof/>
                <w:lang w:val="pl-PL"/>
              </w:rPr>
              <w:t>.</w:t>
            </w:r>
            <w:r>
              <w:rPr>
                <w:rFonts w:ascii="Times New Roman" w:hAnsi="Times New Roman"/>
                <w:noProof/>
                <w:lang w:val="pl-PL"/>
              </w:rPr>
              <w:t xml:space="preserve"> Čimbenici koji bi mogli doprinijeti smanjenju suficita su sljedeći: relativno slabljenje cikličkih uvjeta u drugim područjima svjetskog gospodarstva, učinak posljedica restriktivnih trgovinskih politik</w:t>
            </w:r>
            <w:r>
              <w:rPr>
                <w:rFonts w:ascii="Times New Roman" w:hAnsi="Times New Roman"/>
                <w:noProof/>
                <w:lang w:val="pl-PL"/>
              </w:rPr>
              <w:t xml:space="preserve">a i nedavne aprecijacije realnog efektivnog tečaja eura, moguća daljnja aprecijacija eura (među ostalim povezana s pritiskom na tržište koji proizlazi iz stalnog velikog vanjskog suficita) ili nastavak aktualnog trenda rasta cijena nafte.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B26ED3" w:rsidRPr="003423C1">
              <w:tc>
                <w:tcPr>
                  <w:tcW w:w="4531" w:type="dxa"/>
                  <w:tcBorders>
                    <w:top w:val="nil"/>
                    <w:left w:val="nil"/>
                    <w:bottom w:val="nil"/>
                    <w:right w:val="nil"/>
                  </w:tcBorders>
                  <w:shd w:val="clear" w:color="auto" w:fill="auto"/>
                </w:tcPr>
                <w:p w:rsidR="00B26ED3" w:rsidRDefault="003423C1">
                  <w:pPr>
                    <w:jc w:val="both"/>
                    <w:rPr>
                      <w:rFonts w:ascii="Times New Roman" w:hAnsi="Times New Roman" w:cs="Times New Roman"/>
                      <w:b/>
                      <w:noProof/>
                      <w:lang w:val="pl-PL"/>
                    </w:rPr>
                  </w:pPr>
                  <w:r>
                    <w:rPr>
                      <w:rFonts w:ascii="Times New Roman" w:hAnsi="Times New Roman"/>
                      <w:b/>
                      <w:noProof/>
                      <w:lang w:val="pl-PL"/>
                    </w:rPr>
                    <w:t>Grafikon B.1.: K</w:t>
                  </w:r>
                  <w:r>
                    <w:rPr>
                      <w:rFonts w:ascii="Times New Roman" w:hAnsi="Times New Roman"/>
                      <w:b/>
                      <w:noProof/>
                      <w:lang w:val="pl-PL"/>
                    </w:rPr>
                    <w:t xml:space="preserve">retanje tekućeg računa europodručja: raščlamba po državama </w:t>
                  </w:r>
                </w:p>
              </w:tc>
              <w:tc>
                <w:tcPr>
                  <w:tcW w:w="4531" w:type="dxa"/>
                  <w:tcBorders>
                    <w:top w:val="nil"/>
                    <w:left w:val="nil"/>
                    <w:bottom w:val="nil"/>
                    <w:right w:val="nil"/>
                  </w:tcBorders>
                  <w:shd w:val="clear" w:color="auto" w:fill="auto"/>
                </w:tcPr>
                <w:p w:rsidR="00B26ED3" w:rsidRDefault="003423C1">
                  <w:pPr>
                    <w:jc w:val="both"/>
                    <w:rPr>
                      <w:rFonts w:ascii="Times New Roman" w:hAnsi="Times New Roman" w:cs="Times New Roman"/>
                      <w:b/>
                      <w:noProof/>
                      <w:lang w:val="pl-PL"/>
                    </w:rPr>
                  </w:pPr>
                  <w:r>
                    <w:rPr>
                      <w:rFonts w:ascii="Times New Roman" w:hAnsi="Times New Roman"/>
                      <w:b/>
                      <w:noProof/>
                      <w:lang w:val="pl-PL"/>
                    </w:rPr>
                    <w:t xml:space="preserve">Grafikon B.2.: Kretanje tekućeg računa europodručja: raščlamba po stavkama </w:t>
                  </w:r>
                </w:p>
              </w:tc>
            </w:tr>
            <w:tr w:rsidR="00B26ED3">
              <w:trPr>
                <w:trHeight w:val="3346"/>
              </w:trPr>
              <w:tc>
                <w:tcPr>
                  <w:tcW w:w="4531" w:type="dxa"/>
                  <w:tcBorders>
                    <w:top w:val="nil"/>
                    <w:left w:val="nil"/>
                    <w:bottom w:val="nil"/>
                    <w:right w:val="nil"/>
                  </w:tcBorders>
                  <w:shd w:val="clear" w:color="auto" w:fill="auto"/>
                </w:tcPr>
                <w:p w:rsidR="00B26ED3" w:rsidRDefault="003423C1">
                  <w:pPr>
                    <w:jc w:val="both"/>
                    <w:rPr>
                      <w:rFonts w:ascii="Times New Roman" w:hAnsi="Times New Roman" w:cs="Times New Roman"/>
                      <w:noProof/>
                    </w:rPr>
                  </w:pPr>
                  <w:r>
                    <w:rPr>
                      <w:rFonts w:ascii="Times New Roman" w:hAnsi="Times New Roman" w:cs="Times New Roman"/>
                      <w:noProof/>
                      <w:lang w:eastAsia="en-GB"/>
                    </w:rPr>
                    <w:lastRenderedPageBreak/>
                    <w:drawing>
                      <wp:inline distT="0" distB="0" distL="0" distR="0">
                        <wp:extent cx="2860158" cy="2562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0158" cy="256222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B26ED3" w:rsidRDefault="003423C1">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600325" cy="2549912"/>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0325" cy="2549912"/>
                                </a:xfrm>
                                <a:prstGeom prst="rect">
                                  <a:avLst/>
                                </a:prstGeom>
                                <a:noFill/>
                                <a:ln>
                                  <a:noFill/>
                                </a:ln>
                              </pic:spPr>
                            </pic:pic>
                          </a:graphicData>
                        </a:graphic>
                      </wp:inline>
                    </w:drawing>
                  </w:r>
                </w:p>
              </w:tc>
            </w:tr>
            <w:tr w:rsidR="00B26ED3" w:rsidRPr="003423C1">
              <w:tc>
                <w:tcPr>
                  <w:tcW w:w="4531" w:type="dxa"/>
                  <w:tcBorders>
                    <w:top w:val="nil"/>
                    <w:left w:val="nil"/>
                    <w:bottom w:val="nil"/>
                    <w:right w:val="nil"/>
                  </w:tcBorders>
                  <w:shd w:val="clear" w:color="auto" w:fill="auto"/>
                </w:tcPr>
                <w:p w:rsidR="00B26ED3" w:rsidRDefault="003423C1">
                  <w:pPr>
                    <w:jc w:val="both"/>
                    <w:rPr>
                      <w:rFonts w:ascii="Times New Roman" w:hAnsi="Times New Roman" w:cs="Times New Roman"/>
                      <w:noProof/>
                      <w:sz w:val="20"/>
                    </w:rPr>
                  </w:pPr>
                  <w:r>
                    <w:rPr>
                      <w:rFonts w:ascii="Times New Roman" w:hAnsi="Times New Roman"/>
                      <w:i/>
                      <w:noProof/>
                      <w:sz w:val="20"/>
                    </w:rPr>
                    <w:t>Izvor:</w:t>
                  </w:r>
                  <w:r>
                    <w:rPr>
                      <w:rFonts w:ascii="Times New Roman" w:hAnsi="Times New Roman"/>
                      <w:noProof/>
                      <w:sz w:val="20"/>
                    </w:rPr>
                    <w:t xml:space="preserve"> AMECO, podaci iz bilance plaćanja.</w:t>
                  </w:r>
                </w:p>
              </w:tc>
              <w:tc>
                <w:tcPr>
                  <w:tcW w:w="4531" w:type="dxa"/>
                  <w:tcBorders>
                    <w:top w:val="nil"/>
                    <w:left w:val="nil"/>
                    <w:bottom w:val="nil"/>
                    <w:right w:val="nil"/>
                  </w:tcBorders>
                  <w:shd w:val="clear" w:color="auto" w:fill="auto"/>
                </w:tcPr>
                <w:p w:rsidR="00B26ED3" w:rsidRPr="003423C1" w:rsidRDefault="003423C1">
                  <w:pPr>
                    <w:spacing w:after="0"/>
                    <w:jc w:val="both"/>
                    <w:rPr>
                      <w:rFonts w:ascii="Times New Roman" w:hAnsi="Times New Roman" w:cs="Times New Roman"/>
                      <w:noProof/>
                      <w:sz w:val="20"/>
                      <w:lang w:val="fr-BE"/>
                    </w:rPr>
                  </w:pPr>
                  <w:r w:rsidRPr="003423C1">
                    <w:rPr>
                      <w:rFonts w:ascii="Times New Roman" w:hAnsi="Times New Roman"/>
                      <w:i/>
                      <w:noProof/>
                      <w:sz w:val="20"/>
                      <w:lang w:val="fr-BE"/>
                    </w:rPr>
                    <w:t>Izvor:</w:t>
                  </w:r>
                  <w:r w:rsidRPr="003423C1">
                    <w:rPr>
                      <w:rFonts w:ascii="Times New Roman" w:hAnsi="Times New Roman"/>
                      <w:noProof/>
                      <w:sz w:val="20"/>
                      <w:lang w:val="fr-BE"/>
                    </w:rPr>
                    <w:t xml:space="preserve"> Eurostat, podaci iz bilance plaćanja. </w:t>
                  </w:r>
                </w:p>
                <w:p w:rsidR="00B26ED3" w:rsidRDefault="003423C1">
                  <w:pPr>
                    <w:spacing w:after="0"/>
                    <w:jc w:val="both"/>
                    <w:rPr>
                      <w:rFonts w:ascii="Times New Roman" w:hAnsi="Times New Roman" w:cs="Times New Roman"/>
                      <w:noProof/>
                      <w:sz w:val="20"/>
                      <w:lang w:val="pl-PL"/>
                    </w:rPr>
                  </w:pPr>
                  <w:r>
                    <w:rPr>
                      <w:rFonts w:ascii="Times New Roman" w:hAnsi="Times New Roman"/>
                      <w:i/>
                      <w:noProof/>
                      <w:sz w:val="20"/>
                      <w:lang w:val="pl-PL"/>
                    </w:rPr>
                    <w:t>Napomena:</w:t>
                  </w:r>
                  <w:r>
                    <w:rPr>
                      <w:rFonts w:ascii="Times New Roman" w:hAnsi="Times New Roman"/>
                      <w:noProof/>
                      <w:sz w:val="20"/>
                      <w:lang w:val="pl-PL"/>
                    </w:rPr>
                    <w:t xml:space="preserve"> „18*” se odnosi se na podatke o pomičnom prosjeku za četiri tromjesečja do drugog tromjesečja 2018.</w:t>
                  </w:r>
                </w:p>
              </w:tc>
            </w:tr>
          </w:tbl>
          <w:p w:rsidR="00B26ED3" w:rsidRDefault="00B26ED3">
            <w:pPr>
              <w:spacing w:after="120"/>
              <w:jc w:val="both"/>
              <w:rPr>
                <w:rFonts w:ascii="Times New Roman" w:hAnsi="Times New Roman" w:cs="Times New Roman"/>
                <w:b/>
                <w:noProof/>
                <w:lang w:val="pl-PL"/>
              </w:rPr>
            </w:pPr>
          </w:p>
          <w:p w:rsidR="00B26ED3" w:rsidRDefault="00B26ED3">
            <w:pPr>
              <w:spacing w:after="120"/>
              <w:jc w:val="both"/>
              <w:rPr>
                <w:rFonts w:ascii="Times New Roman" w:hAnsi="Times New Roman" w:cs="Times New Roman"/>
                <w:b/>
                <w:noProof/>
                <w:lang w:val="pl-PL"/>
              </w:rPr>
            </w:pPr>
          </w:p>
          <w:p w:rsidR="00B26ED3" w:rsidRDefault="003423C1">
            <w:pPr>
              <w:spacing w:after="120"/>
              <w:jc w:val="both"/>
              <w:rPr>
                <w:rFonts w:ascii="Times New Roman" w:hAnsi="Times New Roman" w:cs="Times New Roman"/>
                <w:noProof/>
                <w:lang w:val="pl-PL"/>
              </w:rPr>
            </w:pPr>
            <w:r>
              <w:rPr>
                <w:rFonts w:ascii="Times New Roman" w:hAnsi="Times New Roman"/>
                <w:b/>
                <w:noProof/>
                <w:lang w:val="pl-PL"/>
              </w:rPr>
              <w:t xml:space="preserve">Rast suficita europodručja odraz je korekcije tekućih računa koji su prethodno bili u deficitu u kombinaciji s kontinuiranim velikim suficitima. </w:t>
            </w:r>
            <w:r>
              <w:rPr>
                <w:rFonts w:ascii="Times New Roman" w:hAnsi="Times New Roman"/>
                <w:noProof/>
                <w:lang w:val="pl-PL"/>
              </w:rPr>
              <w:t>Stanje tekućeg računa europodručja bilo je uglavnom uravnoteženo prije 2008., tijekom te godine zabilježen je deficit zbog velikog pada globalne potražnje za izvozom te je nakon financijske krize 2008. bio u suficitu, uglavnom zbog znatne korekcije velikih</w:t>
            </w:r>
            <w:r>
              <w:rPr>
                <w:rFonts w:ascii="Times New Roman" w:hAnsi="Times New Roman"/>
                <w:noProof/>
                <w:lang w:val="pl-PL"/>
              </w:rPr>
              <w:t xml:space="preserve"> deficita nakon preokreta u privatnim prekograničnim financijskim tokovima (grafikon B.1.). Nakon 2011. suficit se još povećao zbog širenja dužničke krize na Španjolsku i Italiju te smanjenja domaće potražnje koje je nakon toga uslijedila i koja je pridoni</w:t>
            </w:r>
            <w:r>
              <w:rPr>
                <w:rFonts w:ascii="Times New Roman" w:hAnsi="Times New Roman"/>
                <w:noProof/>
                <w:lang w:val="pl-PL"/>
              </w:rPr>
              <w:t>jela nastanku suficita na tekućim računima tih zemalja. Od 2011. postupno se povećao i veliki suficit tekućeg računa Njemačke. Trenutačno je suficit tekućeg računa europodručja uglavnom rezultat velikih suficita zabilježenih u Njemačkoj i Nizozemskoj, čija</w:t>
            </w:r>
            <w:r>
              <w:rPr>
                <w:rFonts w:ascii="Times New Roman" w:hAnsi="Times New Roman"/>
                <w:noProof/>
                <w:lang w:val="pl-PL"/>
              </w:rPr>
              <w:t xml:space="preserve"> zajednička vanjska pozicija iznosi čini većinu suficita europodručja (grafikon B.1.). Od 2016. postupno smanjenje suficita tekućeg računa Njemačke povezano je sa stabilizacijom suficita zabilježenog u europodručju. </w:t>
            </w:r>
          </w:p>
          <w:p w:rsidR="00B26ED3" w:rsidRDefault="003423C1">
            <w:pPr>
              <w:spacing w:after="120"/>
              <w:jc w:val="both"/>
              <w:rPr>
                <w:rFonts w:ascii="Times New Roman" w:hAnsi="Times New Roman" w:cs="Times New Roman"/>
                <w:noProof/>
                <w:lang w:val="sv-SE"/>
              </w:rPr>
            </w:pPr>
            <w:r>
              <w:rPr>
                <w:rFonts w:ascii="Times New Roman" w:hAnsi="Times New Roman"/>
                <w:b/>
                <w:noProof/>
                <w:lang w:val="pl-PL"/>
              </w:rPr>
              <w:t>Nedavni razvoj tekućeg računa europodru</w:t>
            </w:r>
            <w:r>
              <w:rPr>
                <w:rFonts w:ascii="Times New Roman" w:hAnsi="Times New Roman"/>
                <w:b/>
                <w:noProof/>
                <w:lang w:val="pl-PL"/>
              </w:rPr>
              <w:t xml:space="preserve">čja uglavnom je povezan s bilancom energije, dohotka i usluga. </w:t>
            </w:r>
            <w:r>
              <w:rPr>
                <w:rFonts w:ascii="Times New Roman" w:hAnsi="Times New Roman"/>
                <w:noProof/>
                <w:lang w:val="pl-PL"/>
              </w:rPr>
              <w:t>Bilanca neenergetske robe poboljšala se nakon financijske krize što je odraz relativno slabog cikličkog položaja europodručja u usporedbi s drugim svjetskim područjima te je najviše je pridonij</w:t>
            </w:r>
            <w:r>
              <w:rPr>
                <w:rFonts w:ascii="Times New Roman" w:hAnsi="Times New Roman"/>
                <w:noProof/>
                <w:lang w:val="pl-PL"/>
              </w:rPr>
              <w:t>ela poboljšanju tekućeg računa (grafikon B.2.). U skladu s tim, u istom se razdoblju ciklički prilagođen saldo tekućeg računa europodručja blago poboljšao. S obzirom na oporavak outputa europodručja od 2013., suficit robne bilance stabilizirao se te se poč</w:t>
            </w:r>
            <w:r>
              <w:rPr>
                <w:rFonts w:ascii="Times New Roman" w:hAnsi="Times New Roman"/>
                <w:noProof/>
                <w:lang w:val="pl-PL"/>
              </w:rPr>
              <w:t>eo vrlo umjereno smanjivati, usporedno s pozitivnim rezultatima vrijednosti i obujma izvoza u usporedbi s drugim naprednim gospodarstvima</w:t>
            </w:r>
            <w:r>
              <w:rPr>
                <w:rStyle w:val="FootnoteReference"/>
                <w:rFonts w:ascii="Times New Roman" w:hAnsi="Times New Roman"/>
                <w:noProof/>
              </w:rPr>
              <w:footnoteReference w:id="27"/>
            </w:r>
            <w:r>
              <w:rPr>
                <w:noProof/>
                <w:lang w:val="pl-PL"/>
              </w:rPr>
              <w:t>.</w:t>
            </w:r>
            <w:r>
              <w:rPr>
                <w:rFonts w:ascii="Times New Roman" w:hAnsi="Times New Roman"/>
                <w:noProof/>
                <w:lang w:val="pl-PL"/>
              </w:rPr>
              <w:t xml:space="preserve"> </w:t>
            </w:r>
            <w:r>
              <w:rPr>
                <w:rFonts w:ascii="Times New Roman" w:hAnsi="Times New Roman"/>
                <w:noProof/>
                <w:lang w:val="sv-SE"/>
              </w:rPr>
              <w:t>Kretanja energetske bilance nakon krize uglavnom su se temeljila na razlikama u cijenama nafte. Nakon velikog pada 2</w:t>
            </w:r>
            <w:r>
              <w:rPr>
                <w:rFonts w:ascii="Times New Roman" w:hAnsi="Times New Roman"/>
                <w:noProof/>
                <w:lang w:val="sv-SE"/>
              </w:rPr>
              <w:t xml:space="preserve">008. cijene nafte oporavile su se od 2009. do 2011. te su se ponovno smanjile od </w:t>
            </w:r>
            <w:r>
              <w:rPr>
                <w:rFonts w:ascii="Times New Roman" w:hAnsi="Times New Roman"/>
                <w:noProof/>
                <w:lang w:val="sv-SE"/>
              </w:rPr>
              <w:lastRenderedPageBreak/>
              <w:t>2014. do 2016., što je uzrokovalo varijacije energetske bilance europodručja u suprotnom smjeru. Ponovni rast cijena nafte koji je započeo sredinom 2016. uzrok je pogoršanja e</w:t>
            </w:r>
            <w:r>
              <w:rPr>
                <w:rFonts w:ascii="Times New Roman" w:hAnsi="Times New Roman"/>
                <w:noProof/>
                <w:lang w:val="sv-SE"/>
              </w:rPr>
              <w:t>nergetske bilance koje je zabilježeno od tada</w:t>
            </w:r>
            <w:r>
              <w:rPr>
                <w:rStyle w:val="FootnoteReference"/>
                <w:rFonts w:ascii="Times New Roman" w:hAnsi="Times New Roman"/>
                <w:noProof/>
              </w:rPr>
              <w:footnoteReference w:id="28"/>
            </w:r>
            <w:r>
              <w:rPr>
                <w:noProof/>
                <w:lang w:val="sv-SE"/>
              </w:rPr>
              <w:t>.</w:t>
            </w:r>
            <w:r>
              <w:rPr>
                <w:rFonts w:ascii="Times New Roman" w:hAnsi="Times New Roman"/>
                <w:noProof/>
                <w:lang w:val="sv-SE"/>
              </w:rPr>
              <w:t xml:space="preserve"> Negativan doprinos energetske bilance suficitu europodručja od 2016. godine kompenziran je poboljšanjem u bilanci usluga. Saldo dohotka, unatoč poboljšanju salda dohotka od kapitala, koji je povezan s pozitiv</w:t>
            </w:r>
            <w:r>
              <w:rPr>
                <w:rFonts w:ascii="Times New Roman" w:hAnsi="Times New Roman"/>
                <w:noProof/>
                <w:lang w:val="sv-SE"/>
              </w:rPr>
              <w:t xml:space="preserve">nim i rastućim NIIP-om na ukupnoj razini europodručja, i dalje je negativan te se pogoršao u 2017. zbog dinamike koja je zabilježena u neto dobiti trgovačkih društava. </w:t>
            </w:r>
          </w:p>
          <w:p w:rsidR="00B26ED3" w:rsidRDefault="003423C1">
            <w:pPr>
              <w:spacing w:after="120"/>
              <w:jc w:val="both"/>
              <w:rPr>
                <w:rFonts w:ascii="Times New Roman" w:hAnsi="Times New Roman" w:cs="Times New Roman"/>
                <w:noProof/>
              </w:rPr>
            </w:pPr>
            <w:r>
              <w:rPr>
                <w:rFonts w:ascii="Times New Roman" w:hAnsi="Times New Roman"/>
                <w:b/>
                <w:noProof/>
                <w:lang w:val="sv-SE"/>
              </w:rPr>
              <w:t>Dinamika suficita europodručja povezana je i sa zaostajanjem domaće potražnje za gospod</w:t>
            </w:r>
            <w:r>
              <w:rPr>
                <w:rFonts w:ascii="Times New Roman" w:hAnsi="Times New Roman"/>
                <w:b/>
                <w:noProof/>
                <w:lang w:val="sv-SE"/>
              </w:rPr>
              <w:t xml:space="preserve">arskom aktivnosti i kontinuiranom izvoznom potražnjom, koja se temelji na poticajnoj globalnoj potražnji za europskom robom i uslugama te na poboljšanoj konkurentnosti. </w:t>
            </w:r>
            <w:r>
              <w:rPr>
                <w:rFonts w:ascii="Times New Roman" w:hAnsi="Times New Roman"/>
                <w:noProof/>
                <w:lang w:val="sv-SE"/>
              </w:rPr>
              <w:t>Razlika između ukupnog dohotka i potrošnje, koja odgovara neto izvozu, rasla je od fina</w:t>
            </w:r>
            <w:r>
              <w:rPr>
                <w:rFonts w:ascii="Times New Roman" w:hAnsi="Times New Roman"/>
                <w:noProof/>
                <w:lang w:val="sv-SE"/>
              </w:rPr>
              <w:t>ncijske krize 2008. do 2016. (vidjeti grafikon B.3.). Na početku krize smanjena dinamika potražnje odražavala je opsežno razduživanje privatnog sektora, posebno u zemljama neto dužnicama koje su obuhvaćene naglim zastojima u priljevu na tekući račun, dok j</w:t>
            </w:r>
            <w:r>
              <w:rPr>
                <w:rFonts w:ascii="Times New Roman" w:hAnsi="Times New Roman"/>
                <w:noProof/>
                <w:lang w:val="sv-SE"/>
              </w:rPr>
              <w:t>e sektor države povećao neto zaduživanje, čime je ublažen učinak krize na dohotke (grafikon B.4.). Nakon pogoršanja dužničke krize u europodručju 2011. razduživanje je započelo i u sektoru države, koji je pružio najveći doprinos povećanju ukupne neto kredi</w:t>
            </w:r>
            <w:r>
              <w:rPr>
                <w:rFonts w:ascii="Times New Roman" w:hAnsi="Times New Roman"/>
                <w:noProof/>
                <w:lang w:val="sv-SE"/>
              </w:rPr>
              <w:t>tne pozicije europodručja od tada. Iznosi neto pozajmljivanja za sektor kućanstava trenutačno su se udvostručili u usporedbi s razdobljem prije krize, a nefinancijska poduzeća, koja obično bilježe potrebe za neto pozajmljivanjem, od 2013. bilježe pozitivnu</w:t>
            </w:r>
            <w:r>
              <w:rPr>
                <w:rFonts w:ascii="Times New Roman" w:hAnsi="Times New Roman"/>
                <w:noProof/>
                <w:lang w:val="sv-SE"/>
              </w:rPr>
              <w:t xml:space="preserve"> neto kreditnu poziciju. Neto pozajmljivanje države i dalje je negativno i tek je nedavno dosegnulo razine koje su u skladu s padom udjela državnog duga u većini država europodručja. Unatoč aktivnom razduživanju, dugotrajna stagnacija nominalnog BDP-a nako</w:t>
            </w:r>
            <w:r>
              <w:rPr>
                <w:rFonts w:ascii="Times New Roman" w:hAnsi="Times New Roman"/>
                <w:noProof/>
                <w:lang w:val="sv-SE"/>
              </w:rPr>
              <w:t xml:space="preserve">n krize dovela je do toga da su udjeli duga u BDP-u i dalje na rekordno visokoj razini za kućanstva, korporacije i države u nizu država europodručja. </w:t>
            </w:r>
            <w:r>
              <w:rPr>
                <w:rFonts w:ascii="Times New Roman" w:hAnsi="Times New Roman"/>
                <w:noProof/>
              </w:rPr>
              <w:t>Razduživanje se trenutačno događa se u povoljnim gospodarskim uvjetima.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B26ED3">
              <w:tc>
                <w:tcPr>
                  <w:tcW w:w="4531" w:type="dxa"/>
                  <w:tcBorders>
                    <w:top w:val="nil"/>
                    <w:left w:val="nil"/>
                    <w:bottom w:val="nil"/>
                    <w:right w:val="nil"/>
                  </w:tcBorders>
                  <w:shd w:val="clear" w:color="auto" w:fill="auto"/>
                </w:tcPr>
                <w:p w:rsidR="00B26ED3" w:rsidRDefault="003423C1">
                  <w:pPr>
                    <w:jc w:val="both"/>
                    <w:rPr>
                      <w:rFonts w:ascii="Times New Roman" w:hAnsi="Times New Roman" w:cs="Times New Roman"/>
                      <w:b/>
                      <w:noProof/>
                    </w:rPr>
                  </w:pPr>
                  <w:r>
                    <w:rPr>
                      <w:rFonts w:ascii="Times New Roman" w:hAnsi="Times New Roman"/>
                      <w:b/>
                      <w:noProof/>
                    </w:rPr>
                    <w:t>Grafikon B.3.: Output, domaća potr</w:t>
                  </w:r>
                  <w:r>
                    <w:rPr>
                      <w:rFonts w:ascii="Times New Roman" w:hAnsi="Times New Roman"/>
                      <w:b/>
                      <w:noProof/>
                    </w:rPr>
                    <w:t>ažnja, neto izvoz i temeljna inflacija europodručja</w:t>
                  </w:r>
                </w:p>
              </w:tc>
              <w:tc>
                <w:tcPr>
                  <w:tcW w:w="4531" w:type="dxa"/>
                  <w:tcBorders>
                    <w:top w:val="nil"/>
                    <w:left w:val="nil"/>
                    <w:bottom w:val="nil"/>
                    <w:right w:val="nil"/>
                  </w:tcBorders>
                  <w:shd w:val="clear" w:color="auto" w:fill="auto"/>
                </w:tcPr>
                <w:p w:rsidR="00B26ED3" w:rsidRDefault="003423C1">
                  <w:pPr>
                    <w:jc w:val="both"/>
                    <w:rPr>
                      <w:rFonts w:ascii="Times New Roman" w:hAnsi="Times New Roman" w:cs="Times New Roman"/>
                      <w:b/>
                      <w:noProof/>
                    </w:rPr>
                  </w:pPr>
                  <w:r>
                    <w:rPr>
                      <w:rFonts w:ascii="Times New Roman" w:hAnsi="Times New Roman"/>
                      <w:b/>
                      <w:noProof/>
                    </w:rPr>
                    <w:t xml:space="preserve">Grafikon B.4.: Neto pozajmljivanje/zaduživanje u europodručju po sektorima </w:t>
                  </w:r>
                </w:p>
              </w:tc>
            </w:tr>
            <w:tr w:rsidR="00B26ED3">
              <w:trPr>
                <w:trHeight w:val="3406"/>
              </w:trPr>
              <w:tc>
                <w:tcPr>
                  <w:tcW w:w="4531" w:type="dxa"/>
                  <w:tcBorders>
                    <w:top w:val="nil"/>
                    <w:left w:val="nil"/>
                    <w:bottom w:val="nil"/>
                    <w:right w:val="nil"/>
                  </w:tcBorders>
                  <w:shd w:val="clear" w:color="auto" w:fill="auto"/>
                </w:tcPr>
                <w:p w:rsidR="00B26ED3" w:rsidRDefault="003423C1">
                  <w:pPr>
                    <w:jc w:val="both"/>
                    <w:rPr>
                      <w:rFonts w:ascii="Times New Roman" w:hAnsi="Times New Roman" w:cs="Times New Roman"/>
                      <w:noProof/>
                    </w:rPr>
                  </w:pPr>
                  <w:r>
                    <w:rPr>
                      <w:rFonts w:ascii="Times New Roman" w:hAnsi="Times New Roman" w:cs="Times New Roman"/>
                      <w:noProof/>
                      <w:lang w:eastAsia="en-GB"/>
                    </w:rPr>
                    <w:lastRenderedPageBreak/>
                    <w:drawing>
                      <wp:inline distT="0" distB="0" distL="0" distR="0">
                        <wp:extent cx="2876550" cy="25769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652" cy="2580583"/>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B26ED3" w:rsidRDefault="003423C1">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42699" cy="258127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5888" cy="2584277"/>
                                </a:xfrm>
                                <a:prstGeom prst="rect">
                                  <a:avLst/>
                                </a:prstGeom>
                                <a:noFill/>
                                <a:ln>
                                  <a:noFill/>
                                </a:ln>
                              </pic:spPr>
                            </pic:pic>
                          </a:graphicData>
                        </a:graphic>
                      </wp:inline>
                    </w:drawing>
                  </w:r>
                </w:p>
              </w:tc>
            </w:tr>
            <w:tr w:rsidR="00B26ED3">
              <w:tc>
                <w:tcPr>
                  <w:tcW w:w="4531" w:type="dxa"/>
                  <w:tcBorders>
                    <w:top w:val="nil"/>
                    <w:left w:val="nil"/>
                    <w:bottom w:val="nil"/>
                    <w:right w:val="nil"/>
                  </w:tcBorders>
                  <w:shd w:val="clear" w:color="auto" w:fill="auto"/>
                </w:tcPr>
                <w:p w:rsidR="00B26ED3" w:rsidRDefault="003423C1">
                  <w:pPr>
                    <w:jc w:val="both"/>
                    <w:rPr>
                      <w:rFonts w:ascii="Times New Roman" w:hAnsi="Times New Roman" w:cs="Times New Roman"/>
                      <w:noProof/>
                      <w:sz w:val="20"/>
                    </w:rPr>
                  </w:pPr>
                  <w:r>
                    <w:rPr>
                      <w:rFonts w:ascii="Times New Roman" w:hAnsi="Times New Roman"/>
                      <w:i/>
                      <w:noProof/>
                      <w:sz w:val="20"/>
                    </w:rPr>
                    <w:t>Izvor:</w:t>
                  </w:r>
                  <w:r>
                    <w:rPr>
                      <w:rFonts w:ascii="Times New Roman" w:hAnsi="Times New Roman"/>
                      <w:noProof/>
                      <w:sz w:val="20"/>
                    </w:rPr>
                    <w:t xml:space="preserve"> AMECO</w:t>
                  </w:r>
                </w:p>
              </w:tc>
              <w:tc>
                <w:tcPr>
                  <w:tcW w:w="4531" w:type="dxa"/>
                  <w:tcBorders>
                    <w:top w:val="nil"/>
                    <w:left w:val="nil"/>
                    <w:bottom w:val="nil"/>
                    <w:right w:val="nil"/>
                  </w:tcBorders>
                  <w:shd w:val="clear" w:color="auto" w:fill="auto"/>
                </w:tcPr>
                <w:p w:rsidR="00B26ED3" w:rsidRDefault="003423C1">
                  <w:pPr>
                    <w:jc w:val="both"/>
                    <w:rPr>
                      <w:rFonts w:ascii="Times New Roman" w:hAnsi="Times New Roman" w:cs="Times New Roman"/>
                      <w:noProof/>
                      <w:sz w:val="20"/>
                    </w:rPr>
                  </w:pPr>
                  <w:r>
                    <w:rPr>
                      <w:rFonts w:ascii="Times New Roman" w:hAnsi="Times New Roman"/>
                      <w:i/>
                      <w:noProof/>
                      <w:sz w:val="20"/>
                    </w:rPr>
                    <w:t>Izvor:</w:t>
                  </w:r>
                  <w:r>
                    <w:rPr>
                      <w:rFonts w:ascii="Times New Roman" w:hAnsi="Times New Roman"/>
                      <w:noProof/>
                      <w:sz w:val="20"/>
                    </w:rPr>
                    <w:t xml:space="preserve"> Eurostat</w:t>
                  </w:r>
                </w:p>
              </w:tc>
            </w:tr>
          </w:tbl>
          <w:p w:rsidR="00B26ED3" w:rsidRDefault="00B26ED3">
            <w:pPr>
              <w:spacing w:after="120"/>
              <w:jc w:val="both"/>
              <w:rPr>
                <w:rFonts w:ascii="Times New Roman" w:hAnsi="Times New Roman" w:cs="Times New Roman"/>
                <w:b/>
                <w:noProof/>
              </w:rPr>
            </w:pPr>
          </w:p>
          <w:p w:rsidR="00B26ED3" w:rsidRDefault="003423C1">
            <w:pPr>
              <w:spacing w:after="120"/>
              <w:jc w:val="both"/>
              <w:rPr>
                <w:rFonts w:ascii="Times New Roman" w:hAnsi="Times New Roman" w:cs="Times New Roman"/>
                <w:noProof/>
              </w:rPr>
            </w:pPr>
            <w:r>
              <w:rPr>
                <w:rFonts w:ascii="Times New Roman" w:hAnsi="Times New Roman"/>
                <w:b/>
                <w:noProof/>
              </w:rPr>
              <w:t xml:space="preserve">Izazovi su i dalje povezani s postojanosti neravnoteža stanja, trajnosti trenutačne gospodarske ekspanzije i ograničenim prostorom za ublažavanje negativnih šokova u zemljama s visokim dugom. </w:t>
            </w:r>
            <w:r>
              <w:rPr>
                <w:rFonts w:ascii="Times New Roman" w:hAnsi="Times New Roman"/>
                <w:noProof/>
              </w:rPr>
              <w:t>Nakon gotovo desetljeća usporene dinamike, domaća potražnja euro</w:t>
            </w:r>
            <w:r>
              <w:rPr>
                <w:rFonts w:ascii="Times New Roman" w:hAnsi="Times New Roman"/>
                <w:noProof/>
              </w:rPr>
              <w:t>područja se oporavlja, jaz outputa postaje pozitivan, a očekuje se da će se inflacija postupno približiti cilju koji su odredila monetarna tijela (grafikon B.3.). Trenutačna ekspanzija podržava ispravljanje neravnoteža stanja, ali pred nama su još brojni i</w:t>
            </w:r>
            <w:r>
              <w:rPr>
                <w:rFonts w:ascii="Times New Roman" w:hAnsi="Times New Roman"/>
                <w:noProof/>
              </w:rPr>
              <w:t>zazovi. Prvo, postoji nesigurnost u pogledu trajnosti trenutačnog rasta jer uvjeti za osiguravanje održivog rasta nisu postojani, posebno oni koji se odnose na trajan nedostatak ulaganja, nedovoljne okvirne uvjete za poticanje rasta produktivnosti i neisko</w:t>
            </w:r>
            <w:r>
              <w:rPr>
                <w:rFonts w:ascii="Times New Roman" w:hAnsi="Times New Roman"/>
                <w:noProof/>
              </w:rPr>
              <w:t>rišteni potencijal ljudskog kapitala</w:t>
            </w:r>
            <w:r>
              <w:rPr>
                <w:rStyle w:val="FootnoteReference"/>
                <w:rFonts w:ascii="Times New Roman" w:hAnsi="Times New Roman"/>
                <w:noProof/>
              </w:rPr>
              <w:footnoteReference w:id="29"/>
            </w:r>
            <w:r>
              <w:rPr>
                <w:noProof/>
              </w:rPr>
              <w:t>.</w:t>
            </w:r>
            <w:r>
              <w:rPr>
                <w:rFonts w:ascii="Times New Roman" w:hAnsi="Times New Roman"/>
                <w:noProof/>
              </w:rPr>
              <w:t xml:space="preserve"> Drugo, rebalans unutar europodručja i dalje je nepotpun. Države koje su imale velike deficite još uvijek su obilježene velikim negativnim neto stanjem međunarodnih ulaganja zajedno s velikim razinama privatnog ili drž</w:t>
            </w:r>
            <w:r>
              <w:rPr>
                <w:rFonts w:ascii="Times New Roman" w:hAnsi="Times New Roman"/>
                <w:noProof/>
              </w:rPr>
              <w:t>avnog duga, što predstavlja slabost. Osim toga, države koje su opterećene visokim dugom općenito istodobno imaju i manje mogućnosti osloniti se na potencijalni rast outputa za smanjenje udjela duga, što znači da imaju manje mogućnosti za ublažavanje negati</w:t>
            </w:r>
            <w:r>
              <w:rPr>
                <w:rFonts w:ascii="Times New Roman" w:hAnsi="Times New Roman"/>
                <w:noProof/>
              </w:rPr>
              <w:t xml:space="preserve">vnih šokova outputa s pomoću privatne i javne štednje (grafikon B.6.). </w:t>
            </w:r>
          </w:p>
          <w:p w:rsidR="00B26ED3" w:rsidRDefault="003423C1">
            <w:pPr>
              <w:spacing w:after="120"/>
              <w:jc w:val="both"/>
              <w:rPr>
                <w:rFonts w:ascii="Times New Roman" w:hAnsi="Times New Roman" w:cs="Times New Roman"/>
                <w:noProof/>
              </w:rPr>
            </w:pPr>
            <w:r>
              <w:rPr>
                <w:rFonts w:ascii="Times New Roman" w:hAnsi="Times New Roman"/>
                <w:b/>
                <w:noProof/>
              </w:rPr>
              <w:t>Simetričnim rebalansom u europodručju pridonijelo bi se ponovnoj uspostavi održivog rasta te bi se istodobno osigurala makroekonomska stabilnost u budućnosti</w:t>
            </w:r>
            <w:r>
              <w:rPr>
                <w:rFonts w:ascii="Times New Roman" w:hAnsi="Times New Roman"/>
                <w:noProof/>
              </w:rPr>
              <w:t xml:space="preserve">. Potrebna je odgovarajuća </w:t>
            </w:r>
            <w:r>
              <w:rPr>
                <w:rFonts w:ascii="Times New Roman" w:hAnsi="Times New Roman"/>
                <w:noProof/>
              </w:rPr>
              <w:t xml:space="preserve">kombinacija politika kako bi se osigurala održivost rasta u budućnosti i njegova usklađenost s makroekonomskom stabilnosti. U zemljama neto dužnicama, smanjenje velikih razina inozemnog i domaćeg duga zahtijeva održavanje razboritog salda tekućeg računa i </w:t>
            </w:r>
            <w:r>
              <w:rPr>
                <w:rFonts w:ascii="Times New Roman" w:hAnsi="Times New Roman"/>
                <w:noProof/>
              </w:rPr>
              <w:t>osiguravanje odgovarajuće brzine smanjenja duga, a da se pritom ne ugrozi cilj povećanja potencijala za rast, kako bi se izbjegao rizik procikličkog povećanja napetosti u nepovoljnim razdobljima. Poboljšanje izgleda za produktivnost posebno je potrebno u z</w:t>
            </w:r>
            <w:r>
              <w:rPr>
                <w:rFonts w:ascii="Times New Roman" w:hAnsi="Times New Roman"/>
                <w:noProof/>
              </w:rPr>
              <w:t xml:space="preserve">emljama neto dužnicama, i za održivost razina duga, ali i da bi kretanja relativne konkurentnosti u većoj mjeri podržavala rebalans, u uvjetima nedavnog smanjenja relativnog rasta konkurentnosti zemalja neto dužnica koje je započelo 2012. (grafikon B.5.). </w:t>
            </w:r>
            <w:r>
              <w:rPr>
                <w:rFonts w:ascii="Times New Roman" w:hAnsi="Times New Roman"/>
                <w:noProof/>
              </w:rPr>
              <w:t>S druge strane, politike za poticanje ulaganja i prevladavanje inercije plaća pomogle bi u rješavanju trajnih velikih suficita u zemljama neto vjerovnicama, što bi potaklo potencijal za rast, a izgledi za rast postali bi manje ovisni o inozemnoj potražnji.</w:t>
            </w:r>
          </w:p>
          <w:tbl>
            <w:tblPr>
              <w:tblW w:w="9214" w:type="dxa"/>
              <w:tblLayout w:type="fixed"/>
              <w:tblLook w:val="04A0" w:firstRow="1" w:lastRow="0" w:firstColumn="1" w:lastColumn="0" w:noHBand="0" w:noVBand="1"/>
            </w:tblPr>
            <w:tblGrid>
              <w:gridCol w:w="4536"/>
              <w:gridCol w:w="4429"/>
              <w:gridCol w:w="249"/>
            </w:tblGrid>
            <w:tr w:rsidR="00B26ED3">
              <w:tc>
                <w:tcPr>
                  <w:tcW w:w="4536" w:type="dxa"/>
                </w:tcPr>
                <w:p w:rsidR="00B26ED3" w:rsidRDefault="003423C1">
                  <w:pPr>
                    <w:jc w:val="both"/>
                    <w:rPr>
                      <w:rFonts w:ascii="Times New Roman" w:hAnsi="Times New Roman" w:cs="Times New Roman"/>
                      <w:b/>
                      <w:noProof/>
                    </w:rPr>
                  </w:pPr>
                  <w:r>
                    <w:rPr>
                      <w:rFonts w:ascii="Times New Roman" w:hAnsi="Times New Roman"/>
                      <w:b/>
                      <w:noProof/>
                    </w:rPr>
                    <w:t>Grafikon B.5.: Rebalans na razini europodručja (nezaposlenost, rast plaća i jediničnih troškova rada)</w:t>
                  </w:r>
                </w:p>
              </w:tc>
              <w:tc>
                <w:tcPr>
                  <w:tcW w:w="4429" w:type="dxa"/>
                </w:tcPr>
                <w:p w:rsidR="00B26ED3" w:rsidRDefault="003423C1">
                  <w:pPr>
                    <w:jc w:val="both"/>
                    <w:rPr>
                      <w:rFonts w:ascii="Times New Roman" w:hAnsi="Times New Roman" w:cs="Times New Roman"/>
                      <w:b/>
                      <w:noProof/>
                      <w:lang w:val="pl-PL"/>
                    </w:rPr>
                  </w:pPr>
                  <w:r>
                    <w:rPr>
                      <w:rFonts w:ascii="Times New Roman" w:hAnsi="Times New Roman"/>
                      <w:b/>
                      <w:noProof/>
                      <w:lang w:val="pl-PL"/>
                    </w:rPr>
                    <w:t>Grafikon B.6.: Dug i izgledi za potencijalni rast u zemljama europodručja</w:t>
                  </w:r>
                </w:p>
              </w:tc>
              <w:tc>
                <w:tcPr>
                  <w:tcW w:w="249" w:type="dxa"/>
                </w:tcPr>
                <w:p w:rsidR="00B26ED3" w:rsidRDefault="00B26ED3">
                  <w:pPr>
                    <w:jc w:val="both"/>
                    <w:rPr>
                      <w:rFonts w:ascii="Times New Roman" w:hAnsi="Times New Roman" w:cs="Times New Roman"/>
                      <w:b/>
                      <w:noProof/>
                      <w:lang w:val="pl-PL"/>
                    </w:rPr>
                  </w:pPr>
                </w:p>
              </w:tc>
            </w:tr>
            <w:tr w:rsidR="00B26ED3">
              <w:tc>
                <w:tcPr>
                  <w:tcW w:w="4536" w:type="dxa"/>
                </w:tcPr>
                <w:tbl>
                  <w:tblPr>
                    <w:tblW w:w="4423" w:type="dxa"/>
                    <w:tblLayout w:type="fixed"/>
                    <w:tblLook w:val="04A0" w:firstRow="1" w:lastRow="0" w:firstColumn="1" w:lastColumn="0" w:noHBand="0" w:noVBand="1"/>
                  </w:tblPr>
                  <w:tblGrid>
                    <w:gridCol w:w="4423"/>
                  </w:tblGrid>
                  <w:tr w:rsidR="00B26ED3">
                    <w:tc>
                      <w:tcPr>
                        <w:tcW w:w="4423" w:type="dxa"/>
                        <w:tcBorders>
                          <w:top w:val="nil"/>
                          <w:left w:val="nil"/>
                          <w:bottom w:val="nil"/>
                          <w:right w:val="nil"/>
                        </w:tcBorders>
                      </w:tcPr>
                      <w:p w:rsidR="00B26ED3" w:rsidRDefault="003423C1">
                        <w:pPr>
                          <w:ind w:right="113"/>
                          <w:rPr>
                            <w:noProof/>
                          </w:rPr>
                        </w:pPr>
                        <w:r>
                          <w:rPr>
                            <w:noProof/>
                            <w:lang w:eastAsia="en-GB"/>
                          </w:rPr>
                          <w:drawing>
                            <wp:inline distT="0" distB="0" distL="0" distR="0">
                              <wp:extent cx="2667000" cy="2447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2447925"/>
                                      </a:xfrm>
                                      <a:prstGeom prst="rect">
                                        <a:avLst/>
                                      </a:prstGeom>
                                      <a:noFill/>
                                      <a:ln>
                                        <a:noFill/>
                                      </a:ln>
                                    </pic:spPr>
                                  </pic:pic>
                                </a:graphicData>
                              </a:graphic>
                            </wp:inline>
                          </w:drawing>
                        </w:r>
                      </w:p>
                    </w:tc>
                  </w:tr>
                </w:tbl>
                <w:p w:rsidR="00B26ED3" w:rsidRDefault="00B26ED3">
                  <w:pPr>
                    <w:jc w:val="both"/>
                    <w:rPr>
                      <w:rFonts w:ascii="Times New Roman" w:hAnsi="Times New Roman" w:cs="Times New Roman"/>
                      <w:noProof/>
                    </w:rPr>
                  </w:pPr>
                </w:p>
              </w:tc>
              <w:tc>
                <w:tcPr>
                  <w:tcW w:w="4429" w:type="dxa"/>
                </w:tcPr>
                <w:p w:rsidR="00B26ED3" w:rsidRDefault="003423C1">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73657" cy="244792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3657" cy="2447925"/>
                                </a:xfrm>
                                <a:prstGeom prst="rect">
                                  <a:avLst/>
                                </a:prstGeom>
                                <a:noFill/>
                                <a:ln>
                                  <a:noFill/>
                                </a:ln>
                              </pic:spPr>
                            </pic:pic>
                          </a:graphicData>
                        </a:graphic>
                      </wp:inline>
                    </w:drawing>
                  </w:r>
                </w:p>
              </w:tc>
              <w:tc>
                <w:tcPr>
                  <w:tcW w:w="249" w:type="dxa"/>
                </w:tcPr>
                <w:p w:rsidR="00B26ED3" w:rsidRDefault="00B26ED3">
                  <w:pPr>
                    <w:jc w:val="both"/>
                    <w:rPr>
                      <w:rFonts w:ascii="Times New Roman" w:hAnsi="Times New Roman" w:cs="Times New Roman"/>
                      <w:noProof/>
                    </w:rPr>
                  </w:pPr>
                </w:p>
              </w:tc>
            </w:tr>
            <w:tr w:rsidR="00B26ED3">
              <w:trPr>
                <w:gridAfter w:val="1"/>
                <w:wAfter w:w="249" w:type="dxa"/>
              </w:trPr>
              <w:tc>
                <w:tcPr>
                  <w:tcW w:w="4536" w:type="dxa"/>
                </w:tcPr>
                <w:p w:rsidR="00B26ED3" w:rsidRDefault="003423C1">
                  <w:pPr>
                    <w:jc w:val="both"/>
                    <w:rPr>
                      <w:rFonts w:ascii="Times New Roman" w:hAnsi="Times New Roman" w:cs="Times New Roman"/>
                      <w:noProof/>
                      <w:sz w:val="20"/>
                    </w:rPr>
                  </w:pPr>
                  <w:r>
                    <w:rPr>
                      <w:rFonts w:ascii="Times New Roman" w:hAnsi="Times New Roman"/>
                      <w:i/>
                      <w:noProof/>
                      <w:sz w:val="20"/>
                    </w:rPr>
                    <w:t>Izvor:</w:t>
                  </w:r>
                  <w:r>
                    <w:rPr>
                      <w:rFonts w:ascii="Times New Roman" w:hAnsi="Times New Roman"/>
                      <w:noProof/>
                      <w:sz w:val="20"/>
                    </w:rPr>
                    <w:t xml:space="preserve"> AMECO</w:t>
                  </w:r>
                </w:p>
                <w:p w:rsidR="00B26ED3" w:rsidRDefault="003423C1">
                  <w:pPr>
                    <w:jc w:val="both"/>
                    <w:rPr>
                      <w:rFonts w:ascii="Times New Roman" w:hAnsi="Times New Roman" w:cs="Times New Roman"/>
                      <w:noProof/>
                      <w:sz w:val="20"/>
                    </w:rPr>
                  </w:pPr>
                  <w:r>
                    <w:rPr>
                      <w:rFonts w:ascii="Times New Roman" w:hAnsi="Times New Roman"/>
                      <w:i/>
                      <w:noProof/>
                      <w:sz w:val="20"/>
                    </w:rPr>
                    <w:t>Napomena:</w:t>
                  </w:r>
                  <w:r>
                    <w:rPr>
                      <w:rFonts w:ascii="Times New Roman" w:hAnsi="Times New Roman"/>
                      <w:noProof/>
                      <w:sz w:val="20"/>
                    </w:rPr>
                    <w:t xml:space="preserve"> Države sa suficitom uključuju Austriju, Belgiju, Finsku, Njemačku, Luksemburg i Nizozemsku; sve ostale sadašnje članice europodručja smatraju se državama s deficitom. </w:t>
                  </w:r>
                </w:p>
              </w:tc>
              <w:tc>
                <w:tcPr>
                  <w:tcW w:w="4429" w:type="dxa"/>
                </w:tcPr>
                <w:p w:rsidR="00B26ED3" w:rsidRDefault="003423C1">
                  <w:pPr>
                    <w:jc w:val="both"/>
                    <w:rPr>
                      <w:rFonts w:ascii="Times New Roman" w:hAnsi="Times New Roman" w:cs="Times New Roman"/>
                      <w:noProof/>
                      <w:sz w:val="20"/>
                    </w:rPr>
                  </w:pPr>
                  <w:r>
                    <w:rPr>
                      <w:rFonts w:ascii="Times New Roman" w:hAnsi="Times New Roman"/>
                      <w:i/>
                      <w:noProof/>
                      <w:sz w:val="20"/>
                    </w:rPr>
                    <w:t>Izvor:</w:t>
                  </w:r>
                  <w:r>
                    <w:rPr>
                      <w:rFonts w:ascii="Times New Roman" w:hAnsi="Times New Roman"/>
                      <w:noProof/>
                      <w:sz w:val="20"/>
                    </w:rPr>
                    <w:t xml:space="preserve"> AMECO</w:t>
                  </w:r>
                  <w:r>
                    <w:rPr>
                      <w:rFonts w:ascii="Times New Roman" w:hAnsi="Times New Roman"/>
                      <w:noProof/>
                    </w:rPr>
                    <w:t xml:space="preserve"> </w:t>
                  </w:r>
                </w:p>
                <w:p w:rsidR="00B26ED3" w:rsidRDefault="003423C1">
                  <w:pPr>
                    <w:jc w:val="both"/>
                    <w:rPr>
                      <w:rFonts w:ascii="Times New Roman" w:hAnsi="Times New Roman" w:cs="Times New Roman"/>
                      <w:noProof/>
                      <w:sz w:val="20"/>
                    </w:rPr>
                  </w:pPr>
                  <w:r>
                    <w:rPr>
                      <w:rFonts w:ascii="Times New Roman" w:hAnsi="Times New Roman"/>
                      <w:i/>
                      <w:noProof/>
                      <w:sz w:val="20"/>
                    </w:rPr>
                    <w:t>Napomena:</w:t>
                  </w:r>
                  <w:r>
                    <w:rPr>
                      <w:rFonts w:ascii="Times New Roman" w:hAnsi="Times New Roman"/>
                      <w:noProof/>
                      <w:sz w:val="20"/>
                    </w:rPr>
                    <w:t xml:space="preserve"> veličina krugova predstavlja vrijednost državnog duga (% BDP-a)</w:t>
                  </w:r>
                  <w:r>
                    <w:rPr>
                      <w:rFonts w:ascii="Times New Roman" w:hAnsi="Times New Roman"/>
                      <w:noProof/>
                      <w:sz w:val="20"/>
                    </w:rPr>
                    <w:t xml:space="preserve"> u 2017.</w:t>
                  </w:r>
                </w:p>
              </w:tc>
            </w:tr>
          </w:tbl>
          <w:p w:rsidR="00B26ED3" w:rsidRDefault="00B26ED3">
            <w:pPr>
              <w:jc w:val="both"/>
              <w:rPr>
                <w:rFonts w:ascii="Times New Roman" w:hAnsi="Times New Roman" w:cs="Times New Roman"/>
                <w:b/>
                <w:noProof/>
              </w:rPr>
            </w:pPr>
          </w:p>
        </w:tc>
      </w:tr>
    </w:tbl>
    <w:p w:rsidR="00B26ED3" w:rsidRDefault="00B26ED3">
      <w:pPr>
        <w:rPr>
          <w:rFonts w:ascii="Times New Roman" w:eastAsia="Times New Roman" w:hAnsi="Times New Roman" w:cs="Times New Roman"/>
          <w:b/>
          <w:noProof/>
        </w:rPr>
      </w:pPr>
    </w:p>
    <w:p w:rsidR="00B26ED3" w:rsidRDefault="003423C1">
      <w:pPr>
        <w:rPr>
          <w:rFonts w:ascii="Times New Roman" w:eastAsia="Times New Roman" w:hAnsi="Times New Roman" w:cs="Times New Roman"/>
          <w:b/>
          <w:noProof/>
        </w:rPr>
      </w:pPr>
      <w:r>
        <w:rPr>
          <w:noProof/>
        </w:rPr>
        <w:br w:type="page"/>
      </w:r>
    </w:p>
    <w:p w:rsidR="00B26ED3" w:rsidRDefault="003423C1">
      <w:pPr>
        <w:spacing w:before="120" w:after="120"/>
        <w:jc w:val="both"/>
        <w:rPr>
          <w:rFonts w:ascii="Times New Roman" w:eastAsia="Times New Roman" w:hAnsi="Times New Roman" w:cs="Times New Roman"/>
          <w:noProof/>
        </w:rPr>
      </w:pPr>
      <w:r>
        <w:rPr>
          <w:rFonts w:ascii="Times New Roman" w:hAnsi="Times New Roman"/>
          <w:b/>
          <w:noProof/>
        </w:rPr>
        <w:t>Udjeli duga privatnog sektora postupno se smanjuju, ali su u nizu država članica i dalje veliki.</w:t>
      </w:r>
      <w:r>
        <w:rPr>
          <w:rFonts w:ascii="Times New Roman" w:hAnsi="Times New Roman"/>
          <w:noProof/>
        </w:rPr>
        <w:t xml:space="preserve"> Dvanaest država članica prešlo je prag iz tablice rezultata za privatni dug 2017., iste države kao i u prošlogodišnjem IMU-u. Udjeli privatnog duga najviši su na Cipru, u Irskoj, Luksemburgu i Nizozemskoj, iako na te iznose utječu prekogranične transakcij</w:t>
      </w:r>
      <w:r>
        <w:rPr>
          <w:rFonts w:ascii="Times New Roman" w:hAnsi="Times New Roman"/>
          <w:noProof/>
        </w:rPr>
        <w:t>e povezane s aktivnostima multinacionalnih korporacija. Posebno visoke razine privatnog duga zabilježene su i u Belgiji, Danskoj, Portugalu, Švedskoj i Ujedinjenoj Kraljevini, gdje su razine privatnog duga veće od 160 % BDP-a. Relativni doprinos kućanstava</w:t>
      </w:r>
      <w:r>
        <w:rPr>
          <w:rFonts w:ascii="Times New Roman" w:hAnsi="Times New Roman"/>
          <w:noProof/>
        </w:rPr>
        <w:t xml:space="preserve"> i nefinancijskih poduzeća visokim razinama privatnog duga razlikuje se među državama članicama.</w:t>
      </w:r>
      <w:r>
        <w:rPr>
          <w:rFonts w:ascii="Times New Roman" w:hAnsi="Times New Roman"/>
          <w:b/>
          <w:noProof/>
        </w:rPr>
        <w:t xml:space="preserve"> </w:t>
      </w:r>
      <w:r>
        <w:rPr>
          <w:rFonts w:ascii="Times New Roman" w:hAnsi="Times New Roman"/>
          <w:noProof/>
        </w:rPr>
        <w:t>U slučaju Belgije, Irske i Luksemburga visoki ukupni udjeli privatnog duga uglavnom su posljedica zaduženosti nefinancijskih poduzeća. Suprotno tome, u Danskoj</w:t>
      </w:r>
      <w:r>
        <w:rPr>
          <w:rFonts w:ascii="Times New Roman" w:hAnsi="Times New Roman"/>
          <w:noProof/>
        </w:rPr>
        <w:t xml:space="preserve"> i Ujedinjenoj Kraljevini sektor kućanstava uvelike pridonosi velikim razinama privatnog duga. Cipar, Nizozemska, Švedska i Portugal imaju relativno visoke razine duga u korporativnom sektoru i sektoru kućanstava. </w:t>
      </w:r>
      <w:r>
        <w:rPr>
          <w:noProof/>
        </w:rPr>
        <w:t>Razlike u razini privatnog duga među držav</w:t>
      </w:r>
      <w:r>
        <w:rPr>
          <w:noProof/>
        </w:rPr>
        <w:t>ama u velikoj su mjeri objašnjene razlikama temeljnih čimbenika koji opravdavaju akumulaciju duga, uključujući izglede za rast i ulaganja, i financijski razvoj. Pri procjeni razina duga trebalo bi stoga uzeti u obzir te čimbenike, kao i druge elemente koji</w:t>
      </w:r>
      <w:r>
        <w:rPr>
          <w:noProof/>
        </w:rPr>
        <w:t xml:space="preserve"> utječu na rizike visokog duga iz perspektive okrenute budućnosti</w:t>
      </w:r>
      <w:r>
        <w:rPr>
          <w:rStyle w:val="FootnoteReference"/>
          <w:noProof/>
        </w:rPr>
        <w:footnoteReference w:id="30"/>
      </w:r>
      <w:r>
        <w:rPr>
          <w:noProof/>
        </w:rPr>
        <w:t>.</w:t>
      </w:r>
    </w:p>
    <w:p w:rsidR="00B26ED3" w:rsidRDefault="00B26ED3">
      <w:pPr>
        <w:keepNext/>
        <w:spacing w:before="120" w:after="120"/>
        <w:jc w:val="center"/>
        <w:rPr>
          <w:rFonts w:ascii="Times New Roman" w:eastAsia="MS Mincho" w:hAnsi="Times New Roman" w:cs="Times New Roman"/>
          <w:b/>
          <w:bCs/>
          <w:noProof/>
        </w:rPr>
      </w:pPr>
    </w:p>
    <w:p w:rsidR="00B26ED3" w:rsidRDefault="003423C1">
      <w:pPr>
        <w:keepNext/>
        <w:spacing w:before="120" w:after="120"/>
        <w:jc w:val="center"/>
        <w:rPr>
          <w:rFonts w:ascii="Times New Roman" w:eastAsia="MS Mincho" w:hAnsi="Times New Roman" w:cs="Times New Roman"/>
          <w:b/>
          <w:bCs/>
          <w:noProof/>
        </w:rPr>
      </w:pPr>
      <w:r>
        <w:rPr>
          <w:rFonts w:ascii="Times New Roman" w:hAnsi="Times New Roman"/>
          <w:b/>
          <w:noProof/>
        </w:rPr>
        <w:t>Grafikon 11.: Brzina razduživanja nefinancijskih poduzeća</w:t>
      </w:r>
    </w:p>
    <w:p w:rsidR="00B26ED3" w:rsidRDefault="003423C1">
      <w:pPr>
        <w:keepNext/>
        <w:spacing w:after="0"/>
        <w:jc w:val="center"/>
        <w:rPr>
          <w:rFonts w:ascii="Times New Roman" w:eastAsia="MS Mincho" w:hAnsi="Times New Roman" w:cs="Times New Roman"/>
          <w:b/>
          <w:bCs/>
          <w:noProof/>
        </w:rPr>
      </w:pPr>
      <w:r>
        <w:rPr>
          <w:noProof/>
          <w:lang w:eastAsia="en-GB"/>
        </w:rPr>
        <w:drawing>
          <wp:inline distT="0" distB="0" distL="0" distR="0">
            <wp:extent cx="5124450" cy="3209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450" cy="3209925"/>
                    </a:xfrm>
                    <a:prstGeom prst="rect">
                      <a:avLst/>
                    </a:prstGeom>
                    <a:noFill/>
                    <a:ln>
                      <a:noFill/>
                    </a:ln>
                  </pic:spPr>
                </pic:pic>
              </a:graphicData>
            </a:graphic>
          </wp:inline>
        </w:drawing>
      </w:r>
    </w:p>
    <w:p w:rsidR="00B26ED3" w:rsidRDefault="003423C1">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Konsolidirani godišnji sektorski računi Eurostata, izračuni službi Komisije.</w:t>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Napomena:</w:t>
      </w:r>
      <w:r>
        <w:rPr>
          <w:rFonts w:ascii="Times New Roman" w:hAnsi="Times New Roman"/>
          <w:noProof/>
          <w:sz w:val="20"/>
        </w:rPr>
        <w:t xml:space="preserve"> Države su prikazane padajućim redoslijedom prema udjelu duga u BDP-u u 2017. Brojevi ispod oznaka država označavaju godinu s najvećim vrijednostima. Povećanje do najveće vrijednosti izračunano je na temelju početne godine 2000., osim za Hrvatsku i Irsku (</w:t>
      </w:r>
      <w:r>
        <w:rPr>
          <w:rFonts w:ascii="Times New Roman" w:hAnsi="Times New Roman"/>
          <w:noProof/>
          <w:sz w:val="20"/>
        </w:rPr>
        <w:t>2001.) i Cipar (2006.). Opažanja za LU, IE, BE skraćena su kako bi odgovarala prikazu.</w:t>
      </w:r>
    </w:p>
    <w:p w:rsidR="00B26ED3" w:rsidRDefault="003423C1">
      <w:pPr>
        <w:keepNext/>
        <w:spacing w:before="120" w:after="120"/>
        <w:jc w:val="center"/>
        <w:rPr>
          <w:rFonts w:ascii="Times New Roman" w:eastAsia="MS Mincho" w:hAnsi="Times New Roman" w:cs="Times New Roman"/>
          <w:b/>
          <w:bCs/>
          <w:noProof/>
        </w:rPr>
      </w:pPr>
      <w:r>
        <w:rPr>
          <w:rFonts w:ascii="Times New Roman" w:hAnsi="Times New Roman"/>
          <w:b/>
          <w:noProof/>
        </w:rPr>
        <w:t>Grafikon 12.: Brzina razduživanja kućanstava</w:t>
      </w:r>
    </w:p>
    <w:p w:rsidR="00B26ED3" w:rsidRDefault="003423C1">
      <w:pPr>
        <w:keepNext/>
        <w:spacing w:before="120" w:after="120"/>
        <w:jc w:val="center"/>
        <w:rPr>
          <w:rFonts w:ascii="Times New Roman" w:eastAsia="MS Mincho" w:hAnsi="Times New Roman" w:cs="Times New Roman"/>
          <w:b/>
          <w:bCs/>
          <w:noProof/>
        </w:rPr>
      </w:pPr>
      <w:r>
        <w:rPr>
          <w:noProof/>
          <w:lang w:eastAsia="en-GB"/>
        </w:rPr>
        <w:drawing>
          <wp:inline distT="0" distB="0" distL="0" distR="0">
            <wp:extent cx="5095875" cy="3048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95875" cy="3048000"/>
                    </a:xfrm>
                    <a:prstGeom prst="rect">
                      <a:avLst/>
                    </a:prstGeom>
                    <a:noFill/>
                    <a:ln>
                      <a:noFill/>
                    </a:ln>
                  </pic:spPr>
                </pic:pic>
              </a:graphicData>
            </a:graphic>
          </wp:inline>
        </w:drawing>
      </w:r>
    </w:p>
    <w:p w:rsidR="00B26ED3" w:rsidRDefault="003423C1">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Izvor:</w:t>
      </w:r>
      <w:r>
        <w:rPr>
          <w:rFonts w:ascii="Times New Roman" w:hAnsi="Times New Roman"/>
          <w:noProof/>
          <w:sz w:val="20"/>
        </w:rPr>
        <w:t xml:space="preserve"> Konsolidirani godišnji sektorski računi Eurostata, izračuni službi Komisije.</w:t>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Napomena:</w:t>
      </w:r>
      <w:r>
        <w:rPr>
          <w:rFonts w:ascii="Times New Roman" w:hAnsi="Times New Roman"/>
          <w:noProof/>
          <w:sz w:val="20"/>
        </w:rPr>
        <w:t xml:space="preserve"> Države su prikazane padajući</w:t>
      </w:r>
      <w:r>
        <w:rPr>
          <w:rFonts w:ascii="Times New Roman" w:hAnsi="Times New Roman"/>
          <w:noProof/>
          <w:sz w:val="20"/>
        </w:rPr>
        <w:t xml:space="preserve">m redoslijedom prema udjelu duga u BDP-u u 2017. Brojevi ispod oznaka država označavaju godinu s najvećim vrijednostima. Povećanje do najveće razine izračunano je na temelju početne godine 2000., osim za Hrvatsku i Irsku (2001.). </w:t>
      </w:r>
    </w:p>
    <w:p w:rsidR="00B26ED3" w:rsidRDefault="00B26ED3">
      <w:pPr>
        <w:spacing w:before="120" w:after="120"/>
        <w:jc w:val="both"/>
        <w:rPr>
          <w:rFonts w:ascii="Times New Roman" w:eastAsia="Times New Roman" w:hAnsi="Times New Roman" w:cs="Times New Roman"/>
          <w:b/>
          <w:noProof/>
          <w:sz w:val="24"/>
          <w:szCs w:val="24"/>
        </w:rPr>
      </w:pPr>
    </w:p>
    <w:p w:rsidR="00B26ED3" w:rsidRDefault="003423C1">
      <w:pPr>
        <w:spacing w:before="120" w:after="120"/>
        <w:jc w:val="both"/>
        <w:rPr>
          <w:rFonts w:ascii="Times New Roman" w:eastAsia="Times New Roman" w:hAnsi="Times New Roman" w:cs="Times New Roman"/>
          <w:noProof/>
        </w:rPr>
      </w:pPr>
      <w:r>
        <w:rPr>
          <w:rFonts w:ascii="Times New Roman" w:hAnsi="Times New Roman"/>
          <w:b/>
          <w:noProof/>
        </w:rPr>
        <w:t xml:space="preserve">Udjeli privatnog duga u </w:t>
      </w:r>
      <w:r>
        <w:rPr>
          <w:rFonts w:ascii="Times New Roman" w:hAnsi="Times New Roman"/>
          <w:b/>
          <w:noProof/>
        </w:rPr>
        <w:t>BDP-u smanjuju se s najveće razine u većini država članica, brzinom koje nije uvijek u skladu s potrebama razduživanja</w:t>
      </w:r>
      <w:r>
        <w:rPr>
          <w:rFonts w:ascii="Times New Roman" w:hAnsi="Times New Roman"/>
          <w:noProof/>
        </w:rPr>
        <w:t>. Razduživanje je prvo započelo u nefinancijskim poduzećima te je bilo brže u odnosu na ono u sektoru kućanstava zbog negativnijih neto kr</w:t>
      </w:r>
      <w:r>
        <w:rPr>
          <w:rFonts w:ascii="Times New Roman" w:hAnsi="Times New Roman"/>
          <w:noProof/>
        </w:rPr>
        <w:t>editnih tokova u korporativnom sektoru i većeg učinka nominalnog rasta u smanjenju udjela duga u BDP-u s obzirom na više razine korporativnog duga</w:t>
      </w:r>
      <w:r>
        <w:rPr>
          <w:noProof/>
        </w:rPr>
        <w:t xml:space="preserve"> u usporedbi s kućanstvima</w:t>
      </w:r>
      <w:r>
        <w:rPr>
          <w:rFonts w:ascii="Times New Roman" w:hAnsi="Times New Roman"/>
          <w:noProof/>
        </w:rPr>
        <w:t xml:space="preserve">. </w:t>
      </w:r>
    </w:p>
    <w:p w:rsidR="00B26ED3" w:rsidRDefault="003423C1">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U brojnim je državama </w:t>
      </w:r>
      <w:r>
        <w:rPr>
          <w:rFonts w:ascii="Times New Roman" w:hAnsi="Times New Roman"/>
          <w:b/>
          <w:noProof/>
        </w:rPr>
        <w:t>nefinancijskim poduzećima</w:t>
      </w:r>
      <w:r>
        <w:rPr>
          <w:rFonts w:ascii="Times New Roman" w:hAnsi="Times New Roman"/>
          <w:noProof/>
        </w:rPr>
        <w:t xml:space="preserve"> uspjelo smanjiti barem polovinu u</w:t>
      </w:r>
      <w:r>
        <w:rPr>
          <w:rFonts w:ascii="Times New Roman" w:hAnsi="Times New Roman"/>
          <w:noProof/>
        </w:rPr>
        <w:t>djela duga u BDP-u koji su se akumulirali u razdoblju od 2000. do godine u kojoj je njihov dug dosegnuo najveću razinu (Hrvatska, Danska, Estonija, Mađarska, Italija, Latvija, Litva, Portugal, Rumunjska, Slovenija, Španjolska, Švedska i Ujedinjena Kraljevi</w:t>
      </w:r>
      <w:r>
        <w:rPr>
          <w:rFonts w:ascii="Times New Roman" w:hAnsi="Times New Roman"/>
          <w:noProof/>
        </w:rPr>
        <w:t>na). Međutim, brzina razduživanja nije uvijek bila u skladu s potrebama za razduživanjem jer je u četiri države s koje su imale neke od najvećih udjela korporativnog duga (Luksemburg, Irska, Cipar, Nizozemska i Belgija) razduživanje korporativnog sektora b</w:t>
      </w:r>
      <w:r>
        <w:rPr>
          <w:rFonts w:ascii="Times New Roman" w:hAnsi="Times New Roman"/>
          <w:noProof/>
        </w:rPr>
        <w:t xml:space="preserve">ilo skromno u odnosu na razine duga, dok u Francuskoj razine duga nefinancijskih poduzeća i dalje rastu (grafikon 11.). </w:t>
      </w:r>
    </w:p>
    <w:p w:rsidR="00B26ED3" w:rsidRDefault="003423C1">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Omjeri zaduženosti </w:t>
      </w:r>
      <w:r>
        <w:rPr>
          <w:rFonts w:ascii="Times New Roman" w:hAnsi="Times New Roman"/>
          <w:b/>
          <w:noProof/>
        </w:rPr>
        <w:t>kućanstava</w:t>
      </w:r>
      <w:r>
        <w:rPr>
          <w:rFonts w:ascii="Times New Roman" w:hAnsi="Times New Roman"/>
          <w:noProof/>
        </w:rPr>
        <w:t xml:space="preserve"> smanjili su se tijekom posljednje dvije godine u tri države članice u kojima su kućanstva najzaduženija (</w:t>
      </w:r>
      <w:r>
        <w:rPr>
          <w:rFonts w:ascii="Times New Roman" w:hAnsi="Times New Roman"/>
          <w:noProof/>
        </w:rPr>
        <w:t>Cipar, Danska i Nizozemska) kao i u drugim zemljama s velikim dugom, npr. u Grčkoj, Portugalu i Španjolskoj (grafikon 12.). U Ujedinjenoj Kraljevini kućanstva se više ne razdužuju, a relativno visoki udjeli duga u Finskoj i Švedskoj dodatno se povećavaju.</w:t>
      </w:r>
    </w:p>
    <w:p w:rsidR="00B26ED3" w:rsidRDefault="003423C1">
      <w:pPr>
        <w:rPr>
          <w:noProof/>
        </w:rPr>
      </w:pPr>
      <w:r>
        <w:rPr>
          <w:noProof/>
        </w:rPr>
        <w:br w:type="page"/>
      </w:r>
    </w:p>
    <w:tbl>
      <w:tblPr>
        <w:tblW w:w="0" w:type="auto"/>
        <w:tblLook w:val="04A0" w:firstRow="1" w:lastRow="0" w:firstColumn="1" w:lastColumn="0" w:noHBand="0" w:noVBand="1"/>
      </w:tblPr>
      <w:tblGrid>
        <w:gridCol w:w="4659"/>
        <w:gridCol w:w="4629"/>
      </w:tblGrid>
      <w:tr w:rsidR="00B26ED3">
        <w:tc>
          <w:tcPr>
            <w:tcW w:w="4644" w:type="dxa"/>
          </w:tcPr>
          <w:p w:rsidR="00B26ED3" w:rsidRDefault="003423C1">
            <w:pPr>
              <w:spacing w:before="120" w:after="120"/>
              <w:jc w:val="both"/>
              <w:rPr>
                <w:rFonts w:ascii="Times New Roman" w:eastAsia="Times New Roman" w:hAnsi="Times New Roman" w:cs="Times New Roman"/>
                <w:noProof/>
                <w:sz w:val="24"/>
                <w:szCs w:val="24"/>
              </w:rPr>
            </w:pPr>
            <w:r>
              <w:rPr>
                <w:rFonts w:ascii="Times New Roman" w:hAnsi="Times New Roman"/>
                <w:b/>
                <w:noProof/>
              </w:rPr>
              <w:t>Grafikon 13.: Raščlamba promjene udjela duga nefinancijskih poduzeća u BDP-u (2018., prvo tromjesečje)</w:t>
            </w:r>
          </w:p>
        </w:tc>
        <w:tc>
          <w:tcPr>
            <w:tcW w:w="4644" w:type="dxa"/>
          </w:tcPr>
          <w:p w:rsidR="00B26ED3" w:rsidRDefault="003423C1">
            <w:pPr>
              <w:keepNext/>
              <w:spacing w:before="120" w:after="120"/>
              <w:jc w:val="both"/>
              <w:rPr>
                <w:rFonts w:ascii="Times New Roman" w:eastAsia="MS Mincho" w:hAnsi="Times New Roman" w:cs="Times New Roman"/>
                <w:b/>
                <w:bCs/>
                <w:noProof/>
              </w:rPr>
            </w:pPr>
            <w:r>
              <w:rPr>
                <w:rFonts w:ascii="Times New Roman" w:hAnsi="Times New Roman"/>
                <w:b/>
                <w:noProof/>
              </w:rPr>
              <w:t>Grafikon 14.: Raščlamba promjene udjela duga kućanstava u BDP-u (2018., prvo tromjesečje)</w:t>
            </w:r>
          </w:p>
        </w:tc>
      </w:tr>
      <w:tr w:rsidR="00B26ED3">
        <w:tc>
          <w:tcPr>
            <w:tcW w:w="4644" w:type="dxa"/>
          </w:tcPr>
          <w:p w:rsidR="00B26ED3" w:rsidRDefault="003423C1">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drawing>
                <wp:inline distT="0" distB="0" distL="0" distR="0">
                  <wp:extent cx="2847975" cy="2990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2990850"/>
                          </a:xfrm>
                          <a:prstGeom prst="rect">
                            <a:avLst/>
                          </a:prstGeom>
                          <a:noFill/>
                          <a:ln>
                            <a:noFill/>
                          </a:ln>
                        </pic:spPr>
                      </pic:pic>
                    </a:graphicData>
                  </a:graphic>
                </wp:inline>
              </w:drawing>
            </w:r>
          </w:p>
        </w:tc>
        <w:tc>
          <w:tcPr>
            <w:tcW w:w="4644" w:type="dxa"/>
          </w:tcPr>
          <w:p w:rsidR="00B26ED3" w:rsidRDefault="003423C1">
            <w:pPr>
              <w:keepNex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drawing>
                <wp:inline distT="0" distB="0" distL="0" distR="0">
                  <wp:extent cx="2838450" cy="2990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2990850"/>
                          </a:xfrm>
                          <a:prstGeom prst="rect">
                            <a:avLst/>
                          </a:prstGeom>
                          <a:noFill/>
                          <a:ln>
                            <a:noFill/>
                          </a:ln>
                        </pic:spPr>
                      </pic:pic>
                    </a:graphicData>
                  </a:graphic>
                </wp:inline>
              </w:drawing>
            </w:r>
          </w:p>
        </w:tc>
      </w:tr>
    </w:tbl>
    <w:p w:rsidR="00B26ED3" w:rsidRDefault="003423C1">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Izvori:</w:t>
      </w:r>
      <w:r>
        <w:rPr>
          <w:rFonts w:ascii="Times New Roman" w:hAnsi="Times New Roman"/>
          <w:noProof/>
          <w:sz w:val="20"/>
        </w:rPr>
        <w:t xml:space="preserve"> Eurostatovi nekonsolidirani tromjesečni sektorski računi, izračuni službi Komisije.</w:t>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Napomene:</w:t>
      </w:r>
      <w:r>
        <w:rPr>
          <w:rFonts w:ascii="Times New Roman" w:hAnsi="Times New Roman"/>
          <w:noProof/>
          <w:sz w:val="20"/>
        </w:rPr>
        <w:t xml:space="preserve"> na grafikonima je prikazana godišnja raščlamba kretanja udjela nekonsolidiranog duga u BDP-u na pet komponenata: kreditni tokovi, potencijalni rast BDP-a i cikli</w:t>
      </w:r>
      <w:r>
        <w:rPr>
          <w:rFonts w:ascii="Times New Roman" w:hAnsi="Times New Roman"/>
          <w:noProof/>
          <w:sz w:val="20"/>
        </w:rPr>
        <w:t>čki rast realnog BDP-a, inflacija i ostale promjene. Ciklička komponenta rasta BDP-a izračunava se kao razlika između stvarnog i potencijalnog rasta. Aktivno razduživanje uključuje neto otplatu duga (negativni neto kreditni tokovi), što obično dovodi do no</w:t>
      </w:r>
      <w:r>
        <w:rPr>
          <w:rFonts w:ascii="Times New Roman" w:hAnsi="Times New Roman"/>
          <w:noProof/>
          <w:sz w:val="20"/>
        </w:rPr>
        <w:t xml:space="preserve">minalnog smanjenja sektorske bilance. Pasivno se razduživanje, s druge strane, sastoji od kompenzacije pozitivnih neto kreditnih tokova većim rastom nominalnog BDP-a, što dovodi do smanjenja udjela duga u BDP-u. </w:t>
      </w:r>
    </w:p>
    <w:p w:rsidR="00B26ED3" w:rsidRDefault="00B26ED3">
      <w:pPr>
        <w:spacing w:before="120" w:after="120"/>
        <w:jc w:val="center"/>
        <w:rPr>
          <w:rFonts w:ascii="Times New Roman" w:eastAsia="Times New Roman" w:hAnsi="Times New Roman" w:cs="Times New Roman"/>
          <w:i/>
          <w:noProof/>
          <w:sz w:val="20"/>
          <w:szCs w:val="20"/>
        </w:rPr>
      </w:pPr>
    </w:p>
    <w:p w:rsidR="00B26ED3" w:rsidRPr="003423C1" w:rsidRDefault="003423C1">
      <w:pPr>
        <w:spacing w:before="120" w:after="120"/>
        <w:jc w:val="both"/>
        <w:rPr>
          <w:rFonts w:ascii="Times New Roman" w:eastAsia="Times New Roman" w:hAnsi="Times New Roman" w:cs="Times New Roman"/>
          <w:noProof/>
          <w:lang w:val="fr-BE"/>
        </w:rPr>
      </w:pPr>
      <w:r w:rsidRPr="003423C1">
        <w:rPr>
          <w:rFonts w:ascii="Times New Roman" w:hAnsi="Times New Roman"/>
          <w:b/>
          <w:noProof/>
          <w:lang w:val="fr-BE"/>
        </w:rPr>
        <w:t>Razduživanje se sve više oslanja na više s</w:t>
      </w:r>
      <w:r w:rsidRPr="003423C1">
        <w:rPr>
          <w:rFonts w:ascii="Times New Roman" w:hAnsi="Times New Roman"/>
          <w:b/>
          <w:noProof/>
          <w:lang w:val="fr-BE"/>
        </w:rPr>
        <w:t xml:space="preserve">tope rasta nominalnog BDP-a. </w:t>
      </w:r>
      <w:r w:rsidRPr="003423C1">
        <w:rPr>
          <w:rFonts w:ascii="Times New Roman" w:hAnsi="Times New Roman"/>
          <w:noProof/>
          <w:lang w:val="fr-BE"/>
        </w:rPr>
        <w:t>Kreditni tokovi privatnog sektora oporavljaju se, ali su i dalje umjereni, a u 2017. ni jedna država članica nije prešla prag iz tablice rezultata. Rast nominalnog BDP-a smanjio je pritisak za aktivno razduživanje, što je dovel</w:t>
      </w:r>
      <w:r w:rsidRPr="003423C1">
        <w:rPr>
          <w:rFonts w:ascii="Times New Roman" w:hAnsi="Times New Roman"/>
          <w:noProof/>
          <w:lang w:val="fr-BE"/>
        </w:rPr>
        <w:t>o do toga da se u manje država bilježe negativni kreditni tokovi prema poduzećima ili kućanstvima te je apsolutna vrijednost negativnih tokova u prosjeku niža (grafikoni 13. i 14.). Osim toga, neke države koje se ranije nisu razduživale počele su „pasivno”</w:t>
      </w:r>
      <w:r w:rsidRPr="003423C1">
        <w:rPr>
          <w:rFonts w:ascii="Times New Roman" w:hAnsi="Times New Roman"/>
          <w:noProof/>
          <w:lang w:val="fr-BE"/>
        </w:rPr>
        <w:t xml:space="preserve"> razduživanje, tj. samo zbog toga što rast nominalnog BDP-a smanjuje udjele duga u BDP-u i zbog toga što neto kreditni tokovi povećavaju dug. Riječ je o Italiji, Austriji i Češkoj u pogledu nefinancijskih poduzeća te Austriji, Estoniji i Poljskoj u pogledu</w:t>
      </w:r>
      <w:r w:rsidRPr="003423C1">
        <w:rPr>
          <w:rFonts w:ascii="Times New Roman" w:hAnsi="Times New Roman"/>
          <w:noProof/>
          <w:lang w:val="fr-BE"/>
        </w:rPr>
        <w:t xml:space="preserve"> sektora kućanstava. Kao što je prikazano u grafikonima 13. i 14., procjenjuje se da je veći broj nedavnih nominalnih stopa rasta cikličke prirode (npr. na Cipru, u Grčkoj, Španjolskoj, Portugalu i Hrvatskoj). U budućnosti će izgledi za daljnje pasivno raz</w:t>
      </w:r>
      <w:r w:rsidRPr="003423C1">
        <w:rPr>
          <w:rFonts w:ascii="Times New Roman" w:hAnsi="Times New Roman"/>
          <w:noProof/>
          <w:lang w:val="fr-BE"/>
        </w:rPr>
        <w:t>duživanje sve više ovisiti o potencijalu rasta jer će se ciklička komponenta rasta smanjivati zbog toga što će u sve više zemalja jazovi outputa postajati pozitivni.</w:t>
      </w:r>
    </w:p>
    <w:p w:rsidR="00B26ED3" w:rsidRPr="003423C1" w:rsidRDefault="003423C1">
      <w:pPr>
        <w:rPr>
          <w:rFonts w:ascii="Times New Roman" w:eastAsia="Times New Roman" w:hAnsi="Times New Roman" w:cs="Times New Roman"/>
          <w:b/>
          <w:noProof/>
          <w:lang w:val="fr-BE"/>
        </w:rPr>
      </w:pPr>
      <w:r w:rsidRPr="003423C1">
        <w:rPr>
          <w:noProof/>
          <w:lang w:val="fr-BE"/>
        </w:rPr>
        <w:br w:type="page"/>
      </w:r>
    </w:p>
    <w:p w:rsidR="00B26ED3" w:rsidRDefault="003423C1">
      <w:pPr>
        <w:spacing w:before="120" w:after="120"/>
        <w:jc w:val="both"/>
        <w:rPr>
          <w:noProof/>
          <w:lang w:val="pl-PL"/>
        </w:rPr>
      </w:pPr>
      <w:r w:rsidRPr="003423C1">
        <w:rPr>
          <w:rFonts w:ascii="Times New Roman" w:hAnsi="Times New Roman"/>
          <w:b/>
          <w:noProof/>
          <w:lang w:val="fr-BE"/>
        </w:rPr>
        <w:t>Uvjeti u bankarskom sektoru EU-a sve su bolji, ali niske razine profitabilnosti i visoke</w:t>
      </w:r>
      <w:r w:rsidRPr="003423C1">
        <w:rPr>
          <w:rFonts w:ascii="Times New Roman" w:hAnsi="Times New Roman"/>
          <w:b/>
          <w:noProof/>
          <w:lang w:val="fr-BE"/>
        </w:rPr>
        <w:t xml:space="preserve"> razine loših kredita i dalje su prisutne u nekim zemljama. </w:t>
      </w:r>
      <w:r>
        <w:rPr>
          <w:noProof/>
          <w:lang w:val="pl-PL"/>
        </w:rPr>
        <w:t>To je posebice slučaj u Grčkoj, na Cipru, u Italiji i Portugalu (grafikoni 15. i 16.). Pozitivno je to što je oporavak profitabilnosti bankarskog sektora u 2017. bio posebno snažan u tim zemljama,</w:t>
      </w:r>
      <w:r>
        <w:rPr>
          <w:noProof/>
          <w:lang w:val="pl-PL"/>
        </w:rPr>
        <w:t xml:space="preserve"> a smanjenje loših kredita često je bilo prilično veliko. </w:t>
      </w:r>
    </w:p>
    <w:p w:rsidR="00B26ED3" w:rsidRDefault="003423C1">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val="pl-PL"/>
        </w:rPr>
      </w:pPr>
      <w:r>
        <w:rPr>
          <w:rFonts w:ascii="Times New Roman" w:hAnsi="Times New Roman"/>
          <w:b/>
          <w:noProof/>
          <w:lang w:val="pl-PL"/>
        </w:rPr>
        <w:t>Rast obveza financijskog sektora usporio se u 2017.</w:t>
      </w:r>
      <w:r>
        <w:rPr>
          <w:rFonts w:ascii="Times New Roman" w:hAnsi="Times New Roman"/>
          <w:noProof/>
          <w:lang w:val="pl-PL"/>
        </w:rPr>
        <w:t xml:space="preserve"> u većini država članica EU-a te je čvrsto unutar praga iz tablice rezultata za sve države članice osim dviju.</w:t>
      </w:r>
      <w:r>
        <w:rPr>
          <w:noProof/>
          <w:vertAlign w:val="superscript"/>
        </w:rPr>
        <w:footnoteReference w:id="31"/>
      </w:r>
      <w:r>
        <w:rPr>
          <w:rFonts w:ascii="Times New Roman" w:hAnsi="Times New Roman"/>
          <w:noProof/>
          <w:lang w:val="pl-PL"/>
        </w:rPr>
        <w:t xml:space="preserve"> Kreditni tokovi banaka u 2017. postali su umjereni nakon njihova prethodnog povećanja, pri čemu je rast kredita banaka ostao na višim razinama za sektor kućanstava u usporedbi s nefinancijskim poduzećima. </w:t>
      </w:r>
    </w:p>
    <w:p w:rsidR="00B26ED3" w:rsidRDefault="003423C1">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val="pl-PL"/>
        </w:rPr>
      </w:pPr>
      <w:r>
        <w:rPr>
          <w:rFonts w:ascii="Times New Roman" w:hAnsi="Times New Roman"/>
          <w:b/>
          <w:noProof/>
          <w:lang w:val="pl-PL"/>
        </w:rPr>
        <w:t>Većina država članica zabilježila je daljnja pobo</w:t>
      </w:r>
      <w:r>
        <w:rPr>
          <w:rFonts w:ascii="Times New Roman" w:hAnsi="Times New Roman"/>
          <w:b/>
          <w:noProof/>
          <w:lang w:val="pl-PL"/>
        </w:rPr>
        <w:t>ljšanja profitabilnosti banaka i stopa kapitala</w:t>
      </w:r>
      <w:r>
        <w:rPr>
          <w:rFonts w:ascii="Times New Roman" w:hAnsi="Times New Roman"/>
          <w:noProof/>
          <w:lang w:val="pl-PL"/>
        </w:rPr>
        <w:t xml:space="preserve"> tijekom protekle godine. Vrednovanja vlasničkog kapitala banaka rasla su do početka 2018., a nakon toga došlo je do smanjenja, što je djelomično kompenziralo njegovo prethodno povećanje koje je djelomično pov</w:t>
      </w:r>
      <w:r>
        <w:rPr>
          <w:rFonts w:ascii="Times New Roman" w:hAnsi="Times New Roman"/>
          <w:noProof/>
          <w:lang w:val="pl-PL"/>
        </w:rPr>
        <w:t xml:space="preserve">ezano s izravnavanjem krivulja prinosa i povezanim smanjenjem kamatnih marži. </w:t>
      </w:r>
      <w:r>
        <w:rPr>
          <w:noProof/>
          <w:lang w:val="pl-PL"/>
        </w:rPr>
        <w:t xml:space="preserve">U nekim državama članicama prisutna je kombinacija niske profitabilnosti, niskih stopa kapitala u odnosu na druge države i visokih razina loših kredita. </w:t>
      </w:r>
    </w:p>
    <w:p w:rsidR="00B26ED3" w:rsidRDefault="003423C1">
      <w:pPr>
        <w:pStyle w:val="ListParagraph"/>
        <w:numPr>
          <w:ilvl w:val="0"/>
          <w:numId w:val="11"/>
        </w:numPr>
        <w:spacing w:before="120" w:after="120"/>
        <w:ind w:left="567" w:hanging="425"/>
        <w:contextualSpacing w:val="0"/>
        <w:jc w:val="both"/>
        <w:rPr>
          <w:rFonts w:ascii="Times New Roman" w:eastAsia="Calibri" w:hAnsi="Times New Roman" w:cs="Times New Roman"/>
          <w:noProof/>
        </w:rPr>
      </w:pPr>
      <w:r>
        <w:rPr>
          <w:rFonts w:ascii="Times New Roman" w:hAnsi="Times New Roman"/>
          <w:b/>
          <w:noProof/>
          <w:lang w:val="pl-PL"/>
        </w:rPr>
        <w:t>Razina loših kredita i d</w:t>
      </w:r>
      <w:r>
        <w:rPr>
          <w:rFonts w:ascii="Times New Roman" w:hAnsi="Times New Roman"/>
          <w:b/>
          <w:noProof/>
          <w:lang w:val="pl-PL"/>
        </w:rPr>
        <w:t xml:space="preserve">alje je visoka u više država članica. </w:t>
      </w:r>
      <w:r>
        <w:rPr>
          <w:rFonts w:ascii="Times New Roman" w:hAnsi="Times New Roman"/>
          <w:noProof/>
          <w:lang w:val="pl-PL"/>
        </w:rPr>
        <w:t>Udio loših kredita u 2017. posebno je visok u Grčkoj i na Cipru, gdje iznos loših kredita iznosi 45 % odnosno 30 % ukupnih kredita, dok su u Italiji, Portugalu, Bugarskoj, Irskoj i Hrvatskoj razine loših kredita još uv</w:t>
      </w:r>
      <w:r>
        <w:rPr>
          <w:rFonts w:ascii="Times New Roman" w:hAnsi="Times New Roman"/>
          <w:noProof/>
          <w:lang w:val="pl-PL"/>
        </w:rPr>
        <w:t>ijek oko 10 % ukupnih kredita</w:t>
      </w:r>
      <w:r>
        <w:rPr>
          <w:rStyle w:val="FootnoteReference"/>
          <w:rFonts w:ascii="Times New Roman" w:hAnsi="Times New Roman"/>
          <w:noProof/>
        </w:rPr>
        <w:footnoteReference w:id="32"/>
      </w:r>
      <w:r>
        <w:rPr>
          <w:noProof/>
          <w:lang w:val="pl-PL"/>
        </w:rPr>
        <w:t>.</w:t>
      </w:r>
      <w:r>
        <w:rPr>
          <w:rFonts w:ascii="Times New Roman" w:hAnsi="Times New Roman"/>
          <w:noProof/>
          <w:lang w:val="pl-PL"/>
        </w:rPr>
        <w:t xml:space="preserve"> Nakon rasta u razdoblju nakon krize razina loših kredita počela se različitom brzinom smanjivati u cijelom EU-u. </w:t>
      </w:r>
      <w:r>
        <w:rPr>
          <w:rFonts w:ascii="Times New Roman" w:hAnsi="Times New Roman"/>
          <w:b/>
          <w:noProof/>
          <w:lang w:val="pl-PL"/>
        </w:rPr>
        <w:t>Najnovije brojke</w:t>
      </w:r>
      <w:r>
        <w:rPr>
          <w:rFonts w:ascii="Times New Roman" w:hAnsi="Times New Roman"/>
          <w:noProof/>
          <w:lang w:val="pl-PL"/>
        </w:rPr>
        <w:t xml:space="preserve"> </w:t>
      </w:r>
      <w:r>
        <w:rPr>
          <w:rFonts w:ascii="Times New Roman" w:hAnsi="Times New Roman"/>
          <w:b/>
          <w:noProof/>
          <w:lang w:val="pl-PL"/>
        </w:rPr>
        <w:t>pokazuju stalan napredak u smanjenju loših kredita</w:t>
      </w:r>
      <w:r>
        <w:rPr>
          <w:rFonts w:ascii="Times New Roman" w:hAnsi="Times New Roman"/>
          <w:noProof/>
          <w:lang w:val="pl-PL"/>
        </w:rPr>
        <w:t>, uključujući u zemljama s visokim udjelom l</w:t>
      </w:r>
      <w:r>
        <w:rPr>
          <w:rFonts w:ascii="Times New Roman" w:hAnsi="Times New Roman"/>
          <w:noProof/>
          <w:lang w:val="pl-PL"/>
        </w:rPr>
        <w:t>oših kredita (osim Grčke), posebno u Portugalu i Italiji (grafikon 16.)</w:t>
      </w:r>
      <w:r>
        <w:rPr>
          <w:rStyle w:val="FootnoteReference"/>
          <w:rFonts w:ascii="Times New Roman" w:hAnsi="Times New Roman"/>
          <w:noProof/>
        </w:rPr>
        <w:footnoteReference w:id="33"/>
      </w:r>
      <w:r>
        <w:rPr>
          <w:noProof/>
        </w:rPr>
        <w:t>.</w:t>
      </w:r>
      <w:r>
        <w:rPr>
          <w:rFonts w:ascii="Times New Roman" w:hAnsi="Times New Roman"/>
          <w:noProof/>
        </w:rPr>
        <w:t xml:space="preserve"> </w:t>
      </w:r>
    </w:p>
    <w:p w:rsidR="00B26ED3" w:rsidRDefault="00B26ED3">
      <w:pPr>
        <w:pStyle w:val="ListParagraph"/>
        <w:spacing w:before="120" w:after="120"/>
        <w:contextualSpacing w:val="0"/>
        <w:jc w:val="both"/>
        <w:rPr>
          <w:rFonts w:ascii="Times New Roman" w:eastAsia="Times New Roman" w:hAnsi="Times New Roman" w:cs="Times New Roman"/>
          <w:noProof/>
          <w:sz w:val="24"/>
          <w:szCs w:val="24"/>
        </w:rPr>
      </w:pPr>
    </w:p>
    <w:tbl>
      <w:tblPr>
        <w:tblW w:w="0" w:type="auto"/>
        <w:tblLook w:val="04A0" w:firstRow="1" w:lastRow="0" w:firstColumn="1" w:lastColumn="0" w:noHBand="0" w:noVBand="1"/>
      </w:tblPr>
      <w:tblGrid>
        <w:gridCol w:w="4643"/>
        <w:gridCol w:w="4643"/>
      </w:tblGrid>
      <w:tr w:rsidR="00B26ED3">
        <w:tc>
          <w:tcPr>
            <w:tcW w:w="4643" w:type="dxa"/>
            <w:hideMark/>
          </w:tcPr>
          <w:p w:rsidR="00B26ED3" w:rsidRDefault="003423C1">
            <w:pPr>
              <w:keepNext/>
              <w:spacing w:before="120" w:after="120"/>
              <w:jc w:val="center"/>
              <w:rPr>
                <w:rFonts w:eastAsia="MS Mincho"/>
                <w:b/>
                <w:bCs/>
                <w:noProof/>
              </w:rPr>
            </w:pPr>
            <w:r>
              <w:rPr>
                <w:b/>
                <w:noProof/>
              </w:rPr>
              <w:t>Grafikon 15.: Profitabilnost banaka i stope kapitala</w:t>
            </w:r>
          </w:p>
        </w:tc>
        <w:tc>
          <w:tcPr>
            <w:tcW w:w="4643" w:type="dxa"/>
          </w:tcPr>
          <w:p w:rsidR="00B26ED3" w:rsidRDefault="003423C1">
            <w:pPr>
              <w:spacing w:before="120" w:after="120"/>
              <w:jc w:val="center"/>
              <w:rPr>
                <w:noProof/>
                <w:sz w:val="24"/>
                <w:szCs w:val="24"/>
              </w:rPr>
            </w:pPr>
            <w:r>
              <w:rPr>
                <w:b/>
                <w:noProof/>
              </w:rPr>
              <w:t>Grafikon 16.: Neprihodujući dužnički instrumenti</w:t>
            </w:r>
          </w:p>
        </w:tc>
      </w:tr>
      <w:tr w:rsidR="00B26ED3">
        <w:tc>
          <w:tcPr>
            <w:tcW w:w="4643" w:type="dxa"/>
            <w:hideMark/>
          </w:tcPr>
          <w:p w:rsidR="00B26ED3" w:rsidRDefault="003423C1">
            <w:pPr>
              <w:spacing w:before="120" w:after="120"/>
              <w:jc w:val="both"/>
              <w:rPr>
                <w:noProof/>
                <w:sz w:val="24"/>
                <w:szCs w:val="24"/>
              </w:rPr>
            </w:pPr>
            <w:r>
              <w:rPr>
                <w:noProof/>
                <w:sz w:val="24"/>
                <w:szCs w:val="24"/>
                <w:lang w:eastAsia="en-GB"/>
              </w:rPr>
              <w:drawing>
                <wp:inline distT="0" distB="0" distL="0" distR="0">
                  <wp:extent cx="2771775" cy="2933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775" cy="2933700"/>
                          </a:xfrm>
                          <a:prstGeom prst="rect">
                            <a:avLst/>
                          </a:prstGeom>
                          <a:noFill/>
                          <a:ln>
                            <a:noFill/>
                          </a:ln>
                        </pic:spPr>
                      </pic:pic>
                    </a:graphicData>
                  </a:graphic>
                </wp:inline>
              </w:drawing>
            </w:r>
          </w:p>
        </w:tc>
        <w:tc>
          <w:tcPr>
            <w:tcW w:w="4643" w:type="dxa"/>
            <w:hideMark/>
          </w:tcPr>
          <w:p w:rsidR="00B26ED3" w:rsidRDefault="003423C1">
            <w:pPr>
              <w:spacing w:before="120" w:after="120"/>
              <w:jc w:val="both"/>
              <w:rPr>
                <w:noProof/>
                <w:sz w:val="24"/>
                <w:szCs w:val="24"/>
              </w:rPr>
            </w:pPr>
            <w:r>
              <w:rPr>
                <w:noProof/>
                <w:sz w:val="24"/>
                <w:szCs w:val="24"/>
                <w:lang w:eastAsia="en-GB"/>
              </w:rPr>
              <w:drawing>
                <wp:inline distT="0" distB="0" distL="0" distR="0">
                  <wp:extent cx="2800350" cy="3009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350" cy="3009900"/>
                          </a:xfrm>
                          <a:prstGeom prst="rect">
                            <a:avLst/>
                          </a:prstGeom>
                          <a:noFill/>
                          <a:ln>
                            <a:noFill/>
                          </a:ln>
                        </pic:spPr>
                      </pic:pic>
                    </a:graphicData>
                  </a:graphic>
                </wp:inline>
              </w:drawing>
            </w:r>
          </w:p>
        </w:tc>
      </w:tr>
    </w:tbl>
    <w:p w:rsidR="00B26ED3" w:rsidRDefault="003423C1">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Izvori:</w:t>
      </w:r>
      <w:r>
        <w:rPr>
          <w:rFonts w:ascii="Times New Roman" w:hAnsi="Times New Roman"/>
          <w:noProof/>
          <w:sz w:val="20"/>
        </w:rPr>
        <w:t xml:space="preserve"> ESB, izračuni službi Komisije.</w:t>
      </w:r>
    </w:p>
    <w:p w:rsidR="00B26ED3" w:rsidRDefault="003423C1">
      <w:pPr>
        <w:spacing w:after="0"/>
        <w:jc w:val="both"/>
        <w:rPr>
          <w:rFonts w:ascii="Times New Roman" w:eastAsia="Times New Roman" w:hAnsi="Times New Roman" w:cs="Times New Roman"/>
          <w:noProof/>
          <w:sz w:val="20"/>
          <w:szCs w:val="20"/>
        </w:rPr>
      </w:pPr>
      <w:r>
        <w:rPr>
          <w:rFonts w:ascii="Times New Roman" w:hAnsi="Times New Roman"/>
          <w:i/>
          <w:noProof/>
          <w:sz w:val="20"/>
        </w:rPr>
        <w:t>Napomene:</w:t>
      </w:r>
      <w:r>
        <w:rPr>
          <w:rFonts w:ascii="Times New Roman" w:hAnsi="Times New Roman"/>
          <w:noProof/>
          <w:sz w:val="24"/>
        </w:rPr>
        <w:t xml:space="preserve"> </w:t>
      </w:r>
      <w:r>
        <w:rPr>
          <w:rFonts w:ascii="Times New Roman" w:hAnsi="Times New Roman"/>
          <w:noProof/>
          <w:sz w:val="20"/>
        </w:rPr>
        <w:t xml:space="preserve">Podaci o bruto </w:t>
      </w:r>
      <w:r>
        <w:rPr>
          <w:rFonts w:ascii="Times New Roman" w:hAnsi="Times New Roman"/>
          <w:noProof/>
          <w:sz w:val="20"/>
        </w:rPr>
        <w:t>neprihodujućim dužničkim instrumentima za 2008. nedostupni su za CZ, HR, SE i SI.</w:t>
      </w:r>
    </w:p>
    <w:p w:rsidR="00B26ED3" w:rsidRDefault="00B26ED3">
      <w:pPr>
        <w:spacing w:before="120" w:after="120"/>
        <w:rPr>
          <w:rFonts w:ascii="Times New Roman" w:eastAsia="Times New Roman" w:hAnsi="Times New Roman" w:cs="Times New Roman"/>
          <w:b/>
          <w:noProof/>
          <w:sz w:val="24"/>
          <w:szCs w:val="24"/>
        </w:rPr>
      </w:pPr>
    </w:p>
    <w:p w:rsidR="00B26ED3" w:rsidRDefault="003423C1">
      <w:pPr>
        <w:spacing w:before="120" w:after="120"/>
        <w:jc w:val="both"/>
        <w:rPr>
          <w:rFonts w:ascii="Times New Roman" w:eastAsia="Times New Roman" w:hAnsi="Times New Roman" w:cs="Times New Roman"/>
          <w:noProof/>
        </w:rPr>
      </w:pPr>
      <w:r>
        <w:rPr>
          <w:rFonts w:ascii="Times New Roman" w:hAnsi="Times New Roman"/>
          <w:b/>
          <w:noProof/>
        </w:rPr>
        <w:t>Cijene stambenih nekretnina povećavale su se u gotovo svim državama članicama EU-a u 2017. no čini se da se stope rasta cijena stambenih nekretnina usporavaju tamo gdje su n</w:t>
      </w:r>
      <w:r>
        <w:rPr>
          <w:rFonts w:ascii="Times New Roman" w:hAnsi="Times New Roman"/>
          <w:b/>
          <w:noProof/>
        </w:rPr>
        <w:t>ajjači znakovi precijenjenosti.</w:t>
      </w:r>
      <w:r>
        <w:rPr>
          <w:rFonts w:ascii="Times New Roman" w:hAnsi="Times New Roman"/>
          <w:noProof/>
        </w:rPr>
        <w:t xml:space="preserve"> Unatoč neprekinutom rastu cijena stambenih nekretnina u cijelom EU-u, podaci iz 2017. upućuju na manji broj država u kojima je rast cijena nekretnina iznad praga iz tablice rezultata u usporedbi s 2016. Godine 2017. samo je </w:t>
      </w:r>
      <w:r>
        <w:rPr>
          <w:rFonts w:ascii="Times New Roman" w:hAnsi="Times New Roman"/>
          <w:noProof/>
        </w:rPr>
        <w:t>šest država (Bugarska, Češka, Irska, Nizozemska, Portugal i Slovenija) ostvarilo vrijednosti iznad praga, dok je u tablici IMU-a za 2018. utvrđeno da je deset država ostvarilo vrijednosti iznad praga na temelju podataka iz 2016. Te promjene odražavaju sred</w:t>
      </w:r>
      <w:r>
        <w:rPr>
          <w:rFonts w:ascii="Times New Roman" w:hAnsi="Times New Roman"/>
          <w:noProof/>
        </w:rPr>
        <w:t>nje do umjereno usporavanje od vrijednosti iznad praga te ubrzanja u nekoliko država. Negativni rast realnih cijena stambenih nekretnina u 2017. zabilježen je samo u Grčkoj i Italiji. Noviji podaci pokazuju da su stope rasta u prvoj polovini 2018. u odnosu</w:t>
      </w:r>
      <w:r>
        <w:rPr>
          <w:rFonts w:ascii="Times New Roman" w:hAnsi="Times New Roman"/>
          <w:noProof/>
        </w:rPr>
        <w:t xml:space="preserve"> na prethodnu godinu bile iznad praga tablice rezultata od 6 % u Mađarskoj, Irskoj, Latviji, Nizozemskoj, Portugalu, Slovačkoj i Sloveniji.</w:t>
      </w:r>
    </w:p>
    <w:p w:rsidR="00B26ED3" w:rsidRDefault="003423C1">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U nizu zemalja, tj. u Austriji, Belgiji, Češkoj, Njemačkoj, Luksemburgu, na Malti i u Švedskoj, kontinuirani rast </w:t>
      </w:r>
      <w:r>
        <w:rPr>
          <w:rFonts w:ascii="Times New Roman" w:hAnsi="Times New Roman"/>
          <w:noProof/>
        </w:rPr>
        <w:t>realnih cijena stambenih nekretnina</w:t>
      </w:r>
      <w:r>
        <w:rPr>
          <w:rFonts w:ascii="Times New Roman" w:hAnsi="Times New Roman"/>
          <w:b/>
          <w:noProof/>
        </w:rPr>
        <w:t xml:space="preserve"> doveo je do toga da su se cijene stambenih nekretnina vratile na najviše razine predkriznog razdoblja ili su ih premašile</w:t>
      </w:r>
      <w:r>
        <w:rPr>
          <w:rFonts w:ascii="Times New Roman" w:hAnsi="Times New Roman"/>
          <w:noProof/>
        </w:rPr>
        <w:t>. Stope rasta realnih cijena stambenih nekretnina koje su više od stopa rasta dohotka i drugih rele</w:t>
      </w:r>
      <w:r>
        <w:rPr>
          <w:rFonts w:ascii="Times New Roman" w:hAnsi="Times New Roman"/>
          <w:noProof/>
        </w:rPr>
        <w:t xml:space="preserve">vantnih varijabli koje obično određuju cijene stambenih nekretnina dovode do </w:t>
      </w:r>
      <w:r>
        <w:rPr>
          <w:rFonts w:ascii="Times New Roman" w:hAnsi="Times New Roman"/>
          <w:b/>
          <w:noProof/>
        </w:rPr>
        <w:t xml:space="preserve">potencijalne precijenjenosti stambenih nekretnina u sve većem broju zemalja </w:t>
      </w:r>
      <w:r>
        <w:rPr>
          <w:rFonts w:ascii="Times New Roman" w:hAnsi="Times New Roman"/>
          <w:noProof/>
        </w:rPr>
        <w:t>(grafikon 17.).</w:t>
      </w:r>
      <w:r>
        <w:rPr>
          <w:rFonts w:ascii="Times New Roman" w:hAnsi="Times New Roman"/>
          <w:noProof/>
          <w:vertAlign w:val="superscript"/>
        </w:rPr>
        <w:footnoteReference w:id="34"/>
      </w:r>
      <w:r>
        <w:rPr>
          <w:rFonts w:ascii="Times New Roman" w:hAnsi="Times New Roman"/>
          <w:noProof/>
        </w:rPr>
        <w:t xml:space="preserve"> </w:t>
      </w:r>
    </w:p>
    <w:p w:rsidR="00B26ED3" w:rsidRDefault="003423C1">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Ubrzanja</w:t>
      </w:r>
      <w:r>
        <w:rPr>
          <w:rFonts w:ascii="Times New Roman" w:hAnsi="Times New Roman"/>
          <w:noProof/>
        </w:rPr>
        <w:t xml:space="preserve"> realnih cijena stambenih nekretnina u 2017. dogodila su se posebno </w:t>
      </w:r>
      <w:r>
        <w:rPr>
          <w:rFonts w:ascii="Times New Roman" w:hAnsi="Times New Roman"/>
          <w:b/>
          <w:noProof/>
        </w:rPr>
        <w:t>u zemljam</w:t>
      </w:r>
      <w:r>
        <w:rPr>
          <w:rFonts w:ascii="Times New Roman" w:hAnsi="Times New Roman"/>
          <w:b/>
          <w:noProof/>
        </w:rPr>
        <w:t>a s negativnim ili blago pozitivnim vrijednosnim jazovima</w:t>
      </w:r>
      <w:r>
        <w:rPr>
          <w:rFonts w:ascii="Times New Roman" w:hAnsi="Times New Roman"/>
          <w:noProof/>
        </w:rPr>
        <w:t xml:space="preserve"> (grafikon 18.).</w:t>
      </w:r>
      <w:r>
        <w:rPr>
          <w:noProof/>
        </w:rPr>
        <w:t xml:space="preserve"> S druge strane, </w:t>
      </w:r>
      <w:r>
        <w:rPr>
          <w:b/>
          <w:noProof/>
        </w:rPr>
        <w:t>usporavanja</w:t>
      </w:r>
      <w:r>
        <w:rPr>
          <w:noProof/>
        </w:rPr>
        <w:t xml:space="preserve"> su uočena</w:t>
      </w:r>
      <w:r>
        <w:rPr>
          <w:rFonts w:ascii="Times New Roman" w:hAnsi="Times New Roman"/>
          <w:b/>
          <w:noProof/>
        </w:rPr>
        <w:t xml:space="preserve"> u zemljama s jačim naznakama precijenjenosti</w:t>
      </w:r>
      <w:r>
        <w:rPr>
          <w:noProof/>
        </w:rPr>
        <w:t xml:space="preserve">, među ostalim u svjetlu ograničenja pristupačnosti, provedbe makrobonitetnih politika i mehaničkog </w:t>
      </w:r>
      <w:r>
        <w:rPr>
          <w:noProof/>
        </w:rPr>
        <w:t>učinka na rast realnih cijena stambenih nekretnina povezanog s</w:t>
      </w:r>
      <w:r>
        <w:rPr>
          <w:rFonts w:ascii="Times New Roman" w:hAnsi="Times New Roman"/>
          <w:noProof/>
        </w:rPr>
        <w:t xml:space="preserve"> povećanjem stopa inflacije (npr. u Austriji, Luksemburgu i Ujedinjenoj Kraljevini). Trenutačno su stope rasta cijena stambenih nekretnina najveće u zemljama s umjerenim znakovima precijenjenost</w:t>
      </w:r>
      <w:r>
        <w:rPr>
          <w:rFonts w:ascii="Times New Roman" w:hAnsi="Times New Roman"/>
          <w:noProof/>
        </w:rPr>
        <w:t xml:space="preserve">i ili bez znakova precijenjenosti. Tromjesečni podaci, i podaci za početak 2018., upućuju na ubrzanja u Estoniji, Hrvatskoj, Mađarskoj, Poljskoj, Portugalu, Sloveniji i Slovačkoj. Usporavanja su posebno zapažena u Bugarskoj, Češkoj, Rumunjskoj i Švedskoj, </w:t>
      </w:r>
      <w:r>
        <w:rPr>
          <w:rFonts w:ascii="Times New Roman" w:hAnsi="Times New Roman"/>
          <w:noProof/>
        </w:rPr>
        <w:t>gdje je rast cijena stambenih nekretnina postao negativan u prvoj polovini 2018. na godišnjoj osnovi</w:t>
      </w:r>
      <w:r>
        <w:rPr>
          <w:rStyle w:val="FootnoteReference"/>
          <w:rFonts w:ascii="Times New Roman" w:hAnsi="Times New Roman"/>
          <w:noProof/>
        </w:rPr>
        <w:footnoteReference w:id="35"/>
      </w:r>
      <w:r>
        <w:rPr>
          <w:noProof/>
        </w:rPr>
        <w:t>.</w:t>
      </w:r>
      <w:r>
        <w:rPr>
          <w:rFonts w:ascii="Times New Roman" w:hAnsi="Times New Roman"/>
          <w:noProof/>
        </w:rPr>
        <w:t xml:space="preserve"> Irska, Portugal i Slovenija imali su dvoznamenkaste stope rasta u prvoj polovini 2018. u usporedbi s prethodnom godinom.</w:t>
      </w:r>
    </w:p>
    <w:p w:rsidR="00B26ED3" w:rsidRDefault="003423C1">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noProof/>
        </w:rPr>
        <w:t>U nizu zemalja, uključujući Dans</w:t>
      </w:r>
      <w:r>
        <w:rPr>
          <w:noProof/>
        </w:rPr>
        <w:t xml:space="preserve">ku, Luksemburg, Švedsku i Ujedinjenu Kraljevinu, </w:t>
      </w:r>
      <w:r>
        <w:rPr>
          <w:b/>
          <w:noProof/>
        </w:rPr>
        <w:t>precijenjenost stambenih nekretnina postoji usporedno s velikim razinama duga kućanstava</w:t>
      </w:r>
      <w:r>
        <w:rPr>
          <w:noProof/>
        </w:rPr>
        <w:t>. Nizozemska ima vrlo visok dug kućanstava. Rast razine hipotekarnih kredita u 2017. bio je osobito brz (iznad 5 % u od</w:t>
      </w:r>
      <w:r>
        <w:rPr>
          <w:noProof/>
        </w:rPr>
        <w:t xml:space="preserve">nosu na prethodnu godinu) u Austriji, Belgiji, Bugarskoj, Češkoj, Estoniji, Francuskoj, Litvi, Luksemburgu, na Malti, u Poljskoj Rumunjskoj i Slovačkoj. </w:t>
      </w:r>
    </w:p>
    <w:p w:rsidR="00B26ED3" w:rsidRDefault="00B26ED3">
      <w:pPr>
        <w:spacing w:before="120" w:after="120"/>
        <w:jc w:val="both"/>
        <w:rPr>
          <w:rFonts w:ascii="Times New Roman" w:eastAsia="Times New Roman" w:hAnsi="Times New Roman" w:cs="Times New Roman"/>
          <w:noProof/>
        </w:rPr>
      </w:pPr>
    </w:p>
    <w:tbl>
      <w:tblPr>
        <w:tblW w:w="0" w:type="auto"/>
        <w:tblLook w:val="04A0" w:firstRow="1" w:lastRow="0" w:firstColumn="1" w:lastColumn="0" w:noHBand="0" w:noVBand="1"/>
      </w:tblPr>
      <w:tblGrid>
        <w:gridCol w:w="4688"/>
        <w:gridCol w:w="4600"/>
      </w:tblGrid>
      <w:tr w:rsidR="00B26ED3">
        <w:tc>
          <w:tcPr>
            <w:tcW w:w="4644" w:type="dxa"/>
          </w:tcPr>
          <w:p w:rsidR="00B26ED3" w:rsidRDefault="003423C1">
            <w:pPr>
              <w:keepNext/>
              <w:spacing w:before="120" w:after="120"/>
              <w:jc w:val="both"/>
              <w:rPr>
                <w:rFonts w:ascii="Times New Roman" w:eastAsia="MS Mincho" w:hAnsi="Times New Roman" w:cs="Times New Roman"/>
                <w:b/>
                <w:bCs/>
                <w:noProof/>
              </w:rPr>
            </w:pPr>
            <w:bookmarkStart w:id="1" w:name="_GoBack"/>
            <w:bookmarkEnd w:id="1"/>
            <w:r>
              <w:rPr>
                <w:rFonts w:ascii="Times New Roman" w:hAnsi="Times New Roman"/>
                <w:b/>
                <w:noProof/>
              </w:rPr>
              <w:t>Grafikon 17.: Promjene cijena stambenih nekretnina i vrijednosni jazovi u 2017.</w:t>
            </w:r>
          </w:p>
        </w:tc>
        <w:tc>
          <w:tcPr>
            <w:tcW w:w="4644" w:type="dxa"/>
          </w:tcPr>
          <w:p w:rsidR="00B26ED3" w:rsidRDefault="003423C1">
            <w:pPr>
              <w:keepNext/>
              <w:spacing w:before="120" w:after="120"/>
              <w:jc w:val="both"/>
              <w:rPr>
                <w:rFonts w:ascii="Times New Roman" w:eastAsia="MS Mincho" w:hAnsi="Times New Roman" w:cs="Times New Roman"/>
                <w:b/>
                <w:bCs/>
                <w:noProof/>
              </w:rPr>
            </w:pPr>
            <w:r>
              <w:rPr>
                <w:rFonts w:ascii="Times New Roman" w:hAnsi="Times New Roman"/>
                <w:b/>
                <w:noProof/>
              </w:rPr>
              <w:t>Grafikon 18.: Vrijedn</w:t>
            </w:r>
            <w:r>
              <w:rPr>
                <w:rFonts w:ascii="Times New Roman" w:hAnsi="Times New Roman"/>
                <w:b/>
                <w:noProof/>
              </w:rPr>
              <w:t>osni jazovi i promjene rasta cijena između 2016. i 2017.</w:t>
            </w:r>
          </w:p>
        </w:tc>
      </w:tr>
      <w:tr w:rsidR="00B26ED3">
        <w:tc>
          <w:tcPr>
            <w:tcW w:w="4644" w:type="dxa"/>
          </w:tcPr>
          <w:p w:rsidR="00B26ED3" w:rsidRDefault="003423C1">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eastAsia="en-GB"/>
              </w:rPr>
              <w:drawing>
                <wp:inline distT="0" distB="0" distL="0" distR="0">
                  <wp:extent cx="2876550" cy="2847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550" cy="2847975"/>
                          </a:xfrm>
                          <a:prstGeom prst="rect">
                            <a:avLst/>
                          </a:prstGeom>
                          <a:noFill/>
                          <a:ln>
                            <a:noFill/>
                          </a:ln>
                        </pic:spPr>
                      </pic:pic>
                    </a:graphicData>
                  </a:graphic>
                </wp:inline>
              </w:drawing>
            </w:r>
          </w:p>
        </w:tc>
        <w:tc>
          <w:tcPr>
            <w:tcW w:w="4644" w:type="dxa"/>
          </w:tcPr>
          <w:p w:rsidR="00B26ED3" w:rsidRDefault="003423C1">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eastAsia="en-GB"/>
              </w:rPr>
              <w:drawing>
                <wp:inline distT="0" distB="0" distL="0" distR="0">
                  <wp:extent cx="2819400" cy="2857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400" cy="2857500"/>
                          </a:xfrm>
                          <a:prstGeom prst="rect">
                            <a:avLst/>
                          </a:prstGeom>
                          <a:noFill/>
                          <a:ln>
                            <a:noFill/>
                          </a:ln>
                        </pic:spPr>
                      </pic:pic>
                    </a:graphicData>
                  </a:graphic>
                </wp:inline>
              </w:drawing>
            </w:r>
          </w:p>
        </w:tc>
      </w:tr>
    </w:tbl>
    <w:p w:rsidR="00B26ED3" w:rsidRDefault="003423C1">
      <w:pPr>
        <w:spacing w:after="0"/>
        <w:jc w:val="both"/>
        <w:rPr>
          <w:rFonts w:ascii="Times New Roman" w:eastAsia="Times New Roman" w:hAnsi="Times New Roman" w:cs="Times New Roman"/>
          <w:noProof/>
          <w:sz w:val="20"/>
          <w:szCs w:val="24"/>
        </w:rPr>
      </w:pPr>
      <w:r>
        <w:rPr>
          <w:rFonts w:ascii="Times New Roman" w:hAnsi="Times New Roman"/>
          <w:i/>
          <w:noProof/>
          <w:sz w:val="20"/>
        </w:rPr>
        <w:t>Izvor</w:t>
      </w:r>
      <w:r>
        <w:rPr>
          <w:rFonts w:ascii="Times New Roman" w:hAnsi="Times New Roman"/>
          <w:noProof/>
          <w:sz w:val="20"/>
        </w:rPr>
        <w:t>: Eurostat i izračuni službi Komisije.</w:t>
      </w:r>
    </w:p>
    <w:p w:rsidR="00B26ED3" w:rsidRDefault="003423C1">
      <w:pPr>
        <w:spacing w:after="0"/>
        <w:jc w:val="both"/>
        <w:rPr>
          <w:rFonts w:ascii="Times New Roman" w:eastAsia="Times New Roman" w:hAnsi="Times New Roman" w:cs="Times New Roman"/>
          <w:b/>
          <w:noProof/>
          <w:sz w:val="20"/>
          <w:szCs w:val="24"/>
        </w:rPr>
      </w:pPr>
      <w:r>
        <w:rPr>
          <w:rFonts w:ascii="Times New Roman" w:hAnsi="Times New Roman"/>
          <w:i/>
          <w:noProof/>
          <w:sz w:val="20"/>
        </w:rPr>
        <w:t>Napomena</w:t>
      </w:r>
      <w:r>
        <w:rPr>
          <w:rFonts w:ascii="Times New Roman" w:hAnsi="Times New Roman"/>
          <w:noProof/>
          <w:sz w:val="20"/>
        </w:rPr>
        <w:t xml:space="preserve">: razlika zbog precijenjenosti temelji se na prosjeku tri pokazatelja: odstupanja omjera cijena i dohotka te cijena i stanarina od njihovih </w:t>
      </w:r>
      <w:r>
        <w:rPr>
          <w:rFonts w:ascii="Times New Roman" w:hAnsi="Times New Roman"/>
          <w:noProof/>
          <w:sz w:val="20"/>
        </w:rPr>
        <w:t>dugotrajnih prosjeka i rezultati temeljnog modela vrijednosnih jazova; vidjeti bilješku </w:t>
      </w:r>
      <w:r>
        <w:rPr>
          <w:rFonts w:ascii="Times New Roman" w:eastAsia="Times New Roman" w:hAnsi="Times New Roman" w:cs="Times New Roman"/>
          <w:noProof/>
          <w:sz w:val="20"/>
          <w:szCs w:val="24"/>
        </w:rPr>
        <w:fldChar w:fldCharType="begin" w:fldLock="1"/>
      </w:r>
      <w:r>
        <w:rPr>
          <w:rFonts w:ascii="Times New Roman" w:eastAsia="Times New Roman" w:hAnsi="Times New Roman" w:cs="Times New Roman"/>
          <w:noProof/>
          <w:sz w:val="20"/>
          <w:szCs w:val="24"/>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rPr>
        <w:t>34</w:t>
      </w:r>
      <w:r>
        <w:rPr>
          <w:rFonts w:ascii="Times New Roman" w:eastAsia="Times New Roman" w:hAnsi="Times New Roman" w:cs="Times New Roman"/>
          <w:noProof/>
          <w:sz w:val="20"/>
          <w:szCs w:val="24"/>
        </w:rPr>
        <w:fldChar w:fldCharType="end"/>
      </w:r>
      <w:r>
        <w:rPr>
          <w:rFonts w:ascii="Times New Roman" w:hAnsi="Times New Roman"/>
          <w:noProof/>
          <w:sz w:val="20"/>
        </w:rPr>
        <w:t>.</w:t>
      </w:r>
    </w:p>
    <w:p w:rsidR="00B26ED3" w:rsidRDefault="00B26ED3">
      <w:pPr>
        <w:spacing w:before="120" w:after="120"/>
        <w:jc w:val="both"/>
        <w:rPr>
          <w:rFonts w:ascii="Times New Roman" w:eastAsia="Times New Roman" w:hAnsi="Times New Roman" w:cs="Times New Roman"/>
          <w:b/>
          <w:noProof/>
        </w:rPr>
      </w:pPr>
    </w:p>
    <w:p w:rsidR="00B26ED3" w:rsidRPr="003423C1" w:rsidRDefault="003423C1">
      <w:pPr>
        <w:spacing w:before="120" w:after="120"/>
        <w:jc w:val="both"/>
        <w:rPr>
          <w:rFonts w:ascii="Times New Roman" w:eastAsia="Times New Roman" w:hAnsi="Times New Roman" w:cs="Times New Roman"/>
          <w:noProof/>
          <w:lang w:val="fr-BE"/>
        </w:rPr>
      </w:pPr>
      <w:r>
        <w:rPr>
          <w:rFonts w:ascii="Times New Roman" w:hAnsi="Times New Roman"/>
          <w:b/>
          <w:noProof/>
        </w:rPr>
        <w:t>Rast omjera državnog duga zaustavljen je diljem EU-a,</w:t>
      </w:r>
      <w:r>
        <w:rPr>
          <w:rFonts w:ascii="Times New Roman" w:hAnsi="Times New Roman"/>
          <w:b/>
          <w:noProof/>
        </w:rPr>
        <w:t xml:space="preserve"> ali razine duga u mnogim zemljama i dalje su visoke. </w:t>
      </w:r>
      <w:r w:rsidRPr="003423C1">
        <w:rPr>
          <w:rFonts w:ascii="Times New Roman" w:hAnsi="Times New Roman"/>
          <w:noProof/>
          <w:lang w:val="fr-BE"/>
        </w:rPr>
        <w:t xml:space="preserve">Vrijednosti iz tablice rezultata prešle su prag u 15 država članica u 2017. Belgija, Grčka, Italija i Portugal bilježe razine duga veće od 100 % BDP-a, dok Italija bilježi znatan porast troškova financiranja u 2018. U osam zemalja (Belgija, Cipar, Finska, </w:t>
      </w:r>
      <w:r w:rsidRPr="003423C1">
        <w:rPr>
          <w:rFonts w:ascii="Times New Roman" w:hAnsi="Times New Roman"/>
          <w:noProof/>
          <w:lang w:val="fr-BE"/>
        </w:rPr>
        <w:t>Francuska, Irska, Portugal, Španjolska i Ujedinjena Kraljevina) državni dug veći od 60 % BDP-a javlja se u kombinaciji se sa zaduženosti privatnog sektora iznad relevantnog praga. Udjeli državnog duga u BDP-u općenito su se počeli smanjivati (grafikon 19.)</w:t>
      </w:r>
      <w:r w:rsidRPr="003423C1">
        <w:rPr>
          <w:rFonts w:ascii="Times New Roman" w:hAnsi="Times New Roman"/>
          <w:noProof/>
          <w:lang w:val="fr-BE"/>
        </w:rPr>
        <w:t>. U državama s visokim razinama javnog duga razduživanje je započelo tek nedavno i napreduje sporo. Od svih država članica EU-a, predviđa se rast udjela duga samo u Litvi i Rumunjskoj u 2019. Općenito, razduživanje sektora države odvija se u svjetlu postup</w:t>
      </w:r>
      <w:r w:rsidRPr="003423C1">
        <w:rPr>
          <w:rFonts w:ascii="Times New Roman" w:hAnsi="Times New Roman"/>
          <w:noProof/>
          <w:lang w:val="fr-BE"/>
        </w:rPr>
        <w:t>nog poboljšanja stanja proračuna u posljednjih nekoliko godina, stalnog rasta nominalnog BDP-a i smanjenih kamatnih plaćanja. Međutim, očekuje se da će sve veći broj zemalja prijeći na manje restriktivnu procikličku proračunsku politiku na štetu budućih mo</w:t>
      </w:r>
      <w:r w:rsidRPr="003423C1">
        <w:rPr>
          <w:rFonts w:ascii="Times New Roman" w:hAnsi="Times New Roman"/>
          <w:noProof/>
          <w:lang w:val="fr-BE"/>
        </w:rPr>
        <w:t xml:space="preserve">gućnosti za ublažavanje negativnih šokova outputa. </w:t>
      </w:r>
    </w:p>
    <w:p w:rsidR="00B26ED3" w:rsidRPr="003423C1" w:rsidRDefault="00B26ED3">
      <w:pPr>
        <w:spacing w:before="120" w:after="120"/>
        <w:rPr>
          <w:rFonts w:ascii="Times New Roman" w:eastAsia="Times New Roman" w:hAnsi="Times New Roman" w:cs="Times New Roman"/>
          <w:b/>
          <w:noProof/>
          <w:lang w:val="fr-BE"/>
        </w:rPr>
      </w:pPr>
    </w:p>
    <w:p w:rsidR="00B26ED3" w:rsidRDefault="003423C1">
      <w:pPr>
        <w:spacing w:before="120" w:after="120"/>
        <w:jc w:val="center"/>
        <w:rPr>
          <w:rFonts w:ascii="Times New Roman" w:eastAsia="Times New Roman" w:hAnsi="Times New Roman" w:cs="Times New Roman"/>
          <w:b/>
          <w:noProof/>
        </w:rPr>
      </w:pPr>
      <w:r>
        <w:rPr>
          <w:rFonts w:ascii="Times New Roman" w:hAnsi="Times New Roman"/>
          <w:b/>
          <w:noProof/>
        </w:rPr>
        <w:t>Grafikon 19.: Državni dug:</w:t>
      </w:r>
    </w:p>
    <w:p w:rsidR="00B26ED3" w:rsidRDefault="003423C1">
      <w:pPr>
        <w:spacing w:before="120" w:after="120"/>
        <w:jc w:val="center"/>
        <w:rPr>
          <w:rFonts w:ascii="Times New Roman" w:eastAsia="Times New Roman" w:hAnsi="Times New Roman" w:cs="Times New Roman"/>
          <w:noProof/>
          <w:sz w:val="24"/>
          <w:szCs w:val="24"/>
        </w:rPr>
      </w:pPr>
      <w:r>
        <w:rPr>
          <w:noProof/>
          <w:lang w:eastAsia="en-GB"/>
        </w:rPr>
        <w:drawing>
          <wp:inline distT="0" distB="0" distL="0" distR="0">
            <wp:extent cx="5105400" cy="3009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5400" cy="3009900"/>
                    </a:xfrm>
                    <a:prstGeom prst="rect">
                      <a:avLst/>
                    </a:prstGeom>
                    <a:noFill/>
                    <a:ln>
                      <a:noFill/>
                    </a:ln>
                  </pic:spPr>
                </pic:pic>
              </a:graphicData>
            </a:graphic>
          </wp:inline>
        </w:drawing>
      </w:r>
    </w:p>
    <w:p w:rsidR="00B26ED3" w:rsidRDefault="003423C1">
      <w:pPr>
        <w:spacing w:before="120" w:after="120"/>
        <w:rPr>
          <w:rFonts w:ascii="Times New Roman" w:eastAsia="Times New Roman" w:hAnsi="Times New Roman" w:cs="Times New Roman"/>
          <w:noProof/>
          <w:sz w:val="20"/>
          <w:szCs w:val="24"/>
        </w:rPr>
      </w:pPr>
      <w:r>
        <w:rPr>
          <w:rFonts w:ascii="Times New Roman" w:hAnsi="Times New Roman"/>
          <w:i/>
          <w:noProof/>
          <w:sz w:val="20"/>
        </w:rPr>
        <w:t>Izvor:</w:t>
      </w:r>
      <w:r>
        <w:rPr>
          <w:rFonts w:ascii="Times New Roman" w:hAnsi="Times New Roman"/>
          <w:noProof/>
          <w:sz w:val="20"/>
        </w:rPr>
        <w:t xml:space="preserve"> Eurostat</w:t>
      </w:r>
    </w:p>
    <w:p w:rsidR="00B26ED3" w:rsidRDefault="00B26ED3">
      <w:pPr>
        <w:spacing w:before="120" w:after="120"/>
        <w:rPr>
          <w:rFonts w:ascii="Times New Roman" w:eastAsia="Times New Roman" w:hAnsi="Times New Roman" w:cs="Times New Roman"/>
          <w:noProof/>
          <w:sz w:val="20"/>
          <w:szCs w:val="24"/>
        </w:rPr>
      </w:pPr>
    </w:p>
    <w:p w:rsidR="00B26ED3" w:rsidRDefault="003423C1">
      <w:pPr>
        <w:rPr>
          <w:rFonts w:ascii="Times New Roman" w:eastAsia="Times New Roman" w:hAnsi="Times New Roman" w:cs="Times New Roman"/>
          <w:i/>
          <w:noProof/>
          <w:sz w:val="20"/>
          <w:szCs w:val="20"/>
        </w:rPr>
      </w:pPr>
      <w:r>
        <w:rPr>
          <w:noProof/>
        </w:rPr>
        <w:br w:type="page"/>
      </w:r>
    </w:p>
    <w:p w:rsidR="00B26ED3" w:rsidRDefault="00B26ED3">
      <w:pPr>
        <w:spacing w:before="120"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26ED3" w:rsidRPr="003423C1">
        <w:tc>
          <w:tcPr>
            <w:tcW w:w="9288" w:type="dxa"/>
            <w:tcBorders>
              <w:top w:val="single" w:sz="4" w:space="0" w:color="auto"/>
              <w:left w:val="single" w:sz="4" w:space="0" w:color="auto"/>
              <w:bottom w:val="single" w:sz="4" w:space="0" w:color="auto"/>
              <w:right w:val="single" w:sz="4" w:space="0" w:color="auto"/>
            </w:tcBorders>
            <w:shd w:val="clear" w:color="auto" w:fill="BFBFBF"/>
          </w:tcPr>
          <w:p w:rsidR="00B26ED3" w:rsidRDefault="003423C1">
            <w:pPr>
              <w:spacing w:before="120" w:after="120" w:line="240" w:lineRule="auto"/>
              <w:jc w:val="center"/>
              <w:rPr>
                <w:rFonts w:ascii="Times New Roman" w:eastAsia="Times New Roman" w:hAnsi="Times New Roman" w:cs="Times New Roman"/>
                <w:b/>
                <w:i/>
                <w:noProof/>
              </w:rPr>
            </w:pPr>
            <w:r>
              <w:rPr>
                <w:rFonts w:ascii="Times New Roman" w:hAnsi="Times New Roman"/>
                <w:b/>
                <w:i/>
                <w:noProof/>
              </w:rPr>
              <w:t xml:space="preserve">Okvir 3.: </w:t>
            </w:r>
            <w:r>
              <w:rPr>
                <w:rFonts w:ascii="Times New Roman" w:hAnsi="Times New Roman"/>
                <w:b/>
                <w:noProof/>
              </w:rPr>
              <w:t>Kretanja u području zaposlenosti i socijalnih pitanja</w:t>
            </w:r>
          </w:p>
          <w:p w:rsidR="00B26ED3" w:rsidRDefault="003423C1">
            <w:pPr>
              <w:autoSpaceDE w:val="0"/>
              <w:autoSpaceDN w:val="0"/>
              <w:adjustRightInd w:val="0"/>
              <w:spacing w:after="0" w:line="240" w:lineRule="auto"/>
              <w:jc w:val="both"/>
              <w:rPr>
                <w:rFonts w:ascii="Times New Roman" w:hAnsi="Times New Roman" w:cs="Times New Roman"/>
                <w:noProof/>
                <w:lang w:val="pl-PL"/>
              </w:rPr>
            </w:pPr>
            <w:r>
              <w:rPr>
                <w:rFonts w:ascii="Times New Roman" w:hAnsi="Times New Roman"/>
                <w:b/>
                <w:noProof/>
              </w:rPr>
              <w:t xml:space="preserve">Tržišta rada u EU-u nastavila su se poboljšavati tijekom 2017. i u prvoj polovici 2018., </w:t>
            </w:r>
            <w:r>
              <w:rPr>
                <w:rFonts w:ascii="Times New Roman" w:hAnsi="Times New Roman"/>
                <w:b/>
                <w:noProof/>
              </w:rPr>
              <w:t>pri čemu su se smanjile velike razlike diljem EU-a.</w:t>
            </w:r>
            <w:r>
              <w:rPr>
                <w:rFonts w:ascii="Times New Roman" w:hAnsi="Times New Roman"/>
                <w:noProof/>
              </w:rPr>
              <w:t xml:space="preserve"> </w:t>
            </w:r>
            <w:r>
              <w:rPr>
                <w:rFonts w:ascii="Times New Roman" w:hAnsi="Times New Roman"/>
                <w:noProof/>
                <w:lang w:val="pl-PL"/>
              </w:rPr>
              <w:t xml:space="preserve">Zaposlenost je dodatno porasla te je broj zaposlenih osoba u EU-u u cjelini dostigao rekordne razine. Nezaposlenost se smanjuje u svim državama članicama EU-a iako je u nekima još uvijek visoka. Oporavak </w:t>
            </w:r>
            <w:r>
              <w:rPr>
                <w:rFonts w:ascii="Times New Roman" w:hAnsi="Times New Roman"/>
                <w:noProof/>
                <w:lang w:val="pl-PL"/>
              </w:rPr>
              <w:t>je pridonio smanjenju nekih pokazatelja siromaštva</w:t>
            </w:r>
            <w:r>
              <w:rPr>
                <w:rStyle w:val="FootnoteReference"/>
                <w:rFonts w:ascii="Times New Roman" w:hAnsi="Times New Roman"/>
                <w:noProof/>
                <w:lang w:val="pl-PL"/>
              </w:rPr>
              <w:t xml:space="preserve"> </w:t>
            </w:r>
            <w:r>
              <w:rPr>
                <w:rFonts w:ascii="Times New Roman" w:hAnsi="Times New Roman"/>
                <w:noProof/>
                <w:lang w:val="pl-PL"/>
              </w:rPr>
              <w:t>, no socijalna situacija u nekim državama članicama i dalje je zabrinjavajuća. Od 2008. relativni rizik od siromaštva povećao se u EU-u, ali se teška materijalna oskudica smanjila, osobito u istočnoeuropsk</w:t>
            </w:r>
            <w:r>
              <w:rPr>
                <w:rFonts w:ascii="Times New Roman" w:hAnsi="Times New Roman"/>
                <w:noProof/>
                <w:lang w:val="pl-PL"/>
              </w:rPr>
              <w:t>im državama članicama u kojima je bila vrlo visoka.</w:t>
            </w:r>
          </w:p>
          <w:p w:rsidR="00B26ED3" w:rsidRDefault="00B26ED3">
            <w:pPr>
              <w:autoSpaceDE w:val="0"/>
              <w:autoSpaceDN w:val="0"/>
              <w:adjustRightInd w:val="0"/>
              <w:spacing w:after="0" w:line="240" w:lineRule="auto"/>
              <w:rPr>
                <w:rFonts w:ascii="Times New Roman" w:hAnsi="Times New Roman" w:cs="Times New Roman"/>
                <w:noProof/>
                <w:lang w:val="pl-PL"/>
              </w:rPr>
            </w:pPr>
          </w:p>
          <w:p w:rsidR="00B26ED3" w:rsidRDefault="003423C1">
            <w:pPr>
              <w:autoSpaceDE w:val="0"/>
              <w:autoSpaceDN w:val="0"/>
              <w:adjustRightInd w:val="0"/>
              <w:spacing w:after="0" w:line="240" w:lineRule="auto"/>
              <w:jc w:val="both"/>
              <w:rPr>
                <w:rFonts w:ascii="Times New Roman" w:hAnsi="Times New Roman" w:cs="Times New Roman"/>
                <w:noProof/>
                <w:lang w:val="pl-PL"/>
              </w:rPr>
            </w:pPr>
            <w:r>
              <w:rPr>
                <w:rFonts w:ascii="Times New Roman" w:hAnsi="Times New Roman"/>
                <w:b/>
                <w:noProof/>
                <w:lang w:val="pl-PL"/>
              </w:rPr>
              <w:t xml:space="preserve">U 2017. </w:t>
            </w:r>
            <w:r>
              <w:rPr>
                <w:rFonts w:ascii="Times New Roman" w:hAnsi="Times New Roman"/>
                <w:b/>
                <w:i/>
                <w:noProof/>
                <w:lang w:val="pl-PL"/>
              </w:rPr>
              <w:t>stopa nezaposlenosti</w:t>
            </w:r>
            <w:r>
              <w:rPr>
                <w:rFonts w:ascii="Times New Roman" w:hAnsi="Times New Roman"/>
                <w:b/>
                <w:noProof/>
                <w:lang w:val="pl-PL"/>
              </w:rPr>
              <w:t xml:space="preserve"> smanjila se u svim državama članicama.</w:t>
            </w:r>
            <w:r>
              <w:rPr>
                <w:rFonts w:ascii="Times New Roman" w:hAnsi="Times New Roman"/>
                <w:noProof/>
                <w:lang w:val="pl-PL"/>
              </w:rPr>
              <w:t xml:space="preserve"> Poboljšanja su bila najveća u zemljama s najvišom razinom nezaposlenosti (smanjenja od 2 postotna boda ili više u Hrvatskoj, Grčkoj, Portugalu i Španjolskoj). Ipak, sedam država članica (Grčka, Španjolska, Hrvatska, Cipar, Italija, Portugal i Francuska) p</w:t>
            </w:r>
            <w:r>
              <w:rPr>
                <w:rFonts w:ascii="Times New Roman" w:hAnsi="Times New Roman"/>
                <w:noProof/>
                <w:lang w:val="pl-PL"/>
              </w:rPr>
              <w:t>remašile su prag tablice pokazatelja PMN-a u prosjeku za 10 % u protekle tri godine. Stope nezaposlenosti u 2017. još su uvijek bile više nego u 2008. u približno dvije trećine država članica. Stope nezaposlenosti u cijelom EU-u i europodručju bile su za p</w:t>
            </w:r>
            <w:r>
              <w:rPr>
                <w:rFonts w:ascii="Times New Roman" w:hAnsi="Times New Roman"/>
                <w:noProof/>
                <w:lang w:val="pl-PL"/>
              </w:rPr>
              <w:t>ribližno 3 postotna boda ispod najvećih razina dosegnutih 2013., iako još uvijek za 0,5 odnosno 1,5 postotnih bodova više nego u 2008. U prvoj polovini 2018. stope nezaposlenosti nastavile su se postupno smanjivati, pri čemu su se u drugom tromjesečju 2018</w:t>
            </w:r>
            <w:r>
              <w:rPr>
                <w:rFonts w:ascii="Times New Roman" w:hAnsi="Times New Roman"/>
                <w:noProof/>
                <w:lang w:val="pl-PL"/>
              </w:rPr>
              <w:t xml:space="preserve">. snizile na 6,9 % u EU-u odnosno 8,3 % u europodručju. </w:t>
            </w:r>
          </w:p>
          <w:p w:rsidR="00B26ED3" w:rsidRDefault="00B26ED3">
            <w:pPr>
              <w:autoSpaceDE w:val="0"/>
              <w:autoSpaceDN w:val="0"/>
              <w:adjustRightInd w:val="0"/>
              <w:spacing w:after="0" w:line="240" w:lineRule="auto"/>
              <w:jc w:val="both"/>
              <w:rPr>
                <w:rFonts w:ascii="Times New Roman" w:hAnsi="Times New Roman" w:cs="Times New Roman"/>
                <w:noProof/>
                <w:lang w:val="pl-PL"/>
              </w:rPr>
            </w:pPr>
          </w:p>
          <w:p w:rsidR="00B26ED3" w:rsidRDefault="003423C1">
            <w:pPr>
              <w:autoSpaceDE w:val="0"/>
              <w:autoSpaceDN w:val="0"/>
              <w:adjustRightInd w:val="0"/>
              <w:spacing w:after="0" w:line="240" w:lineRule="auto"/>
              <w:jc w:val="both"/>
              <w:rPr>
                <w:rFonts w:ascii="Times New Roman" w:hAnsi="Times New Roman" w:cs="Times New Roman"/>
                <w:noProof/>
                <w:lang w:val="pl-PL"/>
              </w:rPr>
            </w:pPr>
            <w:r>
              <w:rPr>
                <w:rFonts w:ascii="Times New Roman" w:hAnsi="Times New Roman"/>
                <w:b/>
                <w:i/>
                <w:noProof/>
                <w:lang w:val="pl-PL"/>
              </w:rPr>
              <w:t>Stope zaposlenosti</w:t>
            </w:r>
            <w:r>
              <w:rPr>
                <w:rFonts w:ascii="Times New Roman" w:hAnsi="Times New Roman"/>
                <w:b/>
                <w:noProof/>
                <w:lang w:val="pl-PL"/>
              </w:rPr>
              <w:t xml:space="preserve"> povisile su se u skoro svim državama članicama, čime je nastavljeno pozitivno kretanje iz posljednjih godina.</w:t>
            </w:r>
            <w:r>
              <w:rPr>
                <w:rFonts w:ascii="Times New Roman" w:hAnsi="Times New Roman"/>
                <w:noProof/>
                <w:lang w:val="pl-PL"/>
              </w:rPr>
              <w:t xml:space="preserve"> Stopa zaposlenosti (dobna skupina 20–64) dosegla je 72,1 % u 2017. u </w:t>
            </w:r>
            <w:r>
              <w:rPr>
                <w:rFonts w:ascii="Times New Roman" w:hAnsi="Times New Roman"/>
                <w:noProof/>
                <w:lang w:val="pl-PL"/>
              </w:rPr>
              <w:t xml:space="preserve">EU-u kao cjelini i premašila najveću razinu prije krize od 70,3 % zabilježenu 2008. Stopa zaposlenosti u drugom tromjesečju 2018. i dalje je rasla do rekordnih 73,2 %. </w:t>
            </w:r>
          </w:p>
          <w:p w:rsidR="00B26ED3" w:rsidRDefault="00B26ED3">
            <w:pPr>
              <w:autoSpaceDE w:val="0"/>
              <w:autoSpaceDN w:val="0"/>
              <w:adjustRightInd w:val="0"/>
              <w:spacing w:after="0" w:line="240" w:lineRule="auto"/>
              <w:rPr>
                <w:rFonts w:ascii="Times New Roman" w:hAnsi="Times New Roman" w:cs="Times New Roman"/>
                <w:noProof/>
                <w:lang w:val="pl-PL"/>
              </w:rPr>
            </w:pPr>
          </w:p>
          <w:p w:rsidR="00B26ED3" w:rsidRDefault="003423C1">
            <w:pPr>
              <w:autoSpaceDE w:val="0"/>
              <w:autoSpaceDN w:val="0"/>
              <w:adjustRightInd w:val="0"/>
              <w:spacing w:after="0" w:line="240" w:lineRule="auto"/>
              <w:jc w:val="both"/>
              <w:rPr>
                <w:rFonts w:ascii="Times New Roman" w:hAnsi="Times New Roman" w:cs="Times New Roman"/>
                <w:noProof/>
                <w:lang w:val="pl-PL"/>
              </w:rPr>
            </w:pPr>
            <w:r>
              <w:rPr>
                <w:rFonts w:ascii="Times New Roman" w:hAnsi="Times New Roman"/>
                <w:b/>
                <w:i/>
                <w:noProof/>
                <w:lang w:val="pl-PL"/>
              </w:rPr>
              <w:t>Stope aktivnosti</w:t>
            </w:r>
            <w:r>
              <w:rPr>
                <w:noProof/>
                <w:lang w:val="pl-PL"/>
              </w:rPr>
              <w:t xml:space="preserve"> </w:t>
            </w:r>
            <w:r>
              <w:rPr>
                <w:rFonts w:ascii="Times New Roman" w:hAnsi="Times New Roman"/>
                <w:b/>
                <w:noProof/>
                <w:lang w:val="pl-PL"/>
              </w:rPr>
              <w:t>nastavljaju se povećavati gotovo u svim državama članicama EU-a.</w:t>
            </w:r>
            <w:r>
              <w:rPr>
                <w:rFonts w:ascii="Times New Roman" w:hAnsi="Times New Roman"/>
                <w:noProof/>
                <w:lang w:val="pl-PL"/>
              </w:rPr>
              <w:t xml:space="preserve"> Samo</w:t>
            </w:r>
            <w:r>
              <w:rPr>
                <w:rFonts w:ascii="Times New Roman" w:hAnsi="Times New Roman"/>
                <w:noProof/>
                <w:lang w:val="pl-PL"/>
              </w:rPr>
              <w:t xml:space="preserve"> su tri države u zadnje tri godine zabilježile smanjenje stope aktivnosti: Španjolska (-0,3 postotna boda), Cipar (-0,4) i Luksemburg (-0,6). U sva tri slučaja taj pad premašuje prag iz tablice rezultata od -0,2. Ukupno su stope aktivnosti iznosile 73,3 % </w:t>
            </w:r>
            <w:r>
              <w:rPr>
                <w:rFonts w:ascii="Times New Roman" w:hAnsi="Times New Roman"/>
                <w:noProof/>
                <w:lang w:val="pl-PL"/>
              </w:rPr>
              <w:t xml:space="preserve">u EU-u i 73,1 % u europodručju u 2017., što je 2,5 odnosno 2 postotna boda iznad razina iz 2008. Taj rastući trend uglavnom je posljedica većeg sudjelovanja starijih radnika i žena na tržištu rada. </w:t>
            </w:r>
          </w:p>
          <w:p w:rsidR="00B26ED3" w:rsidRDefault="00B26ED3">
            <w:pPr>
              <w:autoSpaceDE w:val="0"/>
              <w:autoSpaceDN w:val="0"/>
              <w:adjustRightInd w:val="0"/>
              <w:spacing w:after="0" w:line="240" w:lineRule="auto"/>
              <w:rPr>
                <w:rFonts w:ascii="Times New Roman" w:hAnsi="Times New Roman" w:cs="Times New Roman"/>
                <w:noProof/>
                <w:lang w:val="pl-PL"/>
              </w:rPr>
            </w:pPr>
          </w:p>
          <w:p w:rsidR="00B26ED3" w:rsidRDefault="003423C1">
            <w:pPr>
              <w:autoSpaceDE w:val="0"/>
              <w:autoSpaceDN w:val="0"/>
              <w:adjustRightInd w:val="0"/>
              <w:spacing w:after="0" w:line="240" w:lineRule="auto"/>
              <w:jc w:val="both"/>
              <w:rPr>
                <w:rFonts w:ascii="Times New Roman" w:hAnsi="Times New Roman" w:cs="Times New Roman"/>
                <w:noProof/>
                <w:lang w:val="pl-PL"/>
              </w:rPr>
            </w:pPr>
            <w:r>
              <w:rPr>
                <w:rFonts w:ascii="Times New Roman" w:hAnsi="Times New Roman"/>
                <w:b/>
                <w:noProof/>
                <w:lang w:val="pl-PL"/>
              </w:rPr>
              <w:t xml:space="preserve">Dugotrajna nezaposlenost i nezaposlenost mladih i dalje </w:t>
            </w:r>
            <w:r>
              <w:rPr>
                <w:rFonts w:ascii="Times New Roman" w:hAnsi="Times New Roman"/>
                <w:b/>
                <w:noProof/>
                <w:lang w:val="pl-PL"/>
              </w:rPr>
              <w:t>su povišene u raznim državama članicama EU-a, ali su se poboljšale više od ostatka tržišta rada.</w:t>
            </w:r>
            <w:r>
              <w:rPr>
                <w:rFonts w:ascii="Times New Roman" w:hAnsi="Times New Roman"/>
                <w:i/>
                <w:noProof/>
                <w:lang w:val="pl-PL"/>
              </w:rPr>
              <w:t xml:space="preserve"> Dugotrajna nezaposlenost</w:t>
            </w:r>
            <w:r>
              <w:rPr>
                <w:rFonts w:ascii="Times New Roman" w:hAnsi="Times New Roman"/>
                <w:noProof/>
                <w:lang w:val="pl-PL"/>
              </w:rPr>
              <w:t xml:space="preserve"> smanjila se u svim državama članicama u 2017. Samo su u dvije države zabilježene stope koje su veće nego prije tri godine: u Austriji </w:t>
            </w:r>
            <w:r>
              <w:rPr>
                <w:rFonts w:ascii="Times New Roman" w:hAnsi="Times New Roman"/>
                <w:noProof/>
                <w:lang w:val="pl-PL"/>
              </w:rPr>
              <w:t>je stopa dugotrajne nezaposlenosti iznosila 1,8 % (0,3 postotna boda više nego 2014.), dok je u Finskoj iznosila 2,1 % (povećanje od 0,2 postotnih bodova od 2014.). Niti jedno povećanje ne premašuje prag iz tablice rezultata od 0,5 postotnih bodova. Najviš</w:t>
            </w:r>
            <w:r>
              <w:rPr>
                <w:rFonts w:ascii="Times New Roman" w:hAnsi="Times New Roman"/>
                <w:noProof/>
                <w:lang w:val="pl-PL"/>
              </w:rPr>
              <w:t xml:space="preserve">e stope dugotrajne nezaposlenosti zapažene su u Grčkoj (15,6 %), Španjolskoj (7,7 %), Italiji (6,5 %), i Slovačkoj (5,1 %). U razdoblju od tri godine do 2017. </w:t>
            </w:r>
            <w:r>
              <w:rPr>
                <w:rFonts w:ascii="Times New Roman" w:hAnsi="Times New Roman"/>
                <w:i/>
                <w:noProof/>
                <w:lang w:val="pl-PL"/>
              </w:rPr>
              <w:t>stopa</w:t>
            </w:r>
            <w:r>
              <w:rPr>
                <w:rFonts w:ascii="Times New Roman" w:hAnsi="Times New Roman"/>
                <w:noProof/>
                <w:lang w:val="pl-PL"/>
              </w:rPr>
              <w:t xml:space="preserve"> </w:t>
            </w:r>
            <w:r>
              <w:rPr>
                <w:rFonts w:ascii="Times New Roman" w:hAnsi="Times New Roman"/>
                <w:i/>
                <w:noProof/>
                <w:lang w:val="pl-PL"/>
              </w:rPr>
              <w:t>nezaposlenosti mladih</w:t>
            </w:r>
            <w:r>
              <w:rPr>
                <w:rFonts w:ascii="Times New Roman" w:hAnsi="Times New Roman"/>
                <w:noProof/>
                <w:lang w:val="pl-PL"/>
              </w:rPr>
              <w:t xml:space="preserve"> smanjila se u svim državama članicama EU-a. Pad od 10 postotnih bodov</w:t>
            </w:r>
            <w:r>
              <w:rPr>
                <w:rFonts w:ascii="Times New Roman" w:hAnsi="Times New Roman"/>
                <w:noProof/>
                <w:lang w:val="pl-PL"/>
              </w:rPr>
              <w:t>a ili više u istom razdoblju zabilježen je u Bugarskoj, Hrvatskoj, na Cipru, u Portugalu, Slovačkoj i Španjolskoj. No stopa nezaposlenosti mladih još je uvijek iznad 30 % u Grčkoj, Italiji i Španjolskoj dok je udio mladih koji nisu u sustavu obrazovanja, n</w:t>
            </w:r>
            <w:r>
              <w:rPr>
                <w:rFonts w:ascii="Times New Roman" w:hAnsi="Times New Roman"/>
                <w:noProof/>
                <w:lang w:val="pl-PL"/>
              </w:rPr>
              <w:t xml:space="preserve">e rade i ne pohađaju programe osposobljavanja još uvijek iznad 15 % u Bugarskoj, Hrvatskoj, na Cipru, u Grčkoj, Italiji i Rumunjskoj. </w:t>
            </w:r>
          </w:p>
          <w:p w:rsidR="00B26ED3" w:rsidRDefault="00B26ED3">
            <w:pPr>
              <w:autoSpaceDE w:val="0"/>
              <w:autoSpaceDN w:val="0"/>
              <w:adjustRightInd w:val="0"/>
              <w:spacing w:after="0" w:line="240" w:lineRule="auto"/>
              <w:rPr>
                <w:rFonts w:ascii="Times New Roman" w:hAnsi="Times New Roman" w:cs="Times New Roman"/>
                <w:i/>
                <w:iCs/>
                <w:noProof/>
                <w:lang w:val="pl-PL"/>
              </w:rPr>
            </w:pPr>
          </w:p>
          <w:p w:rsidR="00B26ED3" w:rsidRDefault="003423C1">
            <w:pPr>
              <w:autoSpaceDE w:val="0"/>
              <w:autoSpaceDN w:val="0"/>
              <w:adjustRightInd w:val="0"/>
              <w:spacing w:before="120" w:after="0" w:line="240" w:lineRule="auto"/>
              <w:jc w:val="both"/>
              <w:rPr>
                <w:rFonts w:ascii="Times New Roman" w:eastAsia="Times New Roman" w:hAnsi="Times New Roman" w:cs="Times New Roman"/>
                <w:noProof/>
                <w:sz w:val="24"/>
                <w:szCs w:val="24"/>
                <w:lang w:val="pl-PL"/>
              </w:rPr>
            </w:pPr>
            <w:r>
              <w:rPr>
                <w:rFonts w:ascii="Times New Roman" w:hAnsi="Times New Roman"/>
                <w:b/>
                <w:noProof/>
                <w:lang w:val="pl-PL"/>
              </w:rPr>
              <w:t xml:space="preserve">Socijalno stanje se poboljšava, no i dalje predstavlja razlog za zabrinutost u raznim državama članicama EU-a, što se </w:t>
            </w:r>
            <w:r>
              <w:rPr>
                <w:rFonts w:ascii="Times New Roman" w:hAnsi="Times New Roman"/>
                <w:b/>
                <w:noProof/>
                <w:lang w:val="pl-PL"/>
              </w:rPr>
              <w:t>vidi po standardnim mjerilima siromaštva i oskudice.</w:t>
            </w:r>
            <w:r>
              <w:rPr>
                <w:rFonts w:ascii="Times New Roman" w:hAnsi="Times New Roman"/>
                <w:noProof/>
                <w:lang w:val="pl-PL"/>
              </w:rPr>
              <w:t xml:space="preserve"> Udio osoba kojima prijeti siromaštvo ili socijalna isključenost (AROPE) u EU-u smanjio se za jedan postotni bod na 22,5 % u razdoblju od 2016. do 2017</w:t>
            </w:r>
            <w:r>
              <w:rPr>
                <w:rStyle w:val="FootnoteReference"/>
                <w:rFonts w:ascii="Times New Roman" w:hAnsi="Times New Roman"/>
                <w:noProof/>
              </w:rPr>
              <w:footnoteReference w:id="36"/>
            </w:r>
            <w:r>
              <w:rPr>
                <w:noProof/>
                <w:lang w:val="pl-PL"/>
              </w:rPr>
              <w:t>.</w:t>
            </w:r>
            <w:r>
              <w:rPr>
                <w:rFonts w:ascii="Times New Roman" w:hAnsi="Times New Roman"/>
                <w:noProof/>
                <w:lang w:val="pl-PL"/>
              </w:rPr>
              <w:t xml:space="preserve"> To je otprilike jedan postotni bod ispod stope zab</w:t>
            </w:r>
            <w:r>
              <w:rPr>
                <w:rFonts w:ascii="Times New Roman" w:hAnsi="Times New Roman"/>
                <w:noProof/>
                <w:lang w:val="pl-PL"/>
              </w:rPr>
              <w:t>ilježene na početku krize i oko dva postotna boda ispod najveće razine zabilježene 2013. Većina zemalja zabilježila je smanjenja u 2017. Povećanja su zabilježena u Austriji, Danskoj, Luksemburgu i Nizozemskoj, iako s relativno niskih razina. Razina stope i</w:t>
            </w:r>
            <w:r>
              <w:rPr>
                <w:rFonts w:ascii="Times New Roman" w:hAnsi="Times New Roman"/>
                <w:noProof/>
                <w:lang w:val="pl-PL"/>
              </w:rPr>
              <w:t>zloženosti riziku od siromaštva ili socijalne isključenosti bila je vrlo neujednačena, od 38,9 % u Bugarskoj, nakon koje slijede Rumunjska, Grčka i Litva, do oko 12 % u Češkoj, nakon koje slijede Finska, Slovačka i Nizozemska. Ta opća kretanja u pogledu si</w:t>
            </w:r>
            <w:r>
              <w:rPr>
                <w:rFonts w:ascii="Times New Roman" w:hAnsi="Times New Roman"/>
                <w:noProof/>
                <w:lang w:val="pl-PL"/>
              </w:rPr>
              <w:t>romaštva i socijalne isključenosti odražavaju različita kretanja njezinih različitih sastavnica.</w:t>
            </w:r>
            <w:r>
              <w:rPr>
                <w:rFonts w:ascii="Times New Roman" w:hAnsi="Times New Roman"/>
                <w:b/>
                <w:noProof/>
                <w:lang w:val="pl-PL"/>
              </w:rPr>
              <w:t xml:space="preserve"> </w:t>
            </w:r>
            <w:r>
              <w:rPr>
                <w:rFonts w:ascii="Times New Roman" w:hAnsi="Times New Roman"/>
                <w:noProof/>
                <w:lang w:val="pl-PL"/>
              </w:rPr>
              <w:t xml:space="preserve">Udio osoba izloženih riziku od siromaštva u nekim se državama članicama posljednjih godina povećao, dok se u drugima smanjio: najveća povećanja u trogodišnjem </w:t>
            </w:r>
            <w:r>
              <w:rPr>
                <w:rFonts w:ascii="Times New Roman" w:hAnsi="Times New Roman"/>
                <w:noProof/>
                <w:lang w:val="pl-PL"/>
              </w:rPr>
              <w:t>razdoblju zabilježena su u Litvi (3,8 postotnih bodova) i Luksemburgu (2,3), dok je u Grčkoj (1,9) i Poljskoj (2,0) zabilježen znatan pad. Suprotno tome, teška materijalna oskudica smanjila se tijekom trogodišnjeg razdoblja (i u 2017.) u većini država član</w:t>
            </w:r>
            <w:r>
              <w:rPr>
                <w:rFonts w:ascii="Times New Roman" w:hAnsi="Times New Roman"/>
                <w:noProof/>
                <w:lang w:val="pl-PL"/>
              </w:rPr>
              <w:t>ica EU-a; tijekom trogodišnjeg razdoblja smanjila se za više od 5 postotnih bodova u Mađarskoj, Latviji, na Malti i u Rumunjskoj. Naposljetku, iako je oporavak doveo do smanjenja udjela osoba (mlađih od 60 godina) koje žive u kućanstvima s vrlo niskim inte</w:t>
            </w:r>
            <w:r>
              <w:rPr>
                <w:rFonts w:ascii="Times New Roman" w:hAnsi="Times New Roman"/>
                <w:noProof/>
                <w:lang w:val="pl-PL"/>
              </w:rPr>
              <w:t>nzitetom rada u većini zemalja, taj se udio povećao u Finskoj i Litvi u razdoblju od tri godine do 2017.; a siromaštvo zaposlenih stabiliziralo se u posljednje dvije godine na najvećoj razini od 9,6 % za EU u cjelini.</w:t>
            </w:r>
          </w:p>
        </w:tc>
      </w:tr>
    </w:tbl>
    <w:p w:rsidR="00B26ED3" w:rsidRDefault="003423C1">
      <w:pPr>
        <w:rPr>
          <w:rFonts w:ascii="Times New Roman" w:eastAsia="Times New Roman" w:hAnsi="Times New Roman" w:cs="Times New Roman"/>
          <w:b/>
          <w:noProof/>
          <w:sz w:val="24"/>
          <w:szCs w:val="24"/>
          <w:lang w:val="pl-PL"/>
        </w:rPr>
      </w:pPr>
      <w:r>
        <w:rPr>
          <w:noProof/>
          <w:lang w:val="pl-PL"/>
        </w:rPr>
        <w:br w:type="page"/>
      </w:r>
    </w:p>
    <w:p w:rsidR="00B26ED3" w:rsidRDefault="003423C1">
      <w:pPr>
        <w:rPr>
          <w:rFonts w:ascii="Times New Roman Bold" w:eastAsia="MS Gothic" w:hAnsi="Times New Roman Bold" w:cs="Times New Roman" w:hint="eastAsia"/>
          <w:b/>
          <w:bCs/>
          <w:smallCaps/>
          <w:noProof/>
          <w:lang w:val="pl-PL"/>
        </w:rPr>
      </w:pPr>
      <w:r>
        <w:rPr>
          <w:rFonts w:ascii="Times New Roman Bold" w:hAnsi="Times New Roman Bold"/>
          <w:b/>
          <w:smallCaps/>
          <w:noProof/>
          <w:lang w:val="pl-PL"/>
        </w:rPr>
        <w:t>3.</w:t>
      </w:r>
      <w:r>
        <w:rPr>
          <w:noProof/>
          <w:lang w:val="pl-PL"/>
        </w:rPr>
        <w:tab/>
      </w:r>
      <w:r>
        <w:rPr>
          <w:rFonts w:ascii="Times New Roman Bold" w:hAnsi="Times New Roman Bold"/>
          <w:b/>
          <w:smallCaps/>
          <w:noProof/>
          <w:lang w:val="pl-PL"/>
        </w:rPr>
        <w:t xml:space="preserve">sažetak glavnih izazova po </w:t>
      </w:r>
      <w:r>
        <w:rPr>
          <w:rFonts w:ascii="Times New Roman Bold" w:hAnsi="Times New Roman Bold"/>
          <w:b/>
          <w:smallCaps/>
          <w:noProof/>
          <w:lang w:val="pl-PL"/>
        </w:rPr>
        <w:t>državama članicama i implikacije sa stajališta nadzora</w:t>
      </w:r>
    </w:p>
    <w:p w:rsidR="00B26ED3" w:rsidRDefault="003423C1">
      <w:pPr>
        <w:spacing w:before="120" w:after="120"/>
        <w:jc w:val="both"/>
        <w:rPr>
          <w:rFonts w:ascii="Times New Roman" w:eastAsia="Times New Roman" w:hAnsi="Times New Roman" w:cs="Times New Roman"/>
          <w:noProof/>
          <w:lang w:val="pl-PL"/>
        </w:rPr>
      </w:pPr>
      <w:r>
        <w:rPr>
          <w:rFonts w:ascii="Times New Roman" w:hAnsi="Times New Roman"/>
          <w:b/>
          <w:noProof/>
          <w:lang w:val="pl-PL"/>
        </w:rPr>
        <w:t>Ukupno gledano, rizici su i dalje prisutni u više država članica, i to u različitim kombinacijama.</w:t>
      </w:r>
      <w:r>
        <w:rPr>
          <w:rFonts w:ascii="Times New Roman" w:hAnsi="Times New Roman"/>
          <w:noProof/>
          <w:lang w:val="pl-PL"/>
        </w:rPr>
        <w:t xml:space="preserve"> Ozbiljnost izazova u smislu makroekonomske stabilnosti znatno se razlikuje po državama članicama, ovis</w:t>
      </w:r>
      <w:r>
        <w:rPr>
          <w:rFonts w:ascii="Times New Roman" w:hAnsi="Times New Roman"/>
          <w:noProof/>
          <w:lang w:val="pl-PL"/>
        </w:rPr>
        <w:t>no o prirodi i razmjerima slabosti i neodrživih trendova te o njihovim interakcijama i kombiniranim učincima. Tipologije glavnih izvora rizika javljaju se u nekoliko kombinacija koje se mogu sažeti na sljedeći način:</w:t>
      </w:r>
    </w:p>
    <w:p w:rsidR="00B26ED3" w:rsidRDefault="003423C1">
      <w:pPr>
        <w:numPr>
          <w:ilvl w:val="0"/>
          <w:numId w:val="2"/>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Nekoliko država članica uglavnom je pog</w:t>
      </w:r>
      <w:r>
        <w:rPr>
          <w:rFonts w:ascii="Times New Roman" w:hAnsi="Times New Roman"/>
          <w:noProof/>
          <w:lang w:val="pl-PL"/>
        </w:rPr>
        <w:t xml:space="preserve">ođeno </w:t>
      </w:r>
      <w:r>
        <w:rPr>
          <w:rFonts w:ascii="Times New Roman" w:hAnsi="Times New Roman"/>
          <w:i/>
          <w:noProof/>
          <w:lang w:val="pl-PL"/>
        </w:rPr>
        <w:t>višestrukim i međusobno povezanim slabostima povezanima sa stanjem</w:t>
      </w:r>
      <w:r>
        <w:rPr>
          <w:rFonts w:ascii="Times New Roman" w:hAnsi="Times New Roman"/>
          <w:noProof/>
          <w:lang w:val="pl-PL"/>
        </w:rPr>
        <w:t>. To je najčešće slučaj u zemljama koje su pogođene naglim padovima i rastom kreditnih ciklusa u kombinaciji s naglim promjenama stanja tekućeg računa, što je imalo posljedice i za ban</w:t>
      </w:r>
      <w:r>
        <w:rPr>
          <w:rFonts w:ascii="Times New Roman" w:hAnsi="Times New Roman"/>
          <w:noProof/>
          <w:lang w:val="pl-PL"/>
        </w:rPr>
        <w:t xml:space="preserve">karski sektor i za državni dug. </w:t>
      </w:r>
    </w:p>
    <w:p w:rsidR="00B26ED3" w:rsidRDefault="003423C1">
      <w:pPr>
        <w:numPr>
          <w:ilvl w:val="1"/>
          <w:numId w:val="2"/>
        </w:numPr>
        <w:spacing w:before="120" w:after="120"/>
        <w:ind w:left="1134" w:hanging="425"/>
        <w:jc w:val="both"/>
        <w:rPr>
          <w:rFonts w:ascii="Times New Roman" w:eastAsia="Times New Roman" w:hAnsi="Times New Roman" w:cs="Times New Roman"/>
          <w:noProof/>
          <w:lang w:val="pl-PL"/>
        </w:rPr>
      </w:pPr>
      <w:r>
        <w:rPr>
          <w:rFonts w:ascii="Times New Roman" w:hAnsi="Times New Roman"/>
          <w:noProof/>
          <w:lang w:val="pl-PL"/>
        </w:rPr>
        <w:t xml:space="preserve">U slučaju Cipra i Grčke vidljiv je učinak visoke razine duga i izrazito negativnog neto stanja međunarodnih ulaganja u kombinaciji s neriješenim problemima u financijskom sektoru. One su i dalje suočene s problemom znatnih </w:t>
      </w:r>
      <w:r>
        <w:rPr>
          <w:rFonts w:ascii="Times New Roman" w:hAnsi="Times New Roman"/>
          <w:noProof/>
          <w:lang w:val="pl-PL"/>
        </w:rPr>
        <w:t xml:space="preserve">potreba razduživanja u kontekstu ograničenog fiskalnog prostora, visokih razina nezaposlenosti (koje se ipak smanjuju) i skromnog potencijalnog rasta. </w:t>
      </w:r>
    </w:p>
    <w:p w:rsidR="00B26ED3" w:rsidRDefault="003423C1">
      <w:pPr>
        <w:numPr>
          <w:ilvl w:val="1"/>
          <w:numId w:val="2"/>
        </w:numPr>
        <w:spacing w:before="120" w:after="120"/>
        <w:ind w:left="1134" w:hanging="425"/>
        <w:jc w:val="both"/>
        <w:rPr>
          <w:rFonts w:ascii="Times New Roman" w:eastAsia="Times New Roman" w:hAnsi="Times New Roman" w:cs="Times New Roman"/>
          <w:noProof/>
          <w:lang w:val="pl-PL"/>
        </w:rPr>
      </w:pPr>
      <w:r>
        <w:rPr>
          <w:rFonts w:ascii="Times New Roman" w:hAnsi="Times New Roman"/>
          <w:noProof/>
          <w:lang w:val="pl-PL"/>
        </w:rPr>
        <w:t>U Hrvatskoj, Irskoj, Portugalu i Španjolskoj također su vidljive značajne, višestruke i međusobno poveza</w:t>
      </w:r>
      <w:r>
        <w:rPr>
          <w:rFonts w:ascii="Times New Roman" w:hAnsi="Times New Roman"/>
          <w:noProof/>
          <w:lang w:val="pl-PL"/>
        </w:rPr>
        <w:t>ne slabosti koje proizlaze iz naslijeđenih problema iz prošlosti. U Bugarskoj se visoka razina korporativne zaduženosti javlja u kombinaciji s neriješenim problemima u financijskom sektoru. U prethodno spomenutim zemljama neravnoteže stanja smanjuju se zah</w:t>
      </w:r>
      <w:r>
        <w:rPr>
          <w:rFonts w:ascii="Times New Roman" w:hAnsi="Times New Roman"/>
          <w:noProof/>
          <w:lang w:val="pl-PL"/>
        </w:rPr>
        <w:t>valjujući gospodarskom rastu, što je u nekim slučajevima povezano s ponovnom pojavom troškovnih pritisaka koji se manifestiraju na razini cijena stambenih nekretnina (osobito u Irskoj, a sve više i u Portugalu) te u slabom rastu troškovne konkurentnosti (v</w:t>
      </w:r>
      <w:r>
        <w:rPr>
          <w:rFonts w:ascii="Times New Roman" w:hAnsi="Times New Roman"/>
          <w:noProof/>
          <w:lang w:val="pl-PL"/>
        </w:rPr>
        <w:t xml:space="preserve">elika povećanja jediničnih troškova rada posebno su zabilježena u Bugarskoj).  </w:t>
      </w:r>
    </w:p>
    <w:p w:rsidR="00B26ED3" w:rsidRDefault="003423C1">
      <w:pPr>
        <w:numPr>
          <w:ilvl w:val="0"/>
          <w:numId w:val="2"/>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 xml:space="preserve">U manjem broju država članica slabosti su uglavnom povezane s </w:t>
      </w:r>
      <w:r>
        <w:rPr>
          <w:rFonts w:ascii="Times New Roman" w:hAnsi="Times New Roman"/>
          <w:i/>
          <w:noProof/>
          <w:lang w:val="pl-PL"/>
        </w:rPr>
        <w:t>visokom razinom duga opće države</w:t>
      </w:r>
      <w:r>
        <w:rPr>
          <w:rFonts w:ascii="Times New Roman" w:hAnsi="Times New Roman"/>
          <w:noProof/>
          <w:lang w:val="pl-PL"/>
        </w:rPr>
        <w:t xml:space="preserve"> i zabrinutosti u pogledu </w:t>
      </w:r>
      <w:r>
        <w:rPr>
          <w:rFonts w:ascii="Times New Roman" w:hAnsi="Times New Roman"/>
          <w:i/>
          <w:noProof/>
          <w:lang w:val="pl-PL"/>
        </w:rPr>
        <w:t>potencijalnog rasta outputa</w:t>
      </w:r>
      <w:r>
        <w:rPr>
          <w:rFonts w:ascii="Times New Roman" w:hAnsi="Times New Roman"/>
          <w:noProof/>
          <w:lang w:val="pl-PL"/>
        </w:rPr>
        <w:t xml:space="preserve"> i </w:t>
      </w:r>
      <w:r>
        <w:rPr>
          <w:rFonts w:ascii="Times New Roman" w:hAnsi="Times New Roman"/>
          <w:i/>
          <w:noProof/>
          <w:lang w:val="pl-PL"/>
        </w:rPr>
        <w:t>konkurentnosti</w:t>
      </w:r>
      <w:r>
        <w:rPr>
          <w:rFonts w:ascii="Times New Roman" w:hAnsi="Times New Roman"/>
          <w:noProof/>
          <w:lang w:val="pl-PL"/>
        </w:rPr>
        <w:t>. To osobito</w:t>
      </w:r>
      <w:r>
        <w:rPr>
          <w:rFonts w:ascii="Times New Roman" w:hAnsi="Times New Roman"/>
          <w:noProof/>
          <w:lang w:val="pl-PL"/>
        </w:rPr>
        <w:t xml:space="preserve"> vrijedi za Italiju, u kojoj su slabosti povezane i s bankarskim sektorom i visokim razinama loših kredita, koje se u posljednje vrijeme ipak ubrzano smanjuju. I Belgija i Francuska suočene su s visokim dugom opće države i problemima potencijalnog rasta, t</w:t>
      </w:r>
      <w:r>
        <w:rPr>
          <w:rFonts w:ascii="Times New Roman" w:hAnsi="Times New Roman"/>
          <w:noProof/>
          <w:lang w:val="pl-PL"/>
        </w:rPr>
        <w:t>akođer uz ograničenu konkurentnost, ali se ne suočavaju sa sličnim potencijalnim rizicima za državni dug niti s rizicima koji proizlaze iz osjetljivosti banaka. U Francuskoj je već ionako relativno visoka razina korporativnog duga u porastu. U Belgiji se r</w:t>
      </w:r>
      <w:r>
        <w:rPr>
          <w:rFonts w:ascii="Times New Roman" w:hAnsi="Times New Roman"/>
          <w:noProof/>
          <w:lang w:val="pl-PL"/>
        </w:rPr>
        <w:t>elativno visoka razina duga kućanstava javlja u kombinaciji s moguće precijenjenim stambenim nekretninama.</w:t>
      </w:r>
    </w:p>
    <w:p w:rsidR="00B26ED3" w:rsidRDefault="003423C1">
      <w:pPr>
        <w:numPr>
          <w:ilvl w:val="0"/>
          <w:numId w:val="2"/>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 xml:space="preserve">Neke države članice karakteriziraju </w:t>
      </w:r>
      <w:r>
        <w:rPr>
          <w:rFonts w:ascii="Times New Roman" w:hAnsi="Times New Roman"/>
          <w:i/>
          <w:noProof/>
          <w:lang w:val="pl-PL"/>
        </w:rPr>
        <w:t>veliki i postojani suficiti tekućeg računa</w:t>
      </w:r>
      <w:r>
        <w:rPr>
          <w:rFonts w:ascii="Times New Roman" w:hAnsi="Times New Roman"/>
          <w:noProof/>
          <w:lang w:val="pl-PL"/>
        </w:rPr>
        <w:t xml:space="preserve"> koji su, među ostalim, u manjoj ili većoj mjeri odraz smanjene privatn</w:t>
      </w:r>
      <w:r>
        <w:rPr>
          <w:rFonts w:ascii="Times New Roman" w:hAnsi="Times New Roman"/>
          <w:noProof/>
          <w:lang w:val="pl-PL"/>
        </w:rPr>
        <w:t>e potrošnje i ulaganja, više od onoga što bi bilo opravdano temeljnim ekonomskim značajkama. To se posebno odnosi na Njemačku i Nizozemsku. U slučaju Njemačke istodobno je prisutno i razduživanje u svim sektorima gospodarstva, premda razine duga nisu relat</w:t>
      </w:r>
      <w:r>
        <w:rPr>
          <w:rFonts w:ascii="Times New Roman" w:hAnsi="Times New Roman"/>
          <w:noProof/>
          <w:lang w:val="pl-PL"/>
        </w:rPr>
        <w:t xml:space="preserve">ivno visoke. U Nizozemskoj je visoki suficit praćen visokom razinom duga kućanstava i snažnim rastom cijena stambenih nekretnina. Veliki i postojani suficiti mogu upućivati na neiskorištene mogućnosti rasta i domaćih ulaganja, što može imati posljedice za </w:t>
      </w:r>
      <w:r>
        <w:rPr>
          <w:rFonts w:ascii="Times New Roman" w:hAnsi="Times New Roman"/>
          <w:noProof/>
          <w:lang w:val="pl-PL"/>
        </w:rPr>
        <w:t>ostatak europodručja u kontekstu inflacije, koja je i dalje ispod ciljne razine, i vanjskog okruženja, koje je sve nesigurnije i može postati manje poticajno.</w:t>
      </w:r>
    </w:p>
    <w:p w:rsidR="00B26ED3" w:rsidRDefault="003423C1">
      <w:pPr>
        <w:numPr>
          <w:ilvl w:val="0"/>
          <w:numId w:val="2"/>
        </w:numPr>
        <w:spacing w:before="120" w:after="120"/>
        <w:ind w:left="567" w:hanging="425"/>
        <w:jc w:val="both"/>
        <w:rPr>
          <w:rFonts w:ascii="Times New Roman" w:eastAsia="Times New Roman" w:hAnsi="Times New Roman" w:cs="Times New Roman"/>
          <w:noProof/>
          <w:lang w:val="pl-PL"/>
        </w:rPr>
      </w:pPr>
      <w:r>
        <w:rPr>
          <w:rFonts w:ascii="Times New Roman" w:hAnsi="Times New Roman"/>
          <w:noProof/>
          <w:lang w:val="pl-PL"/>
        </w:rPr>
        <w:t xml:space="preserve">U nekim državama članicama </w:t>
      </w:r>
      <w:r>
        <w:rPr>
          <w:rFonts w:ascii="Times New Roman" w:hAnsi="Times New Roman"/>
          <w:i/>
          <w:noProof/>
          <w:lang w:val="pl-PL"/>
        </w:rPr>
        <w:t>kretanja cijena ili varijabli troškova pokazuju potencijalne znakove p</w:t>
      </w:r>
      <w:r>
        <w:rPr>
          <w:rFonts w:ascii="Times New Roman" w:hAnsi="Times New Roman"/>
          <w:i/>
          <w:noProof/>
          <w:lang w:val="pl-PL"/>
        </w:rPr>
        <w:t>regrijavanja, posebno u pogledu tržišta stambenih nekretnina ili tržišta rada</w:t>
      </w:r>
      <w:r>
        <w:rPr>
          <w:rFonts w:ascii="Times New Roman" w:hAnsi="Times New Roman"/>
          <w:noProof/>
          <w:lang w:val="pl-PL"/>
        </w:rPr>
        <w:t xml:space="preserve">. </w:t>
      </w:r>
    </w:p>
    <w:p w:rsidR="00B26ED3" w:rsidRDefault="003423C1">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lang w:val="pl-PL"/>
        </w:rPr>
        <w:t xml:space="preserve">U Švedskoj, a u manjoj mjeri i u Austriji, Danskoj, Luksemburgu, Nizozemskoj i Ujedinjenoj Kraljevini, postojani rast cijena stambenih nekretnina odvija se u kontekstu mogućih </w:t>
      </w:r>
      <w:r>
        <w:rPr>
          <w:rFonts w:ascii="Times New Roman" w:hAnsi="Times New Roman"/>
          <w:noProof/>
          <w:lang w:val="pl-PL"/>
        </w:rPr>
        <w:t>razlika zbog precijenjenosti i znatnih razina duga kućanstava, ali noviji podaci upućuju na usporavanje cijena. U nekoliko zemalja koje bilježe snažan rast cijena stambenih nekretnina znakovi precijenjenosti manje su izraženi, a razine duga kućanstava su o</w:t>
      </w:r>
      <w:r>
        <w:rPr>
          <w:rFonts w:ascii="Times New Roman" w:hAnsi="Times New Roman"/>
          <w:noProof/>
          <w:lang w:val="pl-PL"/>
        </w:rPr>
        <w:t xml:space="preserve">graničene (npr. </w:t>
      </w:r>
      <w:r>
        <w:rPr>
          <w:rFonts w:ascii="Times New Roman" w:hAnsi="Times New Roman"/>
          <w:noProof/>
        </w:rPr>
        <w:t xml:space="preserve">Češka, Mađarska i Latvija). </w:t>
      </w:r>
    </w:p>
    <w:p w:rsidR="00B26ED3" w:rsidRDefault="003423C1">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U Češkoj, Estoniji, Mađarskoj, Latviji, Litvi i Rumunjskoj jedinični troškovi rada i dalje rastu relativno snažnim ritmom, a cjenovna se konkurentnost pomalo smanjuje. U Rumunjskoj je zabilježen ubrzan rast </w:t>
      </w:r>
      <w:r>
        <w:rPr>
          <w:rFonts w:ascii="Times New Roman" w:hAnsi="Times New Roman"/>
          <w:noProof/>
        </w:rPr>
        <w:t>jediničnih troškova rada u kontekstu pogoršanja deficita tekućeg računa i procikličkih fiskalnih politika, što bi moglo povećati moguće pritiske na pregrijavanje.</w:t>
      </w:r>
    </w:p>
    <w:p w:rsidR="00B26ED3" w:rsidRDefault="003423C1">
      <w:pPr>
        <w:spacing w:before="120" w:after="120"/>
        <w:jc w:val="both"/>
        <w:rPr>
          <w:rFonts w:ascii="Times New Roman" w:eastAsia="Times New Roman" w:hAnsi="Times New Roman" w:cs="Times New Roman"/>
          <w:noProof/>
        </w:rPr>
      </w:pPr>
      <w:r>
        <w:rPr>
          <w:rFonts w:ascii="Times New Roman" w:hAnsi="Times New Roman"/>
          <w:noProof/>
        </w:rPr>
        <w:t>Predstojeća detaljna preispitivanja omogućit će dublju analizu tih izazova i procjenu potreba</w:t>
      </w:r>
      <w:r>
        <w:rPr>
          <w:rFonts w:ascii="Times New Roman" w:hAnsi="Times New Roman"/>
          <w:noProof/>
        </w:rPr>
        <w:t xml:space="preserve"> na razini politika.  </w:t>
      </w:r>
    </w:p>
    <w:p w:rsidR="00B26ED3" w:rsidRDefault="003423C1">
      <w:pPr>
        <w:spacing w:before="120" w:after="120"/>
        <w:jc w:val="both"/>
        <w:rPr>
          <w:rFonts w:ascii="Times New Roman" w:eastAsia="Times New Roman" w:hAnsi="Times New Roman" w:cs="Times New Roman"/>
          <w:noProof/>
        </w:rPr>
      </w:pPr>
      <w:r>
        <w:rPr>
          <w:rFonts w:ascii="Times New Roman" w:hAnsi="Times New Roman"/>
          <w:b/>
          <w:noProof/>
        </w:rPr>
        <w:t>Detaljna preispitivanja potrebna su za ukupno 13 država članica: Bugarsku, Hrvatsku, Cipar, Francusku, Njemačku, Grčku, Irsku, Italiju, Nizozemsku, Portugal, Rumunjsku, Španjolsku i Švedsku.</w:t>
      </w:r>
      <w:r>
        <w:rPr>
          <w:rFonts w:ascii="Times New Roman" w:hAnsi="Times New Roman"/>
          <w:noProof/>
        </w:rPr>
        <w:t xml:space="preserve"> Za jedanaest od tih država članica provede</w:t>
      </w:r>
      <w:r>
        <w:rPr>
          <w:rFonts w:ascii="Times New Roman" w:hAnsi="Times New Roman"/>
          <w:noProof/>
        </w:rPr>
        <w:t>no je detaljno preispitivanje u prethodnom godišnjem ciklusu provedbe PMN-a. U skladu s uobičajenom praksom provest će se novo detaljno preispitivanje kako bi se utvrdilo je li došlo do pogoršanja utvrđenih neravnoteža ili se one ispravljaju, kako bi se až</w:t>
      </w:r>
      <w:r>
        <w:rPr>
          <w:rFonts w:ascii="Times New Roman" w:hAnsi="Times New Roman"/>
          <w:noProof/>
        </w:rPr>
        <w:t>urirala postojeća procjena. Države članice na koje se to odnosi su Bugarska, Hrvatska, Cipar, Francuska, Njemačka, Irska, Italija, Nizozemska, Portugal, Slovenija, Španjolska i Švedska. Detaljno preispitivanje provest će se i za Grčku kako bi se procijenil</w:t>
      </w:r>
      <w:r>
        <w:rPr>
          <w:rFonts w:ascii="Times New Roman" w:hAnsi="Times New Roman"/>
          <w:noProof/>
        </w:rPr>
        <w:t>e moguće neravnoteže koje proizlaze iz više izvora, osobito slabosti povezanih sa stanjem. Grčka je bila isključena iz nadzora u okviru PMN-a jer je bila u programu makroekonomske prilagodbe u okviru financijske pomoći do kolovoza 2018. Procjena u okviru I</w:t>
      </w:r>
      <w:r>
        <w:rPr>
          <w:rFonts w:ascii="Times New Roman" w:hAnsi="Times New Roman"/>
          <w:noProof/>
        </w:rPr>
        <w:t>MU-a za nekoliko država članica koje su posljednjih godina isključene iz nadzora u okviru PMN-a (Slovenija 2018., Finska 2017., Belgija i Mađarska 2016.), ili za koje je provedeno detaljno preispitivanje a da pritom nisu utvrđene neravnoteže (Austrija i Es</w:t>
      </w:r>
      <w:r>
        <w:rPr>
          <w:rFonts w:ascii="Times New Roman" w:hAnsi="Times New Roman"/>
          <w:noProof/>
        </w:rPr>
        <w:t>tonija 2016.), ne upućuje na znatne dodatne rizike u odnosu na one koji su utvrđeni u posljednjim detaljnim preispitivanjima. Međutim, čini se da je potrebno provesti detaljno preispitivanje za Rumunjsku kako bi se procijenio razvoj i moguća ponovna pojava</w:t>
      </w:r>
      <w:r>
        <w:rPr>
          <w:rFonts w:ascii="Times New Roman" w:hAnsi="Times New Roman"/>
          <w:noProof/>
        </w:rPr>
        <w:t xml:space="preserve"> rizičnih kretanja koja su već utvrđena tijekom prethodnih detaljnih preispitivanja, posebno u pogledu konkurentnosti i vanjske bilance. </w:t>
      </w:r>
    </w:p>
    <w:p w:rsidR="00B26ED3" w:rsidRDefault="00B26ED3">
      <w:pPr>
        <w:rPr>
          <w:rFonts w:ascii="Times New Roman" w:hAnsi="Times New Roman" w:cs="Times New Roman"/>
          <w:noProof/>
        </w:rPr>
      </w:pPr>
    </w:p>
    <w:p w:rsidR="00B26ED3" w:rsidRDefault="003423C1">
      <w:pPr>
        <w:rPr>
          <w:rFonts w:ascii="Times New Roman" w:hAnsi="Times New Roman" w:cs="Times New Roman"/>
          <w:b/>
          <w:noProof/>
        </w:rPr>
      </w:pPr>
      <w:r>
        <w:rPr>
          <w:noProof/>
        </w:rPr>
        <w:br w:type="page"/>
      </w:r>
    </w:p>
    <w:p w:rsidR="00B26ED3" w:rsidRDefault="003423C1">
      <w:pPr>
        <w:pStyle w:val="Heading1"/>
        <w:rPr>
          <w:rFonts w:hint="eastAsia"/>
          <w:lang w:val="it-IT"/>
        </w:rPr>
      </w:pPr>
      <w:r>
        <w:rPr>
          <w:lang w:val="it-IT"/>
        </w:rPr>
        <w:t>4.</w:t>
      </w:r>
      <w:r>
        <w:rPr>
          <w:lang w:val="it-IT"/>
        </w:rPr>
        <w:tab/>
        <w:t>Neravnoteže, rizici i prilagodba: napomene po državama članicama</w:t>
      </w:r>
    </w:p>
    <w:p w:rsidR="00B26ED3" w:rsidRDefault="00B26ED3">
      <w:pPr>
        <w:spacing w:after="160" w:line="259" w:lineRule="auto"/>
        <w:rPr>
          <w:rFonts w:ascii="Times New Roman" w:eastAsia="Calibri" w:hAnsi="Times New Roman" w:cs="Times New Roman"/>
          <w:b/>
          <w:noProof/>
          <w:lang w:val="it-IT"/>
        </w:rPr>
      </w:pPr>
    </w:p>
    <w:p w:rsidR="00B26ED3" w:rsidRDefault="003423C1">
      <w:pPr>
        <w:spacing w:after="160" w:line="259" w:lineRule="auto"/>
        <w:jc w:val="both"/>
        <w:rPr>
          <w:rFonts w:ascii="Times New Roman" w:eastAsia="Calibri" w:hAnsi="Times New Roman" w:cs="Times New Roman"/>
          <w:noProof/>
          <w:lang w:val="it-IT"/>
        </w:rPr>
      </w:pPr>
      <w:r>
        <w:rPr>
          <w:noProof/>
          <w:lang w:eastAsia="en-GB"/>
        </w:rPr>
        <w:drawing>
          <wp:anchor distT="0" distB="0" distL="114300" distR="114300" simplePos="0" relativeHeight="251659264" behindDoc="0" locked="0" layoutInCell="1" allowOverlap="1">
            <wp:simplePos x="0" y="0"/>
            <wp:positionH relativeFrom="column">
              <wp:posOffset>3157855</wp:posOffset>
            </wp:positionH>
            <wp:positionV relativeFrom="paragraph">
              <wp:posOffset>533400</wp:posOffset>
            </wp:positionV>
            <wp:extent cx="2524125" cy="2962275"/>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it-IT"/>
        </w:rPr>
        <w:t>Belgija:</w:t>
      </w:r>
      <w:r>
        <w:rPr>
          <w:rFonts w:ascii="Times New Roman" w:hAnsi="Times New Roman"/>
          <w:noProof/>
          <w:lang w:val="it-IT"/>
        </w:rPr>
        <w:t xml:space="preserve"> U prethodnom ciklusu PMN-a u Belgiji </w:t>
      </w:r>
      <w:r>
        <w:rPr>
          <w:rFonts w:ascii="Times New Roman" w:hAnsi="Times New Roman"/>
          <w:i/>
          <w:noProof/>
          <w:lang w:val="it-IT"/>
        </w:rPr>
        <w:t>nisu utvrđene makroekonomske neravnoteže</w:t>
      </w:r>
      <w:r>
        <w:rPr>
          <w:rFonts w:ascii="Times New Roman" w:hAnsi="Times New Roman"/>
          <w:noProof/>
          <w:lang w:val="it-IT"/>
        </w:rPr>
        <w:t xml:space="preserve">. U ažuriranoj tablici rezultata više pokazatelja prelazi indikativni prag, i to privatni dug i državni dug. </w:t>
      </w:r>
    </w:p>
    <w:p w:rsidR="00B26ED3" w:rsidRDefault="003423C1">
      <w:pPr>
        <w:spacing w:after="120" w:line="300" w:lineRule="atLeast"/>
        <w:jc w:val="both"/>
        <w:rPr>
          <w:rFonts w:ascii="Times New Roman" w:eastAsia="Calibri" w:hAnsi="Times New Roman" w:cs="Times New Roman"/>
          <w:noProof/>
          <w:lang w:val="it-IT"/>
        </w:rPr>
      </w:pPr>
      <w:r>
        <w:rPr>
          <w:rFonts w:ascii="Times New Roman" w:hAnsi="Times New Roman"/>
          <w:noProof/>
          <w:lang w:val="it-IT"/>
        </w:rPr>
        <w:t>Vanjska održivost temelji se na poboljšanom saldu tekućeg računa i p</w:t>
      </w:r>
      <w:r>
        <w:rPr>
          <w:rFonts w:ascii="Times New Roman" w:hAnsi="Times New Roman"/>
          <w:noProof/>
          <w:lang w:val="it-IT"/>
        </w:rPr>
        <w:t xml:space="preserve">ovoljnom neto stanju međunarodnih ulaganja. Nakon nekoliko godina ograničavanja plaća bilježi se povećanje rasta jediničnih troškova rada, ali je on i dalje ograničen. U 2017. zabilježeno je ograničeno smanjenje udjela na izvoznom tržištu. Privatni dug je </w:t>
      </w:r>
      <w:r>
        <w:rPr>
          <w:rFonts w:ascii="Times New Roman" w:hAnsi="Times New Roman"/>
          <w:noProof/>
          <w:lang w:val="it-IT"/>
        </w:rPr>
        <w:t>relativno visok, što se posebno odnosi na nefinancijska poduzeća, premda se raširenim prekograničnim kreditiranjem unutar grupe napuhuju iznosi duga. Rizici povezani s dugom kućanstava uglavnom potječu od tržišta nekretnina, na kojem su realne cijene stamb</w:t>
      </w:r>
      <w:r>
        <w:rPr>
          <w:rFonts w:ascii="Times New Roman" w:hAnsi="Times New Roman"/>
          <w:noProof/>
          <w:lang w:val="it-IT"/>
        </w:rPr>
        <w:t xml:space="preserve">enih nekretnina posljednjih godina umjereno rasle, iako nije došlo do korekcije s obzirom na ubrzani rast prije 2008. Državni dug se stabilizirao te se blago smanjio u odnosu na vrhunac zabilježen 2014. Međutim, njegova visoka razina i dalje ostaje glavni </w:t>
      </w:r>
      <w:r>
        <w:rPr>
          <w:rFonts w:ascii="Times New Roman" w:hAnsi="Times New Roman"/>
          <w:noProof/>
          <w:lang w:val="it-IT"/>
        </w:rPr>
        <w:t xml:space="preserve">izazov dugotrajnoj održivosti javnih financija. Stanje na tržištu rada poboljšalo se, a nezaposlenost se nastavlja smanjivati, uključujući dugotrajnu nezaposlenost i nezaposlenost mladih. Stopa aktivnosti i dalje je niska u odnosu na druge države članice, </w:t>
      </w:r>
      <w:r>
        <w:rPr>
          <w:rFonts w:ascii="Times New Roman" w:hAnsi="Times New Roman"/>
          <w:noProof/>
          <w:lang w:val="it-IT"/>
        </w:rPr>
        <w:t>što je u suprotnosti s visokom stopom slobodnih radnih mjesta, koja i dalje raste.</w:t>
      </w:r>
    </w:p>
    <w:p w:rsidR="00B26ED3" w:rsidRDefault="003423C1">
      <w:pPr>
        <w:spacing w:after="120" w:line="300" w:lineRule="atLeast"/>
        <w:jc w:val="both"/>
        <w:rPr>
          <w:rFonts w:ascii="Times New Roman" w:eastAsia="Calibri" w:hAnsi="Times New Roman" w:cs="Times New Roman"/>
          <w:i/>
          <w:noProof/>
          <w:lang w:val="it-IT"/>
        </w:rPr>
      </w:pPr>
      <w:r>
        <w:rPr>
          <w:rFonts w:ascii="Times New Roman" w:hAnsi="Times New Roman"/>
          <w:i/>
          <w:noProof/>
          <w:lang w:val="it-IT"/>
        </w:rPr>
        <w:t>Ukupno gledano, pri ekonomskom tumačenju uglavnom se ističu problemi povezani s javnom, ali i privatnim zaduženosti, premda se rizici čine ograničenima. Stoga Komisija u ovo</w:t>
      </w:r>
      <w:r>
        <w:rPr>
          <w:rFonts w:ascii="Times New Roman" w:hAnsi="Times New Roman"/>
          <w:i/>
          <w:noProof/>
          <w:lang w:val="it-IT"/>
        </w:rPr>
        <w:t>j fazi neće provoditi daljnje detaljno preispitivanje u okviru PMN-a.</w:t>
      </w:r>
    </w:p>
    <w:p w:rsidR="00B26ED3" w:rsidRDefault="00B26ED3">
      <w:pPr>
        <w:spacing w:after="120" w:line="300" w:lineRule="atLeast"/>
        <w:jc w:val="both"/>
        <w:rPr>
          <w:rFonts w:ascii="Times New Roman" w:eastAsia="Calibri" w:hAnsi="Times New Roman" w:cs="Times New Roman"/>
          <w:noProof/>
          <w:lang w:val="it-IT"/>
        </w:rPr>
      </w:pPr>
    </w:p>
    <w:p w:rsidR="00B26ED3" w:rsidRDefault="003423C1">
      <w:pPr>
        <w:spacing w:after="160"/>
        <w:jc w:val="both"/>
        <w:rPr>
          <w:noProof/>
          <w:lang w:val="it-IT"/>
        </w:rPr>
      </w:pPr>
      <w:r>
        <w:rPr>
          <w:noProof/>
          <w:lang w:eastAsia="en-GB"/>
        </w:rPr>
        <w:drawing>
          <wp:anchor distT="0" distB="0" distL="114300" distR="114300" simplePos="0" relativeHeight="251660288" behindDoc="0" locked="0" layoutInCell="1" allowOverlap="1">
            <wp:simplePos x="0" y="0"/>
            <wp:positionH relativeFrom="column">
              <wp:posOffset>3500755</wp:posOffset>
            </wp:positionH>
            <wp:positionV relativeFrom="paragraph">
              <wp:posOffset>13970</wp:posOffset>
            </wp:positionV>
            <wp:extent cx="2552700" cy="286702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it-IT"/>
        </w:rPr>
        <w:t>Bugarska</w:t>
      </w:r>
      <w:r>
        <w:rPr>
          <w:rFonts w:ascii="Times New Roman" w:hAnsi="Times New Roman"/>
          <w:b/>
          <w:i/>
          <w:noProof/>
          <w:lang w:val="it-IT"/>
        </w:rPr>
        <w:t xml:space="preserve">: </w:t>
      </w:r>
      <w:r>
        <w:rPr>
          <w:rFonts w:ascii="Times New Roman" w:hAnsi="Times New Roman"/>
          <w:noProof/>
          <w:lang w:val="it-IT"/>
        </w:rPr>
        <w:t xml:space="preserve">U ožujku 2018. utvrđeno je da u Bugarskoj postoje </w:t>
      </w:r>
      <w:r>
        <w:rPr>
          <w:rFonts w:ascii="Times New Roman" w:hAnsi="Times New Roman"/>
          <w:i/>
          <w:noProof/>
          <w:lang w:val="it-IT"/>
        </w:rPr>
        <w:t>neravnoteže</w:t>
      </w:r>
      <w:r>
        <w:rPr>
          <w:rFonts w:ascii="Times New Roman" w:hAnsi="Times New Roman"/>
          <w:noProof/>
          <w:lang w:val="it-IT"/>
        </w:rPr>
        <w:t>, koje su posebice povezane sa slabostima u financijskom sektoru, u kombinaciji s visokom zaduženošću i lošim kre</w:t>
      </w:r>
      <w:r>
        <w:rPr>
          <w:rFonts w:ascii="Times New Roman" w:hAnsi="Times New Roman"/>
          <w:noProof/>
          <w:lang w:val="it-IT"/>
        </w:rPr>
        <w:t xml:space="preserve">ditima u korporativnom sektoru. U ažuriranoj tablici rezultata tri pokazatelja prelaze indikativni prag, i to neto stanje međunarodnih ulaganja (NIIP), rast nominalnih jediničnih troškova rada i rast realnih cijena stambenih nekretnina. </w:t>
      </w:r>
    </w:p>
    <w:p w:rsidR="00B26ED3" w:rsidRDefault="003423C1">
      <w:pPr>
        <w:spacing w:after="160"/>
        <w:jc w:val="both"/>
        <w:rPr>
          <w:noProof/>
          <w:lang w:val="it-IT"/>
        </w:rPr>
      </w:pPr>
      <w:r>
        <w:rPr>
          <w:rFonts w:ascii="Times New Roman" w:hAnsi="Times New Roman"/>
          <w:noProof/>
          <w:lang w:val="it-IT"/>
        </w:rPr>
        <w:t>Suficit tekućeg ra</w:t>
      </w:r>
      <w:r>
        <w:rPr>
          <w:rFonts w:ascii="Times New Roman" w:hAnsi="Times New Roman"/>
          <w:noProof/>
          <w:lang w:val="it-IT"/>
        </w:rPr>
        <w:t>čuna u 2017. dodatno je porastao, dok se negativni NIIP, koji je uglavnom odraz izravnih stranih ulaganja, dodatno poboljšao. Rast jediničnih troškova rada znatno se povećao u 2017., ali je realna efektivna tečajna stopa ostala uglavnom stabilna te je ostv</w:t>
      </w:r>
      <w:r>
        <w:rPr>
          <w:rFonts w:ascii="Times New Roman" w:hAnsi="Times New Roman"/>
          <w:noProof/>
          <w:lang w:val="it-IT"/>
        </w:rPr>
        <w:t>areno određeno povećanje udjela na izvoznom tržištu. Visok korporativni dug i dalje izaziva zabrinutost, iako se udio duga posljednjih nekoliko godina postupno smanjuje, djelomično zbog postojanog rasta nominalnog BDP-a. Kreditni tokovi se počinju oporavlj</w:t>
      </w:r>
      <w:r>
        <w:rPr>
          <w:rFonts w:ascii="Times New Roman" w:hAnsi="Times New Roman"/>
          <w:noProof/>
          <w:lang w:val="it-IT"/>
        </w:rPr>
        <w:t>ati, što će usporiti proces razduživanja, ali bi istodobno moglo potaknuti veća privatna ulaganja i snažniji rast. Osim toga, udio loših kredita i dalje je visok, unatoč postupnom smanjenju, što se posebno odnosi na korporativni sektor. Iako je nakon reviz</w:t>
      </w:r>
      <w:r>
        <w:rPr>
          <w:rFonts w:ascii="Times New Roman" w:hAnsi="Times New Roman"/>
          <w:noProof/>
          <w:lang w:val="it-IT"/>
        </w:rPr>
        <w:t>ije kvalitete imovine 2016. ostvaren napredak u području nadzora financijskog sektora, treba nastaviti pratiti određene slabosti, uključujući transakcije između povezanih osoba i izloženost imovini čiju je vrijednost teško procijeniti. Realne cijene stambe</w:t>
      </w:r>
      <w:r>
        <w:rPr>
          <w:rFonts w:ascii="Times New Roman" w:hAnsi="Times New Roman"/>
          <w:noProof/>
          <w:lang w:val="it-IT"/>
        </w:rPr>
        <w:t>nih nekretnina brzo su rasle, a oporavili su se i građevinska aktivnost i hipotekarni krediti. Zasada još nema naznaka precijenjenosti, ali sadašnja dinamika na tržištu nekretnina upućuje na potrebu pomnog praćenja stanja. U tom kontekstu pozitivnih ciklič</w:t>
      </w:r>
      <w:r>
        <w:rPr>
          <w:rFonts w:ascii="Times New Roman" w:hAnsi="Times New Roman"/>
          <w:noProof/>
          <w:lang w:val="it-IT"/>
        </w:rPr>
        <w:t>kih kretanja nezaposlenost se dodatno smanjila, što je posebno važno kada je riječ o mladima i dugotrajno nezaposlenim osobama, a stope aktivnosti su se poboljšale.</w:t>
      </w:r>
    </w:p>
    <w:p w:rsidR="00B26ED3" w:rsidRDefault="003423C1">
      <w:pPr>
        <w:spacing w:after="160"/>
        <w:jc w:val="both"/>
        <w:rPr>
          <w:rFonts w:ascii="Times New Roman" w:eastAsia="Calibri" w:hAnsi="Times New Roman" w:cs="Times New Roman"/>
          <w:i/>
          <w:noProof/>
          <w:lang w:val="it-IT"/>
        </w:rPr>
      </w:pPr>
      <w:r>
        <w:rPr>
          <w:rFonts w:ascii="Times New Roman" w:hAnsi="Times New Roman"/>
          <w:i/>
          <w:noProof/>
          <w:lang w:val="it-IT"/>
        </w:rPr>
        <w:t>Ukupno gledano, pri ekonomskom tumačenju ističu se problemi povezani s preostalim slabostim</w:t>
      </w:r>
      <w:r>
        <w:rPr>
          <w:rFonts w:ascii="Times New Roman" w:hAnsi="Times New Roman"/>
          <w:i/>
          <w:noProof/>
          <w:lang w:val="it-IT"/>
        </w:rPr>
        <w:t>a u financijskom sektoru te korporativnim dugom. Stoga Komisija smatra, među ostalim i zbog neravnoteže utvrđene u ožujku 2018., da bi bilo dobro detaljnije ispitati postojanost neravnoteža ili njihovo postupno uklanjanje.</w:t>
      </w:r>
    </w:p>
    <w:p w:rsidR="00B26ED3" w:rsidRDefault="00B26ED3">
      <w:pPr>
        <w:spacing w:after="160" w:line="259" w:lineRule="auto"/>
        <w:jc w:val="both"/>
        <w:rPr>
          <w:noProof/>
          <w:lang w:val="it-IT"/>
        </w:rPr>
      </w:pPr>
    </w:p>
    <w:p w:rsidR="00B26ED3" w:rsidRDefault="003423C1">
      <w:pPr>
        <w:spacing w:after="160" w:line="259" w:lineRule="auto"/>
        <w:jc w:val="both"/>
        <w:rPr>
          <w:rFonts w:ascii="Times New Roman" w:eastAsia="Calibri" w:hAnsi="Times New Roman" w:cs="Times New Roman"/>
          <w:noProof/>
          <w:lang w:val="it-IT"/>
        </w:rPr>
      </w:pPr>
      <w:r>
        <w:rPr>
          <w:rFonts w:ascii="Times New Roman" w:hAnsi="Times New Roman"/>
          <w:b/>
          <w:noProof/>
          <w:lang w:val="it-IT"/>
        </w:rPr>
        <w:t>Češka:</w:t>
      </w:r>
      <w:r>
        <w:rPr>
          <w:rFonts w:ascii="Times New Roman" w:hAnsi="Times New Roman"/>
          <w:noProof/>
          <w:lang w:val="it-IT"/>
        </w:rPr>
        <w:t xml:space="preserve"> U prethodnom ciklusu PMN-</w:t>
      </w:r>
      <w:r>
        <w:rPr>
          <w:rFonts w:ascii="Times New Roman" w:hAnsi="Times New Roman"/>
          <w:noProof/>
          <w:lang w:val="it-IT"/>
        </w:rPr>
        <w:t xml:space="preserve">a u Finskoj </w:t>
      </w:r>
      <w:r>
        <w:rPr>
          <w:rFonts w:ascii="Times New Roman" w:hAnsi="Times New Roman"/>
          <w:i/>
          <w:noProof/>
          <w:lang w:val="it-IT"/>
        </w:rPr>
        <w:t>nisu utvrđene makroekonomske neravnoteže</w:t>
      </w:r>
      <w:r>
        <w:rPr>
          <w:rFonts w:ascii="Times New Roman" w:hAnsi="Times New Roman"/>
          <w:noProof/>
          <w:lang w:val="it-IT"/>
        </w:rPr>
        <w:t xml:space="preserve">. U ažuriranoj tablici rezultata više pokazatelja prelazi indikativni prag, i to rast realnih cijena stambenih nekretnina i ukupne obveze financijskog sektora. </w:t>
      </w:r>
    </w:p>
    <w:p w:rsidR="00B26ED3" w:rsidRDefault="003423C1">
      <w:pPr>
        <w:spacing w:after="160" w:line="259" w:lineRule="auto"/>
        <w:jc w:val="both"/>
        <w:rPr>
          <w:rFonts w:ascii="Times New Roman" w:eastAsia="Calibri" w:hAnsi="Times New Roman" w:cs="Times New Roman"/>
          <w:noProof/>
          <w:lang w:val="it-IT"/>
        </w:rPr>
      </w:pPr>
      <w:r>
        <w:rPr>
          <w:noProof/>
          <w:lang w:eastAsia="en-GB"/>
        </w:rPr>
        <w:drawing>
          <wp:anchor distT="0" distB="0" distL="114300" distR="114300" simplePos="0" relativeHeight="251661312" behindDoc="0" locked="0" layoutInCell="1" allowOverlap="1">
            <wp:simplePos x="0" y="0"/>
            <wp:positionH relativeFrom="column">
              <wp:posOffset>2762250</wp:posOffset>
            </wp:positionH>
            <wp:positionV relativeFrom="paragraph">
              <wp:posOffset>19685</wp:posOffset>
            </wp:positionV>
            <wp:extent cx="2985770" cy="283781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5770"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rPr>
        <w:t>Saldo tekućeg računa postupno se popravlja</w:t>
      </w:r>
      <w:r>
        <w:rPr>
          <w:noProof/>
          <w:lang w:val="it-IT"/>
        </w:rPr>
        <w:t xml:space="preserve"> te je u 2017. ostvaren blagi suficit.</w:t>
      </w:r>
      <w:r>
        <w:rPr>
          <w:rFonts w:ascii="Times New Roman" w:hAnsi="Times New Roman"/>
          <w:noProof/>
          <w:lang w:val="it-IT"/>
        </w:rPr>
        <w:t xml:space="preserve"> Nakon isteka preuzete obveze u pogledu deviznog tečaja u travnju 2017. uslijedila je aprecijacija realne efektivne tečajne stope, dok je neto stanje međunarodnih ulaganja nastavilo jačati, iako nešto sporijim tempom n</w:t>
      </w:r>
      <w:r>
        <w:rPr>
          <w:rFonts w:ascii="Times New Roman" w:hAnsi="Times New Roman"/>
          <w:noProof/>
          <w:lang w:val="it-IT"/>
        </w:rPr>
        <w:t>ego u prethodnim godinama. Nominalni jedinični troškovi rada porasli su zahvaljujući velikim povećanjima plaća, a u kontekstu akutnog nedostatka radne snage predviđa se njihovo daljnje povećanje. Unatoč aprecijaciji realne efektivne tečajne stope posljednj</w:t>
      </w:r>
      <w:r>
        <w:rPr>
          <w:rFonts w:ascii="Times New Roman" w:hAnsi="Times New Roman"/>
          <w:noProof/>
          <w:lang w:val="it-IT"/>
        </w:rPr>
        <w:t>ih je godina ipak zabilježeno određeno povećanje udjela na izvoznom tržištu. Rast cijena stambenih nekretnina i hipotekarnih kredita dodatno se ubrzao i zahtijeva pomno praćenje. Međutim, dug privatnog sektora je umjeren, uključujući i dug kućanstava, koji</w:t>
      </w:r>
      <w:r>
        <w:rPr>
          <w:rFonts w:ascii="Times New Roman" w:hAnsi="Times New Roman"/>
          <w:noProof/>
          <w:lang w:val="it-IT"/>
        </w:rPr>
        <w:t xml:space="preserve"> je stabilan. Državni dug je nizak i nastavlja se smanjivati poduprt suficitom proračuna opće države. Rast obveza financijskog sektora znatno se ubrzao u 2017. te je premašio indikativni prag. To je prije svega posljedica otkupa depozita denominiranih u če</w:t>
      </w:r>
      <w:r>
        <w:rPr>
          <w:rFonts w:ascii="Times New Roman" w:hAnsi="Times New Roman"/>
          <w:noProof/>
          <w:lang w:val="it-IT"/>
        </w:rPr>
        <w:t xml:space="preserve">škim krunama od strane nerezidenata prije isteka tečajne obveze. Stopa nezaposlenosti dodatno se smanjila, a tržište rada vrlo je napeto. </w:t>
      </w:r>
    </w:p>
    <w:p w:rsidR="00B26ED3" w:rsidRDefault="003423C1">
      <w:pPr>
        <w:spacing w:after="160" w:line="259" w:lineRule="auto"/>
        <w:jc w:val="both"/>
        <w:rPr>
          <w:rFonts w:ascii="Times New Roman" w:eastAsia="Calibri" w:hAnsi="Times New Roman" w:cs="Times New Roman"/>
          <w:i/>
          <w:noProof/>
          <w:lang w:val="it-IT"/>
        </w:rPr>
      </w:pPr>
      <w:r>
        <w:rPr>
          <w:rFonts w:ascii="Times New Roman" w:hAnsi="Times New Roman"/>
          <w:i/>
          <w:noProof/>
          <w:lang w:val="it-IT"/>
        </w:rPr>
        <w:t>Ukupno gledano, pri ekonomskom tumačenju ističu se problemi povezani s konkurentnošću i pritiscima na tržište stamben</w:t>
      </w:r>
      <w:r>
        <w:rPr>
          <w:rFonts w:ascii="Times New Roman" w:hAnsi="Times New Roman"/>
          <w:i/>
          <w:noProof/>
          <w:lang w:val="it-IT"/>
        </w:rPr>
        <w:t>ih nekretnina, premda se zasada čini da su rizici ograničeni. Stoga Komisija u ovoj fazi smatra da nije potrebno provoditi daljnje detaljno preispitivanje u okviru PMN-a.</w:t>
      </w:r>
    </w:p>
    <w:p w:rsidR="00B26ED3" w:rsidRDefault="00B26ED3">
      <w:pPr>
        <w:spacing w:after="160" w:line="259" w:lineRule="auto"/>
        <w:rPr>
          <w:rFonts w:ascii="Times New Roman" w:eastAsia="Calibri" w:hAnsi="Times New Roman" w:cs="Times New Roman"/>
          <w:b/>
          <w:noProof/>
          <w:lang w:val="it-IT"/>
        </w:rPr>
      </w:pPr>
    </w:p>
    <w:p w:rsidR="00B26ED3" w:rsidRDefault="003423C1">
      <w:pPr>
        <w:spacing w:after="160" w:line="259" w:lineRule="auto"/>
        <w:jc w:val="both"/>
        <w:rPr>
          <w:noProof/>
          <w:lang w:val="it-IT"/>
        </w:rPr>
      </w:pPr>
      <w:r>
        <w:rPr>
          <w:noProof/>
          <w:lang w:eastAsia="en-GB"/>
        </w:rPr>
        <w:drawing>
          <wp:anchor distT="0" distB="0" distL="114300" distR="114300" simplePos="0" relativeHeight="251686912" behindDoc="0" locked="0" layoutInCell="1" allowOverlap="1">
            <wp:simplePos x="0" y="0"/>
            <wp:positionH relativeFrom="column">
              <wp:posOffset>2950210</wp:posOffset>
            </wp:positionH>
            <wp:positionV relativeFrom="paragraph">
              <wp:posOffset>601345</wp:posOffset>
            </wp:positionV>
            <wp:extent cx="2769235" cy="287464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9235" cy="2874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it-IT"/>
        </w:rPr>
        <w:t>Danska:</w:t>
      </w:r>
      <w:r>
        <w:rPr>
          <w:rFonts w:ascii="Times New Roman" w:hAnsi="Times New Roman"/>
          <w:i/>
          <w:noProof/>
          <w:lang w:val="it-IT"/>
        </w:rPr>
        <w:t xml:space="preserve"> </w:t>
      </w:r>
      <w:r>
        <w:rPr>
          <w:rFonts w:ascii="Times New Roman" w:hAnsi="Times New Roman"/>
          <w:noProof/>
          <w:lang w:val="it-IT"/>
        </w:rPr>
        <w:t xml:space="preserve">U prethodnom ciklusu PMN-a u Danskoj </w:t>
      </w:r>
      <w:r>
        <w:rPr>
          <w:rFonts w:ascii="Times New Roman" w:hAnsi="Times New Roman"/>
          <w:i/>
          <w:noProof/>
          <w:lang w:val="it-IT"/>
        </w:rPr>
        <w:t>nisu utvrđene makroekonomske neravnote</w:t>
      </w:r>
      <w:r>
        <w:rPr>
          <w:rFonts w:ascii="Times New Roman" w:hAnsi="Times New Roman"/>
          <w:i/>
          <w:noProof/>
          <w:lang w:val="it-IT"/>
        </w:rPr>
        <w:t>že</w:t>
      </w:r>
      <w:r>
        <w:rPr>
          <w:rFonts w:ascii="Times New Roman" w:hAnsi="Times New Roman"/>
          <w:noProof/>
          <w:lang w:val="it-IT"/>
        </w:rPr>
        <w:t xml:space="preserve">. U ažuriranoj tablici rezultata više pokazatelja prelazi indikativni prag, i to saldo tekućeg računa i dug privatnog sektora. </w:t>
      </w:r>
    </w:p>
    <w:p w:rsidR="00B26ED3" w:rsidRDefault="003423C1">
      <w:pPr>
        <w:spacing w:after="160" w:line="259" w:lineRule="auto"/>
        <w:jc w:val="both"/>
        <w:rPr>
          <w:rFonts w:ascii="Times New Roman" w:eastAsia="Calibri" w:hAnsi="Times New Roman" w:cs="Times New Roman"/>
          <w:noProof/>
          <w:lang w:val="it-IT"/>
        </w:rPr>
      </w:pPr>
      <w:r>
        <w:rPr>
          <w:rFonts w:ascii="Times New Roman" w:hAnsi="Times New Roman"/>
          <w:noProof/>
          <w:lang w:val="it-IT"/>
        </w:rPr>
        <w:t>Saldo tekućeg računa i dalje bilježi velike suficite. Uzastopni suficiti doveli su do izrazito pozitivnog neto stanja međunaro</w:t>
      </w:r>
      <w:r>
        <w:rPr>
          <w:rFonts w:ascii="Times New Roman" w:hAnsi="Times New Roman"/>
          <w:noProof/>
          <w:lang w:val="it-IT"/>
        </w:rPr>
        <w:t>dnih ulaganja, čime se generira pozitivni neto primarni dohodak koji učvršćuje pozitivni saldo tekućeg računa. Rast jediničnih troškova rada ograničen je premda napetije tržište rada povećava pritisak na plaće, a dinamika produktivnosti je oslabljena. Rast</w:t>
      </w:r>
      <w:r>
        <w:rPr>
          <w:rFonts w:ascii="Times New Roman" w:hAnsi="Times New Roman"/>
          <w:noProof/>
          <w:lang w:val="it-IT"/>
        </w:rPr>
        <w:t xml:space="preserve"> udjela na izvoznom tržištu uglavnom je stabilan. Unatoč usporavanju na nacionalnoj razini, cijene stambenih nekretnina nastavile su brže rasti na glavnim velegradskim područjima. Ta kretanja potrebno je pozorno pratiti. Udio duga kućanstava u BDP-u i dalj</w:t>
      </w:r>
      <w:r>
        <w:rPr>
          <w:rFonts w:ascii="Times New Roman" w:hAnsi="Times New Roman"/>
          <w:noProof/>
          <w:lang w:val="it-IT"/>
        </w:rPr>
        <w:t>e je na najvišoj razini u EU-u i vrlo sporo se smanjuje u kontekstu skromnog kreditnog rasta. Kućanstva su nastavila povećavati štednju kao odraz napora za smanjenje duga te su provedene mjere makrobonitetne politike u cilju ograničenja rizičnog zaduživanj</w:t>
      </w:r>
      <w:r>
        <w:rPr>
          <w:rFonts w:ascii="Times New Roman" w:hAnsi="Times New Roman"/>
          <w:noProof/>
          <w:lang w:val="it-IT"/>
        </w:rPr>
        <w:t>a. S druge strane, korporativna zaduženost i dalje je umjerena. Stanje na tržištu rada nastavlja se poboljšavati, rast zaposlenosti je na solidnoj razini, a nedostatak radne snage sve je rašireniji.</w:t>
      </w:r>
    </w:p>
    <w:p w:rsidR="00B26ED3" w:rsidRDefault="003423C1">
      <w:pPr>
        <w:spacing w:after="160" w:line="259" w:lineRule="auto"/>
        <w:jc w:val="both"/>
        <w:rPr>
          <w:rFonts w:ascii="Times New Roman" w:eastAsia="Calibri" w:hAnsi="Times New Roman" w:cs="Times New Roman"/>
          <w:noProof/>
          <w:lang w:val="it-IT"/>
        </w:rPr>
      </w:pPr>
      <w:r>
        <w:rPr>
          <w:rFonts w:ascii="Times New Roman" w:hAnsi="Times New Roman"/>
          <w:i/>
          <w:noProof/>
          <w:lang w:val="it-IT"/>
        </w:rPr>
        <w:t xml:space="preserve">Ukupno gledano, pri ekonomskom tumačenju ističu se </w:t>
      </w:r>
      <w:r>
        <w:rPr>
          <w:rFonts w:ascii="Times New Roman" w:hAnsi="Times New Roman"/>
          <w:i/>
          <w:noProof/>
          <w:lang w:val="it-IT"/>
        </w:rPr>
        <w:t>problemi povezani s tekućim računom, privatnim dugom i sektorom stambenih nekretnina, premda se rizik čini ograničen. Stoga Komisija u ovoj fazi neće provoditi daljnje detaljno preispitivanje u okviru PMN-a.</w:t>
      </w:r>
    </w:p>
    <w:p w:rsidR="00B26ED3" w:rsidRDefault="003423C1">
      <w:pPr>
        <w:spacing w:after="160" w:line="259" w:lineRule="auto"/>
        <w:jc w:val="both"/>
        <w:rPr>
          <w:rFonts w:ascii="Times New Roman" w:eastAsia="Calibri" w:hAnsi="Times New Roman" w:cs="Times New Roman"/>
          <w:noProof/>
          <w:lang w:val="it-IT"/>
        </w:rPr>
      </w:pPr>
      <w:r>
        <w:rPr>
          <w:noProof/>
          <w:lang w:eastAsia="en-GB"/>
        </w:rPr>
        <w:drawing>
          <wp:anchor distT="0" distB="0" distL="114300" distR="114300" simplePos="0" relativeHeight="251685888" behindDoc="0" locked="0" layoutInCell="1" allowOverlap="1">
            <wp:simplePos x="0" y="0"/>
            <wp:positionH relativeFrom="column">
              <wp:posOffset>3162935</wp:posOffset>
            </wp:positionH>
            <wp:positionV relativeFrom="paragraph">
              <wp:posOffset>48260</wp:posOffset>
            </wp:positionV>
            <wp:extent cx="2670810" cy="284797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081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ED3" w:rsidRDefault="003423C1">
      <w:pPr>
        <w:spacing w:after="160" w:line="259" w:lineRule="auto"/>
        <w:jc w:val="both"/>
        <w:rPr>
          <w:noProof/>
          <w:lang w:val="it-IT"/>
        </w:rPr>
      </w:pPr>
      <w:r>
        <w:rPr>
          <w:rFonts w:ascii="Times New Roman" w:hAnsi="Times New Roman"/>
          <w:b/>
          <w:noProof/>
          <w:lang w:val="it-IT"/>
        </w:rPr>
        <w:t>Njemačka</w:t>
      </w:r>
      <w:r>
        <w:rPr>
          <w:rFonts w:ascii="Times New Roman" w:hAnsi="Times New Roman"/>
          <w:b/>
          <w:i/>
          <w:noProof/>
          <w:lang w:val="it-IT"/>
        </w:rPr>
        <w:t>:</w:t>
      </w:r>
      <w:r>
        <w:rPr>
          <w:rFonts w:ascii="Times New Roman" w:hAnsi="Times New Roman"/>
          <w:noProof/>
          <w:lang w:val="it-IT"/>
        </w:rPr>
        <w:t xml:space="preserve"> U ožujku 2018. Komisija je utvrdila </w:t>
      </w:r>
      <w:r>
        <w:rPr>
          <w:rFonts w:ascii="Times New Roman" w:hAnsi="Times New Roman"/>
          <w:i/>
          <w:noProof/>
          <w:lang w:val="it-IT"/>
        </w:rPr>
        <w:t>makroekonomske neravnoteže</w:t>
      </w:r>
      <w:r>
        <w:rPr>
          <w:rFonts w:ascii="Times New Roman" w:hAnsi="Times New Roman"/>
          <w:noProof/>
          <w:lang w:val="it-IT"/>
        </w:rPr>
        <w:t xml:space="preserve"> u Njemačkoj, posebno u pogledu visokog suficita tekućeg računa koji odražava relativno skromna ulaganja u odnosu na razinu štednje i u privatnom i u javnom sektoru. U ažuriranoj tablici rezultata više pokazatelja i dalje je iznad</w:t>
      </w:r>
      <w:r>
        <w:rPr>
          <w:rFonts w:ascii="Times New Roman" w:hAnsi="Times New Roman"/>
          <w:noProof/>
          <w:lang w:val="it-IT"/>
        </w:rPr>
        <w:t xml:space="preserve"> indikativnog praga, i to saldo tekućeg računa i državni dug. </w:t>
      </w:r>
    </w:p>
    <w:p w:rsidR="00B26ED3" w:rsidRDefault="003423C1">
      <w:pPr>
        <w:spacing w:after="160" w:line="259" w:lineRule="auto"/>
        <w:jc w:val="both"/>
        <w:rPr>
          <w:rFonts w:ascii="Times New Roman" w:eastAsia="Calibri" w:hAnsi="Times New Roman" w:cs="Times New Roman"/>
          <w:noProof/>
          <w:lang w:val="it-IT"/>
        </w:rPr>
      </w:pPr>
      <w:r>
        <w:rPr>
          <w:rFonts w:ascii="Times New Roman" w:hAnsi="Times New Roman"/>
          <w:noProof/>
          <w:lang w:val="it-IT"/>
        </w:rPr>
        <w:t xml:space="preserve">Na tekućem računu i dalje su vidljivi veliki suficiti, iako je u 2017. zabilježeno blago smanjenje na godišnjoj razini. Očekuje se da će se suficit tekućeg računa sve više smanjivati s obzirom </w:t>
      </w:r>
      <w:r>
        <w:rPr>
          <w:rFonts w:ascii="Times New Roman" w:hAnsi="Times New Roman"/>
          <w:noProof/>
          <w:lang w:val="it-IT"/>
        </w:rPr>
        <w:t>na stalan rast domaće potražnje, ali će ostati na visokoj razini te će dodatno pridonijeti povećanju neto stanja međunarodnih ulaganja. Rast jediničnih troškova rada i dalje je umjeren. Rast izvoza pojačao se u 2017., ali došlo je do blagog smanjenja udjel</w:t>
      </w:r>
      <w:r>
        <w:rPr>
          <w:rFonts w:ascii="Times New Roman" w:hAnsi="Times New Roman"/>
          <w:noProof/>
          <w:lang w:val="it-IT"/>
        </w:rPr>
        <w:t xml:space="preserve">a na izvoznom tržištu. Razduživanje u privatnom sektoru se nastavlja unatoč niskoj razini duga privatnog sektora. Istodobno poslovna ulaganja rastu u odnosu na BDP. I ulaganja u stambene nekretnine nastavljaju rasti, ali na velegradskim područjima i dalje </w:t>
      </w:r>
      <w:r>
        <w:rPr>
          <w:rFonts w:ascii="Times New Roman" w:hAnsi="Times New Roman"/>
          <w:noProof/>
          <w:lang w:val="it-IT"/>
        </w:rPr>
        <w:t>zaostaju za potrebama. Realne cijene stambenih nekretnina i troškovi gradnje rastu i potrebno ih je pratiti, među ostalim i s obzirom na regionalne razlike u cijenama i raspoloživosti nekretnina. Kreditni rast postupno jača. Stopa štednje kućanstava i dalj</w:t>
      </w:r>
      <w:r>
        <w:rPr>
          <w:rFonts w:ascii="Times New Roman" w:hAnsi="Times New Roman"/>
          <w:noProof/>
          <w:lang w:val="it-IT"/>
        </w:rPr>
        <w:t>e je na visokoj razini unatoč umjerenom rastu plaća i solidnoj privatnoj potrošnji, što je odraz povećanog dotoka raspodijeljene dobiti trgovačkih društava. Državni dug nastavio se smanjivati i očekuje se da će do 2019. pasti ispod praga od 60 % BDP-a, ali</w:t>
      </w:r>
      <w:r>
        <w:rPr>
          <w:rFonts w:ascii="Times New Roman" w:hAnsi="Times New Roman"/>
          <w:noProof/>
          <w:lang w:val="it-IT"/>
        </w:rPr>
        <w:t xml:space="preserve"> i dalje postoje znatni zaostaci u javnim ulaganjima. Ukupna nezaposlenost, kao i nezaposlenost mladih i dugotrajna nezaposlenost, dodatno je smanjena te je i dalje vrlo niska. </w:t>
      </w:r>
    </w:p>
    <w:p w:rsidR="00B26ED3" w:rsidRDefault="003423C1">
      <w:pPr>
        <w:spacing w:after="160" w:line="259" w:lineRule="auto"/>
        <w:jc w:val="both"/>
        <w:rPr>
          <w:rFonts w:ascii="Times New Roman" w:eastAsia="Calibri" w:hAnsi="Times New Roman" w:cs="Times New Roman"/>
          <w:i/>
          <w:noProof/>
          <w:lang w:val="it-IT"/>
        </w:rPr>
      </w:pPr>
      <w:r>
        <w:rPr>
          <w:rFonts w:ascii="Times New Roman" w:hAnsi="Times New Roman"/>
          <w:i/>
          <w:noProof/>
          <w:lang w:val="it-IT"/>
        </w:rPr>
        <w:t>Ukupno gledano, pri ekonomskom tumačenju ističu se problemi povezani s dugotra</w:t>
      </w:r>
      <w:r>
        <w:rPr>
          <w:rFonts w:ascii="Times New Roman" w:hAnsi="Times New Roman"/>
          <w:i/>
          <w:noProof/>
          <w:lang w:val="it-IT"/>
        </w:rPr>
        <w:t xml:space="preserve">jnim viškom štednje u odnosu na ulaganja, što se odražava na visok suficit tekućeg računa, koji se tek postupno smanjuje, naglašavajući potrebu za kontinuiranim rebalansom. Stoga Komisija smatra, među ostalim i zbog neravnoteže utvrđene u ožujku 2018., da </w:t>
      </w:r>
      <w:r>
        <w:rPr>
          <w:rFonts w:ascii="Times New Roman" w:hAnsi="Times New Roman"/>
          <w:i/>
          <w:noProof/>
          <w:lang w:val="it-IT"/>
        </w:rPr>
        <w:t xml:space="preserve">bi bilo korisno detaljnije ispitati postojanost neravnoteža ili njihovo postupno uklanjanje. </w:t>
      </w:r>
    </w:p>
    <w:p w:rsidR="00B26ED3" w:rsidRDefault="003423C1">
      <w:pPr>
        <w:spacing w:after="160" w:line="259" w:lineRule="auto"/>
        <w:jc w:val="both"/>
        <w:rPr>
          <w:rFonts w:ascii="Times New Roman" w:eastAsia="Calibri" w:hAnsi="Times New Roman" w:cs="Times New Roman"/>
          <w:i/>
          <w:noProof/>
          <w:lang w:val="it-IT"/>
        </w:rPr>
      </w:pPr>
      <w:r>
        <w:rPr>
          <w:noProof/>
          <w:lang w:eastAsia="en-GB"/>
        </w:rPr>
        <w:drawing>
          <wp:anchor distT="0" distB="0" distL="114300" distR="114300" simplePos="0" relativeHeight="251684864" behindDoc="0" locked="0" layoutInCell="1" allowOverlap="1">
            <wp:simplePos x="0" y="0"/>
            <wp:positionH relativeFrom="column">
              <wp:posOffset>3326130</wp:posOffset>
            </wp:positionH>
            <wp:positionV relativeFrom="paragraph">
              <wp:posOffset>264160</wp:posOffset>
            </wp:positionV>
            <wp:extent cx="2459990" cy="283845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999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ED3" w:rsidRDefault="003423C1">
      <w:pPr>
        <w:spacing w:after="160" w:line="259" w:lineRule="auto"/>
        <w:jc w:val="both"/>
        <w:rPr>
          <w:noProof/>
          <w:lang w:val="it-IT"/>
        </w:rPr>
      </w:pPr>
      <w:r>
        <w:rPr>
          <w:rFonts w:ascii="Times New Roman" w:hAnsi="Times New Roman"/>
          <w:b/>
          <w:noProof/>
          <w:lang w:val="it-IT"/>
        </w:rPr>
        <w:t>Estonija:</w:t>
      </w:r>
      <w:r>
        <w:rPr>
          <w:rFonts w:ascii="Times New Roman" w:hAnsi="Times New Roman"/>
          <w:i/>
          <w:noProof/>
          <w:lang w:val="it-IT"/>
        </w:rPr>
        <w:t xml:space="preserve"> </w:t>
      </w:r>
      <w:r>
        <w:rPr>
          <w:rFonts w:ascii="Times New Roman" w:hAnsi="Times New Roman"/>
          <w:noProof/>
          <w:lang w:val="it-IT"/>
        </w:rPr>
        <w:t xml:space="preserve">U prethodnom ciklusu PMN-a u Estoniji </w:t>
      </w:r>
      <w:r>
        <w:rPr>
          <w:rFonts w:ascii="Times New Roman" w:hAnsi="Times New Roman"/>
          <w:i/>
          <w:noProof/>
          <w:lang w:val="it-IT"/>
        </w:rPr>
        <w:t>nisu utvrđene makroekonomske neravnoteže</w:t>
      </w:r>
      <w:r>
        <w:rPr>
          <w:rFonts w:ascii="Times New Roman" w:hAnsi="Times New Roman"/>
          <w:noProof/>
          <w:lang w:val="it-IT"/>
        </w:rPr>
        <w:t>. U ažuriranoj tablici rezultata rast nominalnih jediničnih troškova rad</w:t>
      </w:r>
      <w:r>
        <w:rPr>
          <w:rFonts w:ascii="Times New Roman" w:hAnsi="Times New Roman"/>
          <w:noProof/>
          <w:lang w:val="it-IT"/>
        </w:rPr>
        <w:t xml:space="preserve">a prelazi indikativni prag. </w:t>
      </w:r>
    </w:p>
    <w:p w:rsidR="00B26ED3" w:rsidRDefault="003423C1">
      <w:pPr>
        <w:spacing w:after="160" w:line="259" w:lineRule="auto"/>
        <w:jc w:val="both"/>
        <w:rPr>
          <w:rFonts w:ascii="Times New Roman" w:eastAsia="Calibri" w:hAnsi="Times New Roman" w:cs="Times New Roman"/>
          <w:noProof/>
          <w:lang w:val="sv-SE"/>
        </w:rPr>
      </w:pPr>
      <w:r>
        <w:rPr>
          <w:rFonts w:ascii="Times New Roman" w:hAnsi="Times New Roman"/>
          <w:noProof/>
          <w:lang w:val="it-IT"/>
        </w:rPr>
        <w:t>Suficit tekućeg računa u 2017. dodatno se povećao, a neto stanje međunarodnih ulaganja poboljšalo se i sada je u okviru zadanog praga. Nominalni jedinični troškovi rada nastavili su snažno rasti, što je odraz inflacije i vrlo s</w:t>
      </w:r>
      <w:r>
        <w:rPr>
          <w:rFonts w:ascii="Times New Roman" w:hAnsi="Times New Roman"/>
          <w:noProof/>
          <w:lang w:val="it-IT"/>
        </w:rPr>
        <w:t>nažnog rasta plaća. Dinamika produktivnosti prilično je niska, što u određenoj mjeri utječe na pokazatelje troškovne konkurentnosti. Nastavila se aprecijacija realne efektivne tečajne stope, a udjeli na izvoznom tržištu bili su stabilni. Realne cijene stam</w:t>
      </w:r>
      <w:r>
        <w:rPr>
          <w:rFonts w:ascii="Times New Roman" w:hAnsi="Times New Roman"/>
          <w:noProof/>
          <w:lang w:val="it-IT"/>
        </w:rPr>
        <w:t xml:space="preserve">benih nekretnina posljednjih godina bilježile su dinamičan rast, koji je 2017. usporen te je ostao na umjerenoj razini. </w:t>
      </w:r>
      <w:r>
        <w:rPr>
          <w:rFonts w:ascii="Times New Roman" w:hAnsi="Times New Roman"/>
          <w:noProof/>
          <w:lang w:val="sv-SE"/>
        </w:rPr>
        <w:t>Razduživanje privatnog sektora se nastavilo, dok je razina javnog duga vrlo niska. Tržište rada sve je napetije, ali su useljavanja done</w:t>
      </w:r>
      <w:r>
        <w:rPr>
          <w:rFonts w:ascii="Times New Roman" w:hAnsi="Times New Roman"/>
          <w:noProof/>
          <w:lang w:val="sv-SE"/>
        </w:rPr>
        <w:t xml:space="preserve">kle smanjila problem nedostatka radne snage. </w:t>
      </w:r>
    </w:p>
    <w:p w:rsidR="00B26ED3" w:rsidRDefault="003423C1">
      <w:pPr>
        <w:spacing w:after="160" w:line="259" w:lineRule="auto"/>
        <w:jc w:val="both"/>
        <w:rPr>
          <w:rFonts w:ascii="Times New Roman" w:eastAsia="Calibri" w:hAnsi="Times New Roman" w:cs="Times New Roman"/>
          <w:i/>
          <w:noProof/>
          <w:lang w:val="sv-SE"/>
        </w:rPr>
      </w:pPr>
      <w:r>
        <w:rPr>
          <w:rFonts w:ascii="Times New Roman" w:hAnsi="Times New Roman"/>
          <w:i/>
          <w:noProof/>
          <w:lang w:val="sv-SE"/>
        </w:rPr>
        <w:t>Ukupno gledano, pri ekonomskom tumačenju ističu se problemi povezani s nominalnim jediničnim troškovima rada, premda se čini da su rizici ograničeni. Stoga Komisija u ovoj fazi neće provoditi daljnje detaljno p</w:t>
      </w:r>
      <w:r>
        <w:rPr>
          <w:rFonts w:ascii="Times New Roman" w:hAnsi="Times New Roman"/>
          <w:i/>
          <w:noProof/>
          <w:lang w:val="sv-SE"/>
        </w:rPr>
        <w:t>reispitivanje u okviru PMN-a.</w:t>
      </w:r>
    </w:p>
    <w:p w:rsidR="00B26ED3" w:rsidRDefault="00B26ED3">
      <w:pPr>
        <w:spacing w:after="160" w:line="259" w:lineRule="auto"/>
        <w:jc w:val="both"/>
        <w:rPr>
          <w:rFonts w:ascii="Times New Roman" w:eastAsia="Calibri" w:hAnsi="Times New Roman" w:cs="Times New Roman"/>
          <w:noProof/>
          <w:lang w:val="sv-SE"/>
        </w:rPr>
      </w:pPr>
    </w:p>
    <w:p w:rsidR="00B26ED3" w:rsidRDefault="00B26ED3">
      <w:pPr>
        <w:spacing w:after="160" w:line="259" w:lineRule="auto"/>
        <w:jc w:val="both"/>
        <w:rPr>
          <w:rFonts w:ascii="Times New Roman" w:eastAsia="Calibri" w:hAnsi="Times New Roman" w:cs="Times New Roman"/>
          <w:noProof/>
          <w:lang w:val="sv-SE"/>
        </w:rPr>
      </w:pPr>
    </w:p>
    <w:p w:rsidR="00B26ED3" w:rsidRDefault="00B26ED3">
      <w:pPr>
        <w:spacing w:after="160" w:line="259" w:lineRule="auto"/>
        <w:jc w:val="both"/>
        <w:rPr>
          <w:rFonts w:ascii="Times New Roman" w:eastAsia="Calibri" w:hAnsi="Times New Roman" w:cs="Times New Roman"/>
          <w:noProof/>
          <w:lang w:val="sv-SE"/>
        </w:rPr>
      </w:pPr>
    </w:p>
    <w:p w:rsidR="00B26ED3" w:rsidRDefault="00B26ED3">
      <w:pPr>
        <w:spacing w:after="160" w:line="259" w:lineRule="auto"/>
        <w:jc w:val="both"/>
        <w:rPr>
          <w:rFonts w:ascii="Times New Roman" w:eastAsia="Calibri" w:hAnsi="Times New Roman" w:cs="Times New Roman"/>
          <w:noProof/>
          <w:lang w:val="sv-SE"/>
        </w:rPr>
      </w:pPr>
    </w:p>
    <w:p w:rsidR="00B26ED3" w:rsidRDefault="00B26ED3">
      <w:pPr>
        <w:spacing w:after="160" w:line="259" w:lineRule="auto"/>
        <w:jc w:val="both"/>
        <w:rPr>
          <w:rFonts w:ascii="Times New Roman" w:eastAsia="Calibri" w:hAnsi="Times New Roman" w:cs="Times New Roman"/>
          <w:noProof/>
          <w:lang w:val="sv-SE"/>
        </w:rPr>
      </w:pPr>
    </w:p>
    <w:p w:rsidR="00B26ED3" w:rsidRDefault="00B26ED3">
      <w:pPr>
        <w:spacing w:after="160" w:line="259" w:lineRule="auto"/>
        <w:jc w:val="both"/>
        <w:rPr>
          <w:rFonts w:ascii="Times New Roman" w:eastAsia="Calibri" w:hAnsi="Times New Roman" w:cs="Times New Roman"/>
          <w:noProof/>
          <w:lang w:val="sv-SE"/>
        </w:rPr>
      </w:pPr>
    </w:p>
    <w:p w:rsidR="00B26ED3" w:rsidRDefault="00B26ED3">
      <w:pPr>
        <w:spacing w:after="160" w:line="259" w:lineRule="auto"/>
        <w:jc w:val="both"/>
        <w:rPr>
          <w:rFonts w:ascii="Times New Roman" w:eastAsia="Calibri" w:hAnsi="Times New Roman" w:cs="Times New Roman"/>
          <w:noProof/>
          <w:lang w:val="sv-SE"/>
        </w:rPr>
      </w:pPr>
    </w:p>
    <w:p w:rsidR="00B26ED3" w:rsidRDefault="00B26ED3">
      <w:pPr>
        <w:autoSpaceDE w:val="0"/>
        <w:autoSpaceDN w:val="0"/>
        <w:adjustRightInd w:val="0"/>
        <w:spacing w:after="240"/>
        <w:jc w:val="both"/>
        <w:rPr>
          <w:rFonts w:ascii="Times New Roman" w:eastAsia="Calibri" w:hAnsi="Times New Roman" w:cs="Times New Roman"/>
          <w:noProof/>
          <w:lang w:val="sv-SE"/>
        </w:rPr>
      </w:pPr>
    </w:p>
    <w:p w:rsidR="00B26ED3" w:rsidRDefault="003423C1">
      <w:pPr>
        <w:autoSpaceDE w:val="0"/>
        <w:autoSpaceDN w:val="0"/>
        <w:adjustRightInd w:val="0"/>
        <w:spacing w:after="240"/>
        <w:jc w:val="both"/>
        <w:rPr>
          <w:noProof/>
          <w:lang w:val="sv-SE"/>
        </w:rPr>
      </w:pPr>
      <w:r>
        <w:rPr>
          <w:noProof/>
          <w:lang w:eastAsia="en-GB"/>
        </w:rPr>
        <w:drawing>
          <wp:anchor distT="0" distB="0" distL="114300" distR="114300" simplePos="0" relativeHeight="251683840" behindDoc="0" locked="0" layoutInCell="1" allowOverlap="1">
            <wp:simplePos x="0" y="0"/>
            <wp:positionH relativeFrom="column">
              <wp:posOffset>3109595</wp:posOffset>
            </wp:positionH>
            <wp:positionV relativeFrom="paragraph">
              <wp:posOffset>1050925</wp:posOffset>
            </wp:positionV>
            <wp:extent cx="2676525" cy="267652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lang w:val="sv-SE"/>
        </w:rPr>
        <w:t>Irska:</w:t>
      </w:r>
      <w:r>
        <w:rPr>
          <w:rFonts w:ascii="Times New Roman" w:hAnsi="Times New Roman"/>
          <w:noProof/>
          <w:color w:val="000000"/>
          <w:lang w:val="sv-SE"/>
        </w:rPr>
        <w:t xml:space="preserve"> U ožujku 2018. Komisija je utvrdila </w:t>
      </w:r>
      <w:r>
        <w:rPr>
          <w:rFonts w:ascii="Times New Roman" w:hAnsi="Times New Roman"/>
          <w:i/>
          <w:noProof/>
          <w:color w:val="000000"/>
          <w:lang w:val="sv-SE"/>
        </w:rPr>
        <w:t>makroekonomske neravnoteže</w:t>
      </w:r>
      <w:r>
        <w:rPr>
          <w:rFonts w:ascii="Times New Roman" w:hAnsi="Times New Roman"/>
          <w:noProof/>
          <w:color w:val="000000"/>
          <w:lang w:val="sv-SE"/>
        </w:rPr>
        <w:t xml:space="preserve"> u Irskoj, posebno u pogledu slabosti koje proizlaze iz visokih razina javnog i privatnog duga te neto vanjskih obveza. U ažuriranoj tablici rezultata više pokazatelja prelazi indikativni prag, i to neto stanje međunarodnih ulaganja (NIIP), realna efektivn</w:t>
      </w:r>
      <w:r>
        <w:rPr>
          <w:rFonts w:ascii="Times New Roman" w:hAnsi="Times New Roman"/>
          <w:noProof/>
          <w:color w:val="000000"/>
          <w:lang w:val="sv-SE"/>
        </w:rPr>
        <w:t xml:space="preserve">a tečajna stopa (REER), privatni dug, javni dug te godišnja promjena realnih cijena stambenih nekretnina. </w:t>
      </w:r>
    </w:p>
    <w:p w:rsidR="00B26ED3" w:rsidRDefault="003423C1">
      <w:pPr>
        <w:autoSpaceDE w:val="0"/>
        <w:autoSpaceDN w:val="0"/>
        <w:adjustRightInd w:val="0"/>
        <w:spacing w:after="240"/>
        <w:jc w:val="both"/>
        <w:rPr>
          <w:rFonts w:ascii="Times New Roman" w:eastAsia="Times New Roman" w:hAnsi="Times New Roman" w:cs="Times New Roman"/>
          <w:noProof/>
          <w:color w:val="000000"/>
          <w:lang w:val="sv-SE"/>
        </w:rPr>
      </w:pPr>
      <w:r>
        <w:rPr>
          <w:rFonts w:ascii="Times New Roman" w:hAnsi="Times New Roman"/>
          <w:noProof/>
          <w:color w:val="000000"/>
          <w:lang w:val="sv-SE"/>
        </w:rPr>
        <w:t>U 2017. zabilježen je velik suficit na tekućem računu, za razliku od znatnog deficita u 2016. i suficita u prethodnim godinama. Tim naglim promjenama</w:t>
      </w:r>
      <w:r>
        <w:rPr>
          <w:rFonts w:ascii="Times New Roman" w:hAnsi="Times New Roman"/>
          <w:noProof/>
          <w:color w:val="000000"/>
          <w:lang w:val="sv-SE"/>
        </w:rPr>
        <w:t xml:space="preserve"> salda tekućeg računa u proteklim godinama pridonijeli su volatilnost uvoza intelektualnog vlasništva i ugovorne proizvodnje.</w:t>
      </w:r>
      <w:r>
        <w:rPr>
          <w:rStyle w:val="FootnoteReference"/>
          <w:rFonts w:ascii="Times New Roman" w:hAnsi="Times New Roman"/>
          <w:noProof/>
          <w:color w:val="000000"/>
          <w:lang w:val="sv-SE"/>
        </w:rPr>
        <w:t xml:space="preserve"> </w:t>
      </w:r>
      <w:r>
        <w:rPr>
          <w:rStyle w:val="FootnoteReference"/>
          <w:rFonts w:ascii="Times New Roman" w:hAnsi="Times New Roman"/>
          <w:noProof/>
          <w:color w:val="000000"/>
        </w:rPr>
        <w:footnoteReference w:id="37"/>
      </w:r>
      <w:r>
        <w:rPr>
          <w:rFonts w:ascii="Times New Roman" w:hAnsi="Times New Roman"/>
          <w:noProof/>
          <w:color w:val="000000"/>
          <w:lang w:val="sv-SE"/>
        </w:rPr>
        <w:t xml:space="preserve"> Neto stanje međunarodnih ulaganja nastavilo se poboljšavati, ali je i dalje izrazito negativno, što se u velikoj mjeri može prip</w:t>
      </w:r>
      <w:r>
        <w:rPr>
          <w:rFonts w:ascii="Times New Roman" w:hAnsi="Times New Roman"/>
          <w:noProof/>
          <w:color w:val="000000"/>
          <w:lang w:val="sv-SE"/>
        </w:rPr>
        <w:t>isati aktivnostima multinacionalnih kompanija s ograničenim vezama s domaćim gospodarstvom. Snažan rast produktivnosti, kojem su također obilato pridonijele aktivnosti multinacionalnih kompanija, posljednjih je godina pridonio poboljšanju konkurentnosti. P</w:t>
      </w:r>
      <w:r>
        <w:rPr>
          <w:rFonts w:ascii="Times New Roman" w:hAnsi="Times New Roman"/>
          <w:noProof/>
          <w:color w:val="000000"/>
          <w:lang w:val="sv-SE"/>
        </w:rPr>
        <w:t>rivatni dug i dalje je vrlo visok, premda je nastavio padati. Kućanstva su nastavila smanjivati svoj dug, a irske banke smanjile su izloženost domaćim poduzećima, što upućuje na daljnje razduživanje poduzeća. Teže je procijeniti stanje u domaćim nefinancij</w:t>
      </w:r>
      <w:r>
        <w:rPr>
          <w:rFonts w:ascii="Times New Roman" w:hAnsi="Times New Roman"/>
          <w:noProof/>
          <w:color w:val="000000"/>
          <w:lang w:val="sv-SE"/>
        </w:rPr>
        <w:t>skim poduzećima s obzirom na udio multinacionalnih kompanija u ukupnom korporativnom dugu. Cijene stambenih nekretnina bilježe dinamičan rast od 2014., uglavnom zahvaljujući ograničenoj ponudi, i potrebno ih je pomno pratiti. Zahvaljujući snažnom gospodars</w:t>
      </w:r>
      <w:r>
        <w:rPr>
          <w:rFonts w:ascii="Times New Roman" w:hAnsi="Times New Roman"/>
          <w:noProof/>
          <w:color w:val="000000"/>
          <w:lang w:val="sv-SE"/>
        </w:rPr>
        <w:t>kom rastu udio javnog duga u BDP-u opada, ali je i dalje visok. Udio loših kredita posljednjih godina se smanjuje, ali je i dalje na visokoj razini. Iako su banke dobro kapitalizirane, razine izdvajanja rezervacija su se smanjile. Njihova se profitabilnost</w:t>
      </w:r>
      <w:r>
        <w:rPr>
          <w:rFonts w:ascii="Times New Roman" w:hAnsi="Times New Roman"/>
          <w:noProof/>
          <w:color w:val="000000"/>
          <w:lang w:val="sv-SE"/>
        </w:rPr>
        <w:t xml:space="preserve"> postupno povećava, iako je i dalje relativno skromna.</w:t>
      </w:r>
      <w:r>
        <w:rPr>
          <w:rFonts w:ascii="Times New Roman" w:hAnsi="Times New Roman"/>
          <w:noProof/>
          <w:lang w:val="sv-SE"/>
        </w:rPr>
        <w:t xml:space="preserve"> Stopa nezaposlenosti u 2017. pala je ispod praga PMN-a, a dugotrajna nezaposlenost i nezaposlenost mladih u stalnom su padu.</w:t>
      </w:r>
    </w:p>
    <w:p w:rsidR="00B26ED3" w:rsidRDefault="003423C1">
      <w:pPr>
        <w:spacing w:after="240" w:line="259" w:lineRule="auto"/>
        <w:jc w:val="both"/>
        <w:rPr>
          <w:rFonts w:ascii="Times New Roman" w:eastAsia="Calibri" w:hAnsi="Times New Roman" w:cs="Times New Roman"/>
          <w:i/>
          <w:noProof/>
          <w:lang w:val="sv-SE"/>
        </w:rPr>
      </w:pPr>
      <w:r>
        <w:rPr>
          <w:rFonts w:ascii="Times New Roman" w:hAnsi="Times New Roman"/>
          <w:i/>
          <w:noProof/>
          <w:lang w:val="sv-SE"/>
        </w:rPr>
        <w:t>Ukupno gledano, pri ekonomskom tumačenju ističu se problemi povezani s volat</w:t>
      </w:r>
      <w:r>
        <w:rPr>
          <w:rFonts w:ascii="Times New Roman" w:hAnsi="Times New Roman"/>
          <w:i/>
          <w:noProof/>
          <w:lang w:val="sv-SE"/>
        </w:rPr>
        <w:t>ilnošću vanjske pozicije, razinom privatnog i javnog duga te brzim rastom cijena stambenih nekretnina i relativno visokim udjelom loših kredita. Stoga Komisija smatra, među ostalim i zbog neravnoteža utvrđenih u ožujku 2018., da bi bilo dobro detaljnije is</w:t>
      </w:r>
      <w:r>
        <w:rPr>
          <w:rFonts w:ascii="Times New Roman" w:hAnsi="Times New Roman"/>
          <w:i/>
          <w:noProof/>
          <w:lang w:val="sv-SE"/>
        </w:rPr>
        <w:t>pitati postojanost neravnoteža ili njihovo postupno uklanjanje.</w:t>
      </w:r>
    </w:p>
    <w:p w:rsidR="00B26ED3" w:rsidRDefault="003423C1">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62336" behindDoc="0" locked="0" layoutInCell="1" allowOverlap="1">
            <wp:simplePos x="0" y="0"/>
            <wp:positionH relativeFrom="column">
              <wp:posOffset>3387725</wp:posOffset>
            </wp:positionH>
            <wp:positionV relativeFrom="paragraph">
              <wp:posOffset>1431290</wp:posOffset>
            </wp:positionV>
            <wp:extent cx="2265680" cy="271462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568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noProof/>
          <w:lang w:val="pl-PL"/>
        </w:rPr>
        <w:br/>
      </w:r>
      <w:r>
        <w:rPr>
          <w:rFonts w:ascii="Times New Roman" w:hAnsi="Times New Roman"/>
          <w:b/>
          <w:noProof/>
          <w:lang w:val="pl-PL"/>
        </w:rPr>
        <w:t>Grčka:</w:t>
      </w:r>
      <w:r>
        <w:rPr>
          <w:rFonts w:ascii="Times New Roman" w:hAnsi="Times New Roman"/>
          <w:b/>
          <w:i/>
          <w:noProof/>
          <w:lang w:val="pl-PL"/>
        </w:rPr>
        <w:t xml:space="preserve"> </w:t>
      </w:r>
      <w:r>
        <w:rPr>
          <w:rFonts w:ascii="Times New Roman" w:hAnsi="Times New Roman"/>
          <w:noProof/>
          <w:lang w:val="pl-PL"/>
        </w:rPr>
        <w:t xml:space="preserve">Grčka je od 2010. do nedavno bila uključena u programe financijske pomoći. Stoga se nadzor neravnoteža i korektivnih mjera odvijao u okviru programa financijske pomoći, a ne u okviru </w:t>
      </w:r>
      <w:r>
        <w:rPr>
          <w:rFonts w:ascii="Times New Roman" w:hAnsi="Times New Roman"/>
          <w:noProof/>
          <w:lang w:val="pl-PL"/>
        </w:rPr>
        <w:t>PMN-a. Posljednjih je godina Grčka poduzela važne korake za smanjenje neravnoteža tokova i upravljanje povezanim rizicima, ali očekuje se da će zaostale neravnoteže stanja iz prošlosti i dalje biti prisutne. To je vidljivo u ažuriranoj tablici rezultata, u</w:t>
      </w:r>
      <w:r>
        <w:rPr>
          <w:rFonts w:ascii="Times New Roman" w:hAnsi="Times New Roman"/>
          <w:noProof/>
          <w:lang w:val="pl-PL"/>
        </w:rPr>
        <w:t xml:space="preserve"> kojoj više pokazatelja prelazi indikativni prag, i to neto stanje međunarodnih ulaganja (NIIP), gubici udjela na izvoznom tržištu, državni dug i stopa nezaposlenosti. </w:t>
      </w:r>
    </w:p>
    <w:p w:rsidR="00B26ED3" w:rsidRDefault="003423C1">
      <w:pPr>
        <w:spacing w:after="160" w:line="259" w:lineRule="auto"/>
        <w:jc w:val="both"/>
        <w:rPr>
          <w:rFonts w:ascii="Times New Roman" w:eastAsia="Calibri" w:hAnsi="Times New Roman" w:cs="Times New Roman"/>
          <w:noProof/>
          <w:lang w:val="nn-NO"/>
        </w:rPr>
      </w:pPr>
      <w:r>
        <w:rPr>
          <w:rFonts w:ascii="Times New Roman" w:hAnsi="Times New Roman"/>
          <w:noProof/>
          <w:lang w:val="pl-PL"/>
        </w:rPr>
        <w:t>Iako je NIIP privatnog sektora pozitivan, zbog velikog udjela javnog vanjskog duga ukupni je NIIP znatno negativan. Premda je velik dio vanjskog javnog duga izdan uz vrlo povoljne kamatne stope, za dugoročnu održivost NIIP-a bit će potrebno nastaviti pobol</w:t>
      </w:r>
      <w:r>
        <w:rPr>
          <w:rFonts w:ascii="Times New Roman" w:hAnsi="Times New Roman"/>
          <w:noProof/>
          <w:lang w:val="pl-PL"/>
        </w:rPr>
        <w:t>jšavati stanje tekućeg računa u kontekstu rasta domaće potražnje. U posljednjih su pet godina zabilježeni znatni gubici udjela na izvoznom tržištu, ali čini se da je taj trend zaustavljen u 2017. Udio državnog duga u BDP-u vrlo je visok, ali se očekuje nje</w:t>
      </w:r>
      <w:r>
        <w:rPr>
          <w:rFonts w:ascii="Times New Roman" w:hAnsi="Times New Roman"/>
          <w:noProof/>
          <w:lang w:val="pl-PL"/>
        </w:rPr>
        <w:t xml:space="preserve">gov pad, a njegova je održivost poduprta sporazumom Euroskupine iz lipnja 2018. Cijene stambenih nekretnina u 2017. nastavile su padati u realnom smislu, ali su se stabilizirale početkom 2018. </w:t>
      </w:r>
      <w:r>
        <w:rPr>
          <w:rFonts w:ascii="Times New Roman" w:hAnsi="Times New Roman"/>
          <w:noProof/>
          <w:lang w:val="nn-NO"/>
        </w:rPr>
        <w:t xml:space="preserve">Kreditni rast ostao je negativan u uvjetima daljnjeg privatnog </w:t>
      </w:r>
      <w:r>
        <w:rPr>
          <w:rFonts w:ascii="Times New Roman" w:hAnsi="Times New Roman"/>
          <w:noProof/>
          <w:lang w:val="nn-NO"/>
        </w:rPr>
        <w:t>razduživanja. Visoka razina loših kredita otežava ponovnu uspostavu snažnog dotoka kredita u gospodarstvo, koji je potreban za podržavanje rasta u srednjem roku. Nezaposlenost se smanjuje, ali je i dalje visoka, osobito s obzirom na dugotrajnu nezaposlenos</w:t>
      </w:r>
      <w:r>
        <w:rPr>
          <w:rFonts w:ascii="Times New Roman" w:hAnsi="Times New Roman"/>
          <w:noProof/>
          <w:lang w:val="nn-NO"/>
        </w:rPr>
        <w:t xml:space="preserve">t i nezaposlenost mladih. </w:t>
      </w:r>
    </w:p>
    <w:p w:rsidR="00B26ED3" w:rsidRDefault="003423C1">
      <w:pPr>
        <w:spacing w:after="160" w:line="259" w:lineRule="auto"/>
        <w:jc w:val="both"/>
        <w:rPr>
          <w:rFonts w:ascii="Times New Roman" w:eastAsia="Calibri" w:hAnsi="Times New Roman" w:cs="Times New Roman"/>
          <w:i/>
          <w:noProof/>
          <w:lang w:val="nn-NO"/>
        </w:rPr>
      </w:pPr>
      <w:r>
        <w:rPr>
          <w:rFonts w:ascii="Times New Roman" w:hAnsi="Times New Roman"/>
          <w:i/>
          <w:noProof/>
          <w:lang w:val="nn-NO"/>
        </w:rPr>
        <w:t>Ukupno gledano, pri ekonomskom tumačenju ističu se problemi povezani s visokom razinom javnog i vanjskog duga, niskom razinom štednje i visokom razinom loših kredita, a sve to u kontekstu velike nezaposlenosti, niskog rasta produ</w:t>
      </w:r>
      <w:r>
        <w:rPr>
          <w:rFonts w:ascii="Times New Roman" w:hAnsi="Times New Roman"/>
          <w:i/>
          <w:noProof/>
          <w:lang w:val="nn-NO"/>
        </w:rPr>
        <w:t>ktivnosti i usporene ulagačke aktivnosti. Stoga Komisija smatra da bi bilo dobro dodatno ispitati predmetne rizike u okviru detaljnog preispitivanja kako bi se utvrdilo jesu li neravnoteže prisutne.</w:t>
      </w:r>
    </w:p>
    <w:p w:rsidR="00B26ED3" w:rsidRDefault="00B26ED3">
      <w:pPr>
        <w:spacing w:after="160" w:line="259" w:lineRule="auto"/>
        <w:jc w:val="both"/>
        <w:rPr>
          <w:rFonts w:ascii="Times New Roman" w:eastAsia="Calibri" w:hAnsi="Times New Roman" w:cs="Times New Roman"/>
          <w:i/>
          <w:noProof/>
          <w:lang w:val="nn-NO"/>
        </w:rPr>
      </w:pPr>
    </w:p>
    <w:p w:rsidR="00B26ED3" w:rsidRDefault="003423C1">
      <w:pPr>
        <w:autoSpaceDE w:val="0"/>
        <w:autoSpaceDN w:val="0"/>
        <w:adjustRightInd w:val="0"/>
        <w:spacing w:after="160" w:line="259" w:lineRule="auto"/>
        <w:jc w:val="both"/>
        <w:rPr>
          <w:rFonts w:ascii="Times New Roman" w:eastAsia="Calibri" w:hAnsi="Times New Roman" w:cs="Times New Roman"/>
          <w:noProof/>
          <w:lang w:val="nn-NO"/>
        </w:rPr>
      </w:pPr>
      <w:r>
        <w:rPr>
          <w:rFonts w:ascii="Times New Roman" w:hAnsi="Times New Roman"/>
          <w:b/>
          <w:noProof/>
          <w:lang w:val="nn-NO"/>
        </w:rPr>
        <w:t>Španjolska</w:t>
      </w:r>
      <w:r>
        <w:rPr>
          <w:rFonts w:ascii="Times New Roman" w:hAnsi="Times New Roman"/>
          <w:noProof/>
          <w:lang w:val="nn-NO"/>
        </w:rPr>
        <w:t xml:space="preserve">: U ožujku 2018. Komisija je utvrdila </w:t>
      </w:r>
      <w:r>
        <w:rPr>
          <w:rFonts w:ascii="Times New Roman" w:hAnsi="Times New Roman"/>
          <w:i/>
          <w:noProof/>
          <w:lang w:val="nn-NO"/>
        </w:rPr>
        <w:t>makroekonomske neravnoteže</w:t>
      </w:r>
      <w:r>
        <w:rPr>
          <w:rFonts w:ascii="Times New Roman" w:hAnsi="Times New Roman"/>
          <w:noProof/>
          <w:lang w:val="nn-NO"/>
        </w:rPr>
        <w:t xml:space="preserve"> u Španjolskoj, posebno u vezi s visokim razinama vanjskog i unutarnjeg duga u privatnom i javnom sektoru, u kontekstu visoke nezaposlenosti. U ažuriranoj tablici rezultata više pokazatelja prelazi indikativni prag, i to neto stan</w:t>
      </w:r>
      <w:r>
        <w:rPr>
          <w:rFonts w:ascii="Times New Roman" w:hAnsi="Times New Roman"/>
          <w:noProof/>
          <w:lang w:val="nn-NO"/>
        </w:rPr>
        <w:t xml:space="preserve">je međunarodnih ulaganja (NIIP), udio privatnog i državnog duga, stopa nezaposlenosti te rast stope aktivnosti. </w:t>
      </w:r>
    </w:p>
    <w:p w:rsidR="00B26ED3" w:rsidRDefault="003423C1">
      <w:pPr>
        <w:autoSpaceDE w:val="0"/>
        <w:autoSpaceDN w:val="0"/>
        <w:adjustRightInd w:val="0"/>
        <w:spacing w:after="120" w:line="259" w:lineRule="auto"/>
        <w:jc w:val="both"/>
        <w:rPr>
          <w:rFonts w:ascii="Times New Roman" w:eastAsia="MS Mincho" w:hAnsi="Times New Roman" w:cs="Times New Roman"/>
          <w:noProof/>
          <w:lang w:val="nn-NO"/>
        </w:rPr>
      </w:pPr>
      <w:r>
        <w:rPr>
          <w:noProof/>
          <w:lang w:eastAsia="en-GB"/>
        </w:rPr>
        <w:drawing>
          <wp:anchor distT="0" distB="0" distL="114300" distR="114300" simplePos="0" relativeHeight="251687936" behindDoc="0" locked="0" layoutInCell="1" allowOverlap="1">
            <wp:simplePos x="0" y="0"/>
            <wp:positionH relativeFrom="column">
              <wp:posOffset>3748405</wp:posOffset>
            </wp:positionH>
            <wp:positionV relativeFrom="paragraph">
              <wp:posOffset>31115</wp:posOffset>
            </wp:positionV>
            <wp:extent cx="2057400" cy="26390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2639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nn-NO"/>
        </w:rPr>
        <w:t>Vanjski rebalans se nastavio, doduše relativno sporo, dok je NIIP unatoč poboljšanju ostao vrlo visok. Nominalni rast jediničnih troškova rada</w:t>
      </w:r>
      <w:r>
        <w:rPr>
          <w:rFonts w:ascii="Times New Roman" w:hAnsi="Times New Roman"/>
          <w:noProof/>
          <w:lang w:val="nn-NO"/>
        </w:rPr>
        <w:t xml:space="preserve"> stabilan je u kontekstu ograničenog rasta plaća i niskog rasta produktivnosti. Rast izvoznog tržišta na godišnjoj razini umjeren je unatoč blagoj aprecijaciji realne efektivne tečajne stope u 2017. Dug privatnog sektora nastavio se smanjivati tijekom cije</w:t>
      </w:r>
      <w:r>
        <w:rPr>
          <w:rFonts w:ascii="Times New Roman" w:hAnsi="Times New Roman"/>
          <w:noProof/>
          <w:lang w:val="nn-NO"/>
        </w:rPr>
        <w:t xml:space="preserve">le 2017., osobito dug poduzeća, ali potrebno je daljnje razduživanje. Osim toga, ponovno je započeo dotok novih kredita, što podupire oporavak ulaganja. Kada je riječ o kućanstvima, tempo smanjenja duga usporen je i zbog snažnog rasta potrošačkih kredita. </w:t>
      </w:r>
      <w:r>
        <w:rPr>
          <w:rFonts w:ascii="Times New Roman" w:hAnsi="Times New Roman"/>
          <w:noProof/>
          <w:lang w:val="nn-NO"/>
        </w:rPr>
        <w:t>Cijene stambenih nekretnina posljednjih su se godina počele oporavljati u kontekstu prethodne podcijenjenosti. Posljednjih godina snažni gospodarski rast bio je glavni pokretač smanjenja deficita opće države, ali postojani deficiti upućuju na vrlo sporo sm</w:t>
      </w:r>
      <w:r>
        <w:rPr>
          <w:rFonts w:ascii="Times New Roman" w:hAnsi="Times New Roman"/>
          <w:noProof/>
          <w:lang w:val="nn-NO"/>
        </w:rPr>
        <w:t xml:space="preserve">anjenje udjela duga opće države. Iako se brzo smanjivala, nezaposlenost je i dalje vrlo visoka, posebno među mladima. Osim toga, zbog niskog rasta produktivnosti rast konkurentnosti uglavnom ovisi o troškovnim prednostima. </w:t>
      </w:r>
    </w:p>
    <w:p w:rsidR="00B26ED3" w:rsidRDefault="003423C1">
      <w:pPr>
        <w:autoSpaceDE w:val="0"/>
        <w:autoSpaceDN w:val="0"/>
        <w:adjustRightInd w:val="0"/>
        <w:spacing w:after="80" w:line="259" w:lineRule="auto"/>
        <w:jc w:val="both"/>
        <w:rPr>
          <w:rFonts w:ascii="Times New Roman" w:eastAsia="Calibri" w:hAnsi="Times New Roman" w:cs="Times New Roman"/>
          <w:i/>
          <w:noProof/>
          <w:lang w:val="nn-NO"/>
        </w:rPr>
      </w:pPr>
      <w:r>
        <w:rPr>
          <w:rFonts w:ascii="Times New Roman" w:hAnsi="Times New Roman"/>
          <w:i/>
          <w:noProof/>
          <w:lang w:val="nn-NO"/>
        </w:rPr>
        <w:t>Ukupno gledano, pri ekonomskom t</w:t>
      </w:r>
      <w:r>
        <w:rPr>
          <w:rFonts w:ascii="Times New Roman" w:hAnsi="Times New Roman"/>
          <w:i/>
          <w:noProof/>
          <w:lang w:val="nn-NO"/>
        </w:rPr>
        <w:t>umačenju ističu se problemi povezani s vanjskom održivosti, javnim i privatnim dugom i prilagodbom tržišta rada, u kontekstu niskog rasta produktivnosti. Stoga Komisija smatra, među ostalim i s obzirom na neravnoteže utvrđene u ožujku 2018. i njihovu preko</w:t>
      </w:r>
      <w:r>
        <w:rPr>
          <w:rFonts w:ascii="Times New Roman" w:hAnsi="Times New Roman"/>
          <w:i/>
          <w:noProof/>
          <w:lang w:val="nn-NO"/>
        </w:rPr>
        <w:t xml:space="preserve">graničnu važnost, da bi bilo korisno detaljnije ispitati postojanost neravnoteža ili njihovo postupno uklanjanje. </w:t>
      </w:r>
    </w:p>
    <w:p w:rsidR="00B26ED3" w:rsidRDefault="00B26ED3">
      <w:pPr>
        <w:autoSpaceDE w:val="0"/>
        <w:autoSpaceDN w:val="0"/>
        <w:adjustRightInd w:val="0"/>
        <w:spacing w:after="160" w:line="259" w:lineRule="auto"/>
        <w:jc w:val="both"/>
        <w:rPr>
          <w:rFonts w:ascii="Times New Roman" w:eastAsia="MS Mincho" w:hAnsi="Times New Roman" w:cs="Times New Roman"/>
          <w:i/>
          <w:noProof/>
          <w:lang w:val="nn-NO"/>
        </w:rPr>
      </w:pPr>
    </w:p>
    <w:p w:rsidR="00B26ED3" w:rsidRDefault="003423C1">
      <w:pPr>
        <w:autoSpaceDE w:val="0"/>
        <w:autoSpaceDN w:val="0"/>
        <w:adjustRightInd w:val="0"/>
        <w:spacing w:after="160" w:line="259" w:lineRule="auto"/>
        <w:jc w:val="both"/>
        <w:rPr>
          <w:noProof/>
          <w:lang w:val="nn-NO"/>
        </w:rPr>
      </w:pPr>
      <w:r>
        <w:rPr>
          <w:noProof/>
          <w:lang w:eastAsia="en-GB"/>
        </w:rPr>
        <w:drawing>
          <wp:anchor distT="0" distB="0" distL="114300" distR="114300" simplePos="0" relativeHeight="251664384" behindDoc="0" locked="0" layoutInCell="1" allowOverlap="1">
            <wp:simplePos x="0" y="0"/>
            <wp:positionH relativeFrom="column">
              <wp:posOffset>3390900</wp:posOffset>
            </wp:positionH>
            <wp:positionV relativeFrom="paragraph">
              <wp:posOffset>-3175</wp:posOffset>
            </wp:positionV>
            <wp:extent cx="2376170" cy="2743200"/>
            <wp:effectExtent l="0" t="0" r="508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61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nn-NO"/>
        </w:rPr>
        <w:t>Francuska:</w:t>
      </w:r>
      <w:r>
        <w:rPr>
          <w:rFonts w:ascii="Times New Roman" w:hAnsi="Times New Roman"/>
          <w:noProof/>
          <w:lang w:val="nn-NO"/>
        </w:rPr>
        <w:t xml:space="preserve"> U ožujku 2018. Komisija je utvrdila </w:t>
      </w:r>
      <w:r>
        <w:rPr>
          <w:rFonts w:ascii="Times New Roman" w:hAnsi="Times New Roman"/>
          <w:i/>
          <w:noProof/>
          <w:lang w:val="nn-NO"/>
        </w:rPr>
        <w:t>makroekonomske neravnoteže</w:t>
      </w:r>
      <w:r>
        <w:rPr>
          <w:rFonts w:ascii="Times New Roman" w:hAnsi="Times New Roman"/>
          <w:noProof/>
          <w:lang w:val="nn-NO"/>
        </w:rPr>
        <w:t xml:space="preserve"> u Francuskoj, posebno u vezi s visokim javnim dugom i slabom konk</w:t>
      </w:r>
      <w:r>
        <w:rPr>
          <w:rFonts w:ascii="Times New Roman" w:hAnsi="Times New Roman"/>
          <w:noProof/>
          <w:lang w:val="nn-NO"/>
        </w:rPr>
        <w:t xml:space="preserve">urentnošću u kontekstu niskog rasta produktivnosti. U ažuriranoj tablici rezultata pokazatelji državnog duga i duga privatnog sektora te stope nezaposlenosti na samom su indikativnom pragu ili ga prelaze. </w:t>
      </w:r>
    </w:p>
    <w:p w:rsidR="00B26ED3" w:rsidRDefault="003423C1">
      <w:pPr>
        <w:autoSpaceDE w:val="0"/>
        <w:autoSpaceDN w:val="0"/>
        <w:adjustRightInd w:val="0"/>
        <w:spacing w:after="160" w:line="259" w:lineRule="auto"/>
        <w:jc w:val="both"/>
        <w:rPr>
          <w:rFonts w:ascii="Times New Roman" w:eastAsia="Calibri" w:hAnsi="Times New Roman" w:cs="Times New Roman"/>
          <w:bCs/>
          <w:noProof/>
          <w:lang w:val="nn-NO"/>
        </w:rPr>
      </w:pPr>
      <w:r>
        <w:rPr>
          <w:rFonts w:ascii="Times New Roman" w:hAnsi="Times New Roman"/>
          <w:noProof/>
          <w:lang w:val="nn-NO"/>
        </w:rPr>
        <w:t>Deficit tekućeg računa u 2017. bio je uglavnom sta</w:t>
      </w:r>
      <w:r>
        <w:rPr>
          <w:rFonts w:ascii="Times New Roman" w:hAnsi="Times New Roman"/>
          <w:noProof/>
          <w:lang w:val="nn-NO"/>
        </w:rPr>
        <w:t>bilan, dok se neto stanje međunarodnih ulaganja pogoršalo. Unatoč ubrzanju rasta izvoza u 2017. zabilježeni su manji gubici udjela na izvoznom tržištu, dok se realna efektivna tečajna stopa stabilizirala. Zbog ograničenja rasta plaća, rast jediničnih trošk</w:t>
      </w:r>
      <w:r>
        <w:rPr>
          <w:rFonts w:ascii="Times New Roman" w:hAnsi="Times New Roman"/>
          <w:noProof/>
          <w:lang w:val="nn-NO"/>
        </w:rPr>
        <w:t>ova rada bio je ograničen. Međutim, dinamika produktivnosti ostala je i dalje niska. Slabosti koje proizlaze iz visokog i rastućeg državnog duga i dalje su glavni razlog za zabrinutost. Kombinacija visokog javnog i privatnog duga dodatna je slabost. Dug pr</w:t>
      </w:r>
      <w:r>
        <w:rPr>
          <w:rFonts w:ascii="Times New Roman" w:hAnsi="Times New Roman"/>
          <w:noProof/>
          <w:lang w:val="nn-NO"/>
        </w:rPr>
        <w:t>ivatnog sektora relativno je visok, posebno kada je riječ o nefinancijskim poduzećima, dok se rast kredita polako ubrzava. Realne cijene stambenih nekretnina blago su porasle. Stanje na tržištu rada poboljšava se dok pokazatelj nezaposlenosti dostiže vrije</w:t>
      </w:r>
      <w:r>
        <w:rPr>
          <w:rFonts w:ascii="Times New Roman" w:hAnsi="Times New Roman"/>
          <w:noProof/>
          <w:lang w:val="nn-NO"/>
        </w:rPr>
        <w:t xml:space="preserve">dnosti unutar razine praga. </w:t>
      </w:r>
    </w:p>
    <w:p w:rsidR="00B26ED3" w:rsidRDefault="003423C1">
      <w:pPr>
        <w:autoSpaceDE w:val="0"/>
        <w:autoSpaceDN w:val="0"/>
        <w:adjustRightInd w:val="0"/>
        <w:spacing w:after="160" w:line="259" w:lineRule="auto"/>
        <w:jc w:val="both"/>
        <w:rPr>
          <w:rFonts w:ascii="Times New Roman" w:eastAsia="Calibri" w:hAnsi="Times New Roman" w:cs="Times New Roman"/>
          <w:bCs/>
          <w:i/>
          <w:noProof/>
          <w:lang w:val="nn-NO"/>
        </w:rPr>
      </w:pPr>
      <w:r>
        <w:rPr>
          <w:rFonts w:ascii="Times New Roman" w:hAnsi="Times New Roman"/>
          <w:i/>
          <w:noProof/>
          <w:lang w:val="nn-NO"/>
        </w:rPr>
        <w:t>Ukupno gledano, pri ekonomskom tumačenju ističu se problemi povezani s visokom razinom zaduženosti i slabom konkurentnosti, u kontekstu niskog rasta produktivnosti. Stoga Komisija smatra, među ostalim i zbog neravnoteže utvrđen</w:t>
      </w:r>
      <w:r>
        <w:rPr>
          <w:rFonts w:ascii="Times New Roman" w:hAnsi="Times New Roman"/>
          <w:i/>
          <w:noProof/>
          <w:lang w:val="nn-NO"/>
        </w:rPr>
        <w:t>e u ožujku 2018., da bi bilo dobro detaljnije ispitati postojanost neravnoteža ili njihovo postupno uklanjanje.</w:t>
      </w:r>
    </w:p>
    <w:p w:rsidR="00B26ED3" w:rsidRDefault="00B26ED3">
      <w:pPr>
        <w:autoSpaceDE w:val="0"/>
        <w:autoSpaceDN w:val="0"/>
        <w:adjustRightInd w:val="0"/>
        <w:spacing w:after="160" w:line="259" w:lineRule="auto"/>
        <w:jc w:val="both"/>
        <w:rPr>
          <w:rFonts w:ascii="Times New Roman" w:eastAsia="Calibri" w:hAnsi="Times New Roman" w:cs="Times New Roman"/>
          <w:bCs/>
          <w:i/>
          <w:noProof/>
          <w:lang w:val="nn-NO"/>
        </w:rPr>
      </w:pPr>
    </w:p>
    <w:p w:rsidR="00B26ED3" w:rsidRDefault="00B26ED3">
      <w:pPr>
        <w:autoSpaceDE w:val="0"/>
        <w:autoSpaceDN w:val="0"/>
        <w:adjustRightInd w:val="0"/>
        <w:spacing w:after="160" w:line="259" w:lineRule="auto"/>
        <w:jc w:val="both"/>
        <w:rPr>
          <w:rFonts w:ascii="Times New Roman" w:eastAsia="Calibri" w:hAnsi="Times New Roman" w:cs="Times New Roman"/>
          <w:bCs/>
          <w:i/>
          <w:noProof/>
          <w:lang w:val="nn-NO"/>
        </w:rPr>
      </w:pPr>
    </w:p>
    <w:p w:rsidR="00B26ED3" w:rsidRDefault="00B26ED3">
      <w:pPr>
        <w:autoSpaceDE w:val="0"/>
        <w:autoSpaceDN w:val="0"/>
        <w:adjustRightInd w:val="0"/>
        <w:spacing w:after="160" w:line="259" w:lineRule="auto"/>
        <w:jc w:val="both"/>
        <w:rPr>
          <w:rFonts w:ascii="Times New Roman" w:eastAsia="Calibri" w:hAnsi="Times New Roman" w:cs="Times New Roman"/>
          <w:bCs/>
          <w:i/>
          <w:noProof/>
          <w:lang w:val="nn-NO"/>
        </w:rPr>
      </w:pPr>
    </w:p>
    <w:p w:rsidR="00B26ED3" w:rsidRDefault="00B26ED3">
      <w:pPr>
        <w:autoSpaceDE w:val="0"/>
        <w:autoSpaceDN w:val="0"/>
        <w:adjustRightInd w:val="0"/>
        <w:spacing w:after="160" w:line="259" w:lineRule="auto"/>
        <w:jc w:val="both"/>
        <w:rPr>
          <w:rFonts w:ascii="Times New Roman" w:eastAsia="Calibri" w:hAnsi="Times New Roman" w:cs="Times New Roman"/>
          <w:bCs/>
          <w:i/>
          <w:noProof/>
          <w:lang w:val="nn-NO"/>
        </w:rPr>
      </w:pPr>
    </w:p>
    <w:p w:rsidR="00B26ED3" w:rsidRDefault="00B26ED3">
      <w:pPr>
        <w:autoSpaceDE w:val="0"/>
        <w:autoSpaceDN w:val="0"/>
        <w:adjustRightInd w:val="0"/>
        <w:spacing w:after="160" w:line="259" w:lineRule="auto"/>
        <w:jc w:val="both"/>
        <w:rPr>
          <w:rFonts w:ascii="Times New Roman" w:eastAsia="Calibri" w:hAnsi="Times New Roman" w:cs="Times New Roman"/>
          <w:bCs/>
          <w:i/>
          <w:noProof/>
          <w:lang w:val="nn-NO"/>
        </w:rPr>
      </w:pPr>
    </w:p>
    <w:p w:rsidR="00B26ED3" w:rsidRDefault="00B26ED3">
      <w:pPr>
        <w:autoSpaceDE w:val="0"/>
        <w:autoSpaceDN w:val="0"/>
        <w:adjustRightInd w:val="0"/>
        <w:spacing w:after="160" w:line="259" w:lineRule="auto"/>
        <w:jc w:val="both"/>
        <w:rPr>
          <w:rFonts w:ascii="Times New Roman" w:eastAsia="Calibri" w:hAnsi="Times New Roman" w:cs="Times New Roman"/>
          <w:bCs/>
          <w:i/>
          <w:noProof/>
          <w:lang w:val="nn-NO"/>
        </w:rPr>
      </w:pPr>
    </w:p>
    <w:p w:rsidR="00B26ED3" w:rsidRDefault="00B26ED3">
      <w:pPr>
        <w:autoSpaceDE w:val="0"/>
        <w:autoSpaceDN w:val="0"/>
        <w:adjustRightInd w:val="0"/>
        <w:spacing w:after="160" w:line="259" w:lineRule="auto"/>
        <w:jc w:val="both"/>
        <w:rPr>
          <w:rFonts w:ascii="Times New Roman" w:eastAsia="Calibri" w:hAnsi="Times New Roman" w:cs="Times New Roman"/>
          <w:bCs/>
          <w:i/>
          <w:noProof/>
          <w:lang w:val="nn-NO"/>
        </w:rPr>
      </w:pPr>
    </w:p>
    <w:p w:rsidR="00B26ED3" w:rsidRDefault="00B26ED3">
      <w:pPr>
        <w:autoSpaceDE w:val="0"/>
        <w:autoSpaceDN w:val="0"/>
        <w:adjustRightInd w:val="0"/>
        <w:spacing w:after="160" w:line="259" w:lineRule="auto"/>
        <w:jc w:val="both"/>
        <w:rPr>
          <w:rFonts w:ascii="Times New Roman" w:eastAsia="Calibri" w:hAnsi="Times New Roman" w:cs="Times New Roman"/>
          <w:bCs/>
          <w:i/>
          <w:noProof/>
          <w:lang w:val="nn-NO"/>
        </w:rPr>
      </w:pPr>
    </w:p>
    <w:p w:rsidR="00B26ED3" w:rsidRDefault="003423C1">
      <w:pPr>
        <w:autoSpaceDE w:val="0"/>
        <w:autoSpaceDN w:val="0"/>
        <w:adjustRightInd w:val="0"/>
        <w:spacing w:after="160" w:line="259" w:lineRule="auto"/>
        <w:jc w:val="both"/>
        <w:rPr>
          <w:rFonts w:ascii="Times New Roman" w:eastAsia="Calibri" w:hAnsi="Times New Roman" w:cs="Times New Roman"/>
          <w:bCs/>
          <w:i/>
          <w:noProof/>
          <w:lang w:val="nn-NO"/>
        </w:rPr>
      </w:pPr>
      <w:r>
        <w:rPr>
          <w:noProof/>
          <w:lang w:eastAsia="en-GB"/>
        </w:rPr>
        <w:drawing>
          <wp:anchor distT="0" distB="0" distL="114300" distR="114300" simplePos="0" relativeHeight="251665408" behindDoc="0" locked="0" layoutInCell="1" allowOverlap="1">
            <wp:simplePos x="0" y="0"/>
            <wp:positionH relativeFrom="column">
              <wp:posOffset>3386455</wp:posOffset>
            </wp:positionH>
            <wp:positionV relativeFrom="paragraph">
              <wp:posOffset>276860</wp:posOffset>
            </wp:positionV>
            <wp:extent cx="2406015" cy="278765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6015"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ED3" w:rsidRDefault="003423C1">
      <w:pPr>
        <w:autoSpaceDE w:val="0"/>
        <w:autoSpaceDN w:val="0"/>
        <w:adjustRightInd w:val="0"/>
        <w:spacing w:after="160" w:line="259" w:lineRule="auto"/>
        <w:jc w:val="both"/>
        <w:rPr>
          <w:rFonts w:ascii="Times New Roman" w:eastAsia="Calibri" w:hAnsi="Times New Roman" w:cs="Times New Roman"/>
          <w:noProof/>
          <w:lang w:val="nn-NO"/>
        </w:rPr>
      </w:pPr>
      <w:r>
        <w:rPr>
          <w:rFonts w:ascii="Times New Roman" w:hAnsi="Times New Roman"/>
          <w:b/>
          <w:noProof/>
          <w:lang w:val="nn-NO"/>
        </w:rPr>
        <w:t>Hrvatska:</w:t>
      </w:r>
      <w:r>
        <w:rPr>
          <w:rFonts w:ascii="Times New Roman" w:hAnsi="Times New Roman"/>
          <w:noProof/>
          <w:lang w:val="nn-NO"/>
        </w:rPr>
        <w:t xml:space="preserve"> U ožujku 2018. Komisija je utvrdila </w:t>
      </w:r>
      <w:r>
        <w:rPr>
          <w:rFonts w:ascii="Times New Roman" w:hAnsi="Times New Roman"/>
          <w:i/>
          <w:noProof/>
          <w:lang w:val="nn-NO"/>
        </w:rPr>
        <w:t>prekomjerne makroekonomske neravnoteže</w:t>
      </w:r>
      <w:r>
        <w:rPr>
          <w:rFonts w:ascii="Times New Roman" w:hAnsi="Times New Roman"/>
          <w:noProof/>
          <w:lang w:val="nn-NO"/>
        </w:rPr>
        <w:t xml:space="preserve"> u Hrvatskoj povezane s visokim razinama javnog, privatnog i vanjskog duga, denominiranog uglavnom u stranoj valuti, u kontekstu niskog potencijalnog rasta. U ažuriranoj tablici rezultata više pokazatelja prelazi indikativni prag, i to neto stanje međunaro</w:t>
      </w:r>
      <w:r>
        <w:rPr>
          <w:rFonts w:ascii="Times New Roman" w:hAnsi="Times New Roman"/>
          <w:noProof/>
          <w:lang w:val="nn-NO"/>
        </w:rPr>
        <w:t xml:space="preserve">dnih ulaganja (NIIP), državni dug i stopa nezaposlenosti.  </w:t>
      </w:r>
    </w:p>
    <w:p w:rsidR="00B26ED3" w:rsidRDefault="003423C1">
      <w:pPr>
        <w:autoSpaceDE w:val="0"/>
        <w:autoSpaceDN w:val="0"/>
        <w:adjustRightInd w:val="0"/>
        <w:spacing w:after="160" w:line="259" w:lineRule="auto"/>
        <w:jc w:val="both"/>
        <w:rPr>
          <w:rFonts w:ascii="Times New Roman" w:eastAsia="Calibri" w:hAnsi="Times New Roman" w:cs="Times New Roman"/>
          <w:noProof/>
          <w:lang w:val="nn-NO"/>
        </w:rPr>
      </w:pPr>
      <w:r>
        <w:rPr>
          <w:rFonts w:ascii="Times New Roman" w:hAnsi="Times New Roman"/>
          <w:noProof/>
          <w:lang w:val="nn-NO"/>
        </w:rPr>
        <w:t>Negativan NIIP, koji je u velikoj mjeri odraz izravnih stranih ulaganja, ojačao je potaknut povećanjem suficita tekućeg računa, iako još uvijek prelazi prag i izložen je stalnim tečajnim rizicima.</w:t>
      </w:r>
      <w:r>
        <w:rPr>
          <w:rFonts w:ascii="Times New Roman" w:hAnsi="Times New Roman"/>
          <w:noProof/>
          <w:lang w:val="nn-NO"/>
        </w:rPr>
        <w:t xml:space="preserve"> Negativan nominalni rast jediničnih troškova rada upućuje na dodatna povećanja troškovne konkurentnosti, iako je realna efektivna tečajna stopa stabilna. Kao posljedica toga Hrvatska je u 2017. nastavila povećavati tržišne udjele, ali sporije nego u preth</w:t>
      </w:r>
      <w:r>
        <w:rPr>
          <w:rFonts w:ascii="Times New Roman" w:hAnsi="Times New Roman"/>
          <w:noProof/>
          <w:lang w:val="nn-NO"/>
        </w:rPr>
        <w:t>odnim godinama. Dug privatnog sektora nastavio se smanjivati unatoč oporavku kreditnih tokova u 2017. Smanjenje udjela loših kredita u bankarskom sektoru usporilo se, a velik dio kredita nefinancijskim poduzećima i dalje ulazi u kategoriju loših kredita. U</w:t>
      </w:r>
      <w:r>
        <w:rPr>
          <w:rFonts w:ascii="Times New Roman" w:hAnsi="Times New Roman"/>
          <w:noProof/>
          <w:lang w:val="nn-NO"/>
        </w:rPr>
        <w:t>dio duga opće države u 2017. je dodatno smanjen, među ostalim i zahvaljujući poboljšanju salda opće države. Stopa nezaposlenosti nastavila se smanjivati. Međutim, sudjelovanje na tržištu rada i dalje je vrlo nisko te u kombinaciji s usporenim kretanjima pr</w:t>
      </w:r>
      <w:r>
        <w:rPr>
          <w:rFonts w:ascii="Times New Roman" w:hAnsi="Times New Roman"/>
          <w:noProof/>
          <w:lang w:val="nn-NO"/>
        </w:rPr>
        <w:t xml:space="preserve">oduktivnosti i dalje opterećuje potencijal rasta. Rizici povezani s najvećim poslodavcem u zemlji, Agrokorom, smanjeni su nakon što su vjerovnici usvojili plan restrukturiranja duga. </w:t>
      </w:r>
    </w:p>
    <w:p w:rsidR="00B26ED3" w:rsidRDefault="003423C1">
      <w:pPr>
        <w:autoSpaceDE w:val="0"/>
        <w:autoSpaceDN w:val="0"/>
        <w:adjustRightInd w:val="0"/>
        <w:spacing w:after="160" w:line="259" w:lineRule="auto"/>
        <w:jc w:val="both"/>
        <w:rPr>
          <w:rFonts w:ascii="Times New Roman" w:eastAsia="Calibri" w:hAnsi="Times New Roman" w:cs="Times New Roman"/>
          <w:noProof/>
          <w:lang w:val="nn-NO"/>
        </w:rPr>
      </w:pPr>
      <w:r>
        <w:rPr>
          <w:rFonts w:ascii="Times New Roman" w:hAnsi="Times New Roman"/>
          <w:i/>
          <w:noProof/>
          <w:lang w:val="nn-NO"/>
        </w:rPr>
        <w:t>Ukupno gledano, pri ekonomskom tumačenju ističu se još uvijek visoki dug</w:t>
      </w:r>
      <w:r>
        <w:rPr>
          <w:rFonts w:ascii="Times New Roman" w:hAnsi="Times New Roman"/>
          <w:i/>
          <w:noProof/>
          <w:lang w:val="nn-NO"/>
        </w:rPr>
        <w:t>, koji se ipak smanjuje, izloženosti valutnom riziku u svim sektorima gospodarstva te važnost većeg potencijalnog rasta za dugoročnu korekciju. Stoga Komisija smatra, među ostalim i zbog prekomjerne neravnoteže utvrđene u ožujku 2018., da bi bilo korisno d</w:t>
      </w:r>
      <w:r>
        <w:rPr>
          <w:rFonts w:ascii="Times New Roman" w:hAnsi="Times New Roman"/>
          <w:i/>
          <w:noProof/>
          <w:lang w:val="nn-NO"/>
        </w:rPr>
        <w:t>etaljnije ispitati postojanost makroekonomskih rizika te pratiti napredak u postupnom uklanjanju prekomjernih neravnoteža.</w:t>
      </w:r>
    </w:p>
    <w:p w:rsidR="00B26ED3" w:rsidRDefault="00B26ED3">
      <w:pPr>
        <w:rPr>
          <w:rFonts w:ascii="Times New Roman" w:eastAsia="Times New Roman" w:hAnsi="Times New Roman" w:cs="Times New Roman"/>
          <w:b/>
          <w:bCs/>
          <w:noProof/>
          <w:color w:val="000000"/>
          <w:lang w:val="nn-NO"/>
        </w:rPr>
      </w:pPr>
    </w:p>
    <w:p w:rsidR="00B26ED3" w:rsidRDefault="003423C1">
      <w:pPr>
        <w:autoSpaceDE w:val="0"/>
        <w:autoSpaceDN w:val="0"/>
        <w:adjustRightInd w:val="0"/>
        <w:spacing w:after="0" w:line="240" w:lineRule="auto"/>
        <w:jc w:val="both"/>
        <w:rPr>
          <w:rFonts w:ascii="Times New Roman" w:eastAsia="Times New Roman" w:hAnsi="Times New Roman" w:cs="Times New Roman"/>
          <w:noProof/>
          <w:color w:val="000000"/>
          <w:lang w:val="nn-NO"/>
        </w:rPr>
      </w:pPr>
      <w:r>
        <w:rPr>
          <w:rFonts w:ascii="Times New Roman" w:hAnsi="Times New Roman"/>
          <w:b/>
          <w:noProof/>
          <w:color w:val="000000"/>
          <w:lang w:val="nn-NO"/>
        </w:rPr>
        <w:t>Italija</w:t>
      </w:r>
      <w:r>
        <w:rPr>
          <w:rFonts w:ascii="Times New Roman" w:hAnsi="Times New Roman"/>
          <w:noProof/>
          <w:color w:val="000000"/>
          <w:lang w:val="nn-NO"/>
        </w:rPr>
        <w:t xml:space="preserve">: U ožujku 2018. Komisija je utvrdila </w:t>
      </w:r>
      <w:r>
        <w:rPr>
          <w:rFonts w:ascii="Times New Roman" w:hAnsi="Times New Roman"/>
          <w:i/>
          <w:noProof/>
          <w:color w:val="000000"/>
          <w:lang w:val="nn-NO"/>
        </w:rPr>
        <w:t>prekomjerne makroekonomske neravnoteže</w:t>
      </w:r>
      <w:r>
        <w:rPr>
          <w:rFonts w:ascii="Times New Roman" w:hAnsi="Times New Roman"/>
          <w:noProof/>
          <w:color w:val="000000"/>
          <w:lang w:val="nn-NO"/>
        </w:rPr>
        <w:t xml:space="preserve"> u Italiji, posebno u pogledu rizika koji proizla</w:t>
      </w:r>
      <w:r>
        <w:rPr>
          <w:rFonts w:ascii="Times New Roman" w:hAnsi="Times New Roman"/>
          <w:noProof/>
          <w:color w:val="000000"/>
          <w:lang w:val="nn-NO"/>
        </w:rPr>
        <w:t xml:space="preserve">ze iz vrlo visokog javnog duga i dugotrajne slabe dinamike produktivnosti, u kontekstu velikog udjela loših kredita i nezaposlenosti. U ažuriranoj tablici rezultata dva pokazatelja prelaze indikativni prag, i to državni dug i stopa nezaposlenosti. </w:t>
      </w:r>
    </w:p>
    <w:p w:rsidR="00B26ED3" w:rsidRDefault="003423C1">
      <w:pPr>
        <w:autoSpaceDE w:val="0"/>
        <w:autoSpaceDN w:val="0"/>
        <w:adjustRightInd w:val="0"/>
        <w:spacing w:after="0" w:line="240" w:lineRule="auto"/>
        <w:jc w:val="both"/>
        <w:rPr>
          <w:rFonts w:ascii="Times New Roman" w:eastAsia="Times New Roman" w:hAnsi="Times New Roman" w:cs="Times New Roman"/>
          <w:noProof/>
          <w:color w:val="000000"/>
          <w:lang w:val="nn-NO"/>
        </w:rPr>
      </w:pPr>
      <w:r>
        <w:rPr>
          <w:noProof/>
          <w:lang w:eastAsia="en-GB"/>
        </w:rPr>
        <w:drawing>
          <wp:anchor distT="0" distB="0" distL="114300" distR="114300" simplePos="0" relativeHeight="251666432" behindDoc="0" locked="0" layoutInCell="1" allowOverlap="1">
            <wp:simplePos x="0" y="0"/>
            <wp:positionH relativeFrom="column">
              <wp:posOffset>3422650</wp:posOffset>
            </wp:positionH>
            <wp:positionV relativeFrom="paragraph">
              <wp:posOffset>135890</wp:posOffset>
            </wp:positionV>
            <wp:extent cx="2333625" cy="2724150"/>
            <wp:effectExtent l="0" t="0" r="952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362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ED3" w:rsidRDefault="003423C1">
      <w:pPr>
        <w:autoSpaceDE w:val="0"/>
        <w:autoSpaceDN w:val="0"/>
        <w:adjustRightInd w:val="0"/>
        <w:spacing w:after="0" w:line="240" w:lineRule="auto"/>
        <w:jc w:val="both"/>
        <w:rPr>
          <w:rFonts w:ascii="Times New Roman" w:eastAsia="Times New Roman" w:hAnsi="Times New Roman" w:cs="Times New Roman"/>
          <w:noProof/>
          <w:color w:val="000000"/>
          <w:lang w:val="pl-PL"/>
        </w:rPr>
      </w:pPr>
      <w:r>
        <w:rPr>
          <w:rFonts w:ascii="Times New Roman" w:hAnsi="Times New Roman"/>
          <w:noProof/>
          <w:color w:val="000000"/>
          <w:lang w:val="nn-NO"/>
        </w:rPr>
        <w:t>Vanjska pozicija relativno je snažna u uvjetima suficita tekućeg računa i poboljšanja neto stanja međunarodnih ulaganja. Udjel duga opće države stabilizirao se u 2017. na vrlo visokoj razini, a fiskalni planovi vlade, neočekivano slab oporavak te viši troš</w:t>
      </w:r>
      <w:r>
        <w:rPr>
          <w:rFonts w:ascii="Times New Roman" w:hAnsi="Times New Roman"/>
          <w:noProof/>
          <w:color w:val="000000"/>
          <w:lang w:val="nn-NO"/>
        </w:rPr>
        <w:t>kovi zaduživanja otežavaju smanjenje udjela duga u BDP-u u budućnosti. Istodobno slab rast produktivnosti i smanjenje broja radno sposobnog stanovništva koče potencijalni rast Italije. Niski rast produktivnosti može se pripisati duboko ukorijenjenim strukt</w:t>
      </w:r>
      <w:r>
        <w:rPr>
          <w:rFonts w:ascii="Times New Roman" w:hAnsi="Times New Roman"/>
          <w:noProof/>
          <w:color w:val="000000"/>
          <w:lang w:val="nn-NO"/>
        </w:rPr>
        <w:t xml:space="preserve">urnim slabostima, uključujući nepovoljnije poslovno okruženje u odnosu na usporedive zemlje, ograničenja u financiranju, nedostatak visokokvalificirane radne snage i nisku razinu ulaganja u nematerijalnu imovinu. </w:t>
      </w:r>
      <w:r>
        <w:rPr>
          <w:rFonts w:ascii="Times New Roman" w:hAnsi="Times New Roman"/>
          <w:noProof/>
          <w:color w:val="000000"/>
          <w:lang w:val="pl-PL"/>
        </w:rPr>
        <w:t>Ostvaren je napredak u čišćenju bilanci ban</w:t>
      </w:r>
      <w:r>
        <w:rPr>
          <w:rFonts w:ascii="Times New Roman" w:hAnsi="Times New Roman"/>
          <w:noProof/>
          <w:color w:val="000000"/>
          <w:lang w:val="pl-PL"/>
        </w:rPr>
        <w:t xml:space="preserve">aka i talijanski je bankarski sektor u 2017. ponovno postao profitabilan. Međutim, i dalje su prisutne slabosti, osobito kada je riječ o srednjim i malim bankama koje još uvijek opterećuju visoke razine loših kredita iz prošlosti i više su izložene riziku </w:t>
      </w:r>
      <w:r>
        <w:rPr>
          <w:rFonts w:ascii="Times New Roman" w:hAnsi="Times New Roman"/>
          <w:noProof/>
          <w:color w:val="000000"/>
          <w:lang w:val="pl-PL"/>
        </w:rPr>
        <w:t xml:space="preserve">države od velikih banaka. Uvjeti na tržištu rada postupno se poboljšavaju, ali stopa nezaposlenosti i dalje je visoka, znatno viša nego prije krize, posebno za mlade i za dugotrajno nezaposlene osobe. Ukupna stopa sudjelovanja na tržištu rada povećava se, </w:t>
      </w:r>
      <w:r>
        <w:rPr>
          <w:rFonts w:ascii="Times New Roman" w:hAnsi="Times New Roman"/>
          <w:noProof/>
          <w:color w:val="000000"/>
          <w:lang w:val="pl-PL"/>
        </w:rPr>
        <w:t>ali je i dalje ispod prosjeka europodručja. Zahvaljujući oporavku koji je u tijeku makroekonomske ravnoteže u Italiji prestale su se pogoršavati, ali su i dalje znatne i tek se postupno uklanjaju. Usporavanje rasta realnog BDP-a i nove napetosti na tržištu</w:t>
      </w:r>
      <w:r>
        <w:rPr>
          <w:rFonts w:ascii="Times New Roman" w:hAnsi="Times New Roman"/>
          <w:noProof/>
          <w:color w:val="000000"/>
          <w:lang w:val="pl-PL"/>
        </w:rPr>
        <w:t xml:space="preserve"> državnih obveznica mogli bi ugroziti ostvareni napredak. </w:t>
      </w:r>
    </w:p>
    <w:p w:rsidR="00B26ED3" w:rsidRDefault="00B26ED3">
      <w:pPr>
        <w:autoSpaceDE w:val="0"/>
        <w:autoSpaceDN w:val="0"/>
        <w:adjustRightInd w:val="0"/>
        <w:spacing w:after="0" w:line="240" w:lineRule="auto"/>
        <w:jc w:val="both"/>
        <w:rPr>
          <w:rFonts w:ascii="Times New Roman" w:eastAsia="Times New Roman" w:hAnsi="Times New Roman" w:cs="Times New Roman"/>
          <w:noProof/>
          <w:color w:val="000000"/>
          <w:lang w:val="pl-PL"/>
        </w:rPr>
      </w:pPr>
    </w:p>
    <w:p w:rsidR="00B26ED3" w:rsidRDefault="003423C1">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Ukupno gledano, pri ekonomskom tumačenju ističu se problemi povezani s visokom razinom javnog duga u kontekstu veće volatilnosti tržišta i visoke nezaposlenosti. Dinamika produktivnosti i dalje je</w:t>
      </w:r>
      <w:r>
        <w:rPr>
          <w:rFonts w:ascii="Times New Roman" w:hAnsi="Times New Roman"/>
          <w:i/>
          <w:noProof/>
          <w:lang w:val="pl-PL"/>
        </w:rPr>
        <w:t xml:space="preserve"> slaba u uvjetima ponovno povećane zabrinutosti zbog povratne sprege između bankarskog sektora i države. Stoga Komisija smatra, među ostalim i zbog prekomjerne neravnoteže utvrđene u ožujku 2018., da bi bilo dobro detaljnije ispitati postojanost makroekono</w:t>
      </w:r>
      <w:r>
        <w:rPr>
          <w:rFonts w:ascii="Times New Roman" w:hAnsi="Times New Roman"/>
          <w:i/>
          <w:noProof/>
          <w:lang w:val="pl-PL"/>
        </w:rPr>
        <w:t>mskih rizika te pratiti napredak u postupnom uklanjanju prekomjernih neravnoteža.</w:t>
      </w:r>
    </w:p>
    <w:p w:rsidR="00B26ED3" w:rsidRDefault="00B26ED3">
      <w:pPr>
        <w:spacing w:after="160" w:line="259" w:lineRule="auto"/>
        <w:jc w:val="both"/>
        <w:rPr>
          <w:rFonts w:ascii="Times New Roman" w:eastAsia="Calibri" w:hAnsi="Times New Roman" w:cs="Times New Roman"/>
          <w:i/>
          <w:noProof/>
          <w:lang w:val="pl-PL"/>
        </w:rPr>
      </w:pPr>
    </w:p>
    <w:p w:rsidR="00B26ED3" w:rsidRDefault="003423C1">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67456" behindDoc="0" locked="0" layoutInCell="1" allowOverlap="1">
            <wp:simplePos x="0" y="0"/>
            <wp:positionH relativeFrom="column">
              <wp:posOffset>3314065</wp:posOffset>
            </wp:positionH>
            <wp:positionV relativeFrom="paragraph">
              <wp:posOffset>243840</wp:posOffset>
            </wp:positionV>
            <wp:extent cx="2444750" cy="264795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475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pl-PL"/>
        </w:rPr>
        <w:t>Cipar:</w:t>
      </w:r>
      <w:r>
        <w:rPr>
          <w:rFonts w:ascii="Times New Roman" w:hAnsi="Times New Roman"/>
          <w:noProof/>
          <w:lang w:val="pl-PL"/>
        </w:rPr>
        <w:t xml:space="preserve"> U ožujku 2018. Komisija je utvrdila </w:t>
      </w:r>
      <w:r>
        <w:rPr>
          <w:rFonts w:ascii="Times New Roman" w:hAnsi="Times New Roman"/>
          <w:i/>
          <w:noProof/>
          <w:lang w:val="pl-PL"/>
        </w:rPr>
        <w:t>prekomjerne makroekonomske neravnoteže</w:t>
      </w:r>
      <w:r>
        <w:rPr>
          <w:rFonts w:ascii="Times New Roman" w:hAnsi="Times New Roman"/>
          <w:noProof/>
          <w:lang w:val="pl-PL"/>
        </w:rPr>
        <w:t xml:space="preserve"> u Cipru, posebno u pogledu visoke razine privatnog, javnog i vanjskog duga te visokog udje</w:t>
      </w:r>
      <w:r>
        <w:rPr>
          <w:rFonts w:ascii="Times New Roman" w:hAnsi="Times New Roman"/>
          <w:noProof/>
          <w:lang w:val="pl-PL"/>
        </w:rPr>
        <w:t>la loših kredita u bankarskom sustavu. U ažuriranoj tablici rezultata u 2017. više pokazatelja i dalje prelazi indikativni prag, i to stanje tekućeg računa, neto stanje međunarodnih ulaganja (NIIP), realna efektivna tečajna stopa (REER), dug privatnog sekt</w:t>
      </w:r>
      <w:r>
        <w:rPr>
          <w:rFonts w:ascii="Times New Roman" w:hAnsi="Times New Roman"/>
          <w:noProof/>
          <w:lang w:val="pl-PL"/>
        </w:rPr>
        <w:t xml:space="preserve">ora i državni dug, stopa nezaposlenosti te promjena stope radne aktivnosti. </w:t>
      </w:r>
    </w:p>
    <w:p w:rsidR="00B26ED3" w:rsidRDefault="003423C1">
      <w:pPr>
        <w:spacing w:after="160" w:line="259" w:lineRule="auto"/>
        <w:jc w:val="both"/>
        <w:rPr>
          <w:rFonts w:ascii="Times New Roman" w:eastAsia="Calibri" w:hAnsi="Times New Roman" w:cs="Times New Roman"/>
          <w:noProof/>
          <w:lang w:val="pl-PL"/>
        </w:rPr>
      </w:pPr>
      <w:r>
        <w:rPr>
          <w:rFonts w:ascii="Times New Roman" w:hAnsi="Times New Roman"/>
          <w:noProof/>
          <w:lang w:val="pl-PL"/>
        </w:rPr>
        <w:t>Deficit tekućeg računa povećao se u 2017. u uvjetima snažnog rasta uvoza, a negativni NIIP i dalje je znatan. Prilagodba troškovne konkurentnosti smanjila se dok su jedinični troš</w:t>
      </w:r>
      <w:r>
        <w:rPr>
          <w:rFonts w:ascii="Times New Roman" w:hAnsi="Times New Roman"/>
          <w:noProof/>
          <w:lang w:val="pl-PL"/>
        </w:rPr>
        <w:t>kovi rada blago porasli, a realna efektivna tečajna stopa se stabilizirala. Razina privatne zaduženosti kućanstava i korporativnog sektora jedna je od najviših u EU-u, a razduživanje sporo napreduje. Konkretno, štednja kućanstava je negativna. Prilagodba n</w:t>
      </w:r>
      <w:r>
        <w:rPr>
          <w:rFonts w:ascii="Times New Roman" w:hAnsi="Times New Roman"/>
          <w:noProof/>
          <w:lang w:val="pl-PL"/>
        </w:rPr>
        <w:t>a niže realnih cijena stambenih nekretnina došla je do najniže točke i cijene su počele umjereno rasti. Vrlo visoka razina loših kredita koči dotok kredita u gospodarstvo, koji je potreban za podržavanje potencijalnog rasta u srednjem roku. Udio državnog d</w:t>
      </w:r>
      <w:r>
        <w:rPr>
          <w:rFonts w:ascii="Times New Roman" w:hAnsi="Times New Roman"/>
          <w:noProof/>
          <w:lang w:val="pl-PL"/>
        </w:rPr>
        <w:t>uga u BDP-u i dalje je vrlo visok. Nezaposlenost se ubrzano smanjuje, ali je i dalje visoka, osobito nezaposlenost mladih, iako se u posljednje tri godine stanje u pogledu dugotrajne nezaposlenosti i nezaposlenosti mladih poboljšalo.</w:t>
      </w:r>
    </w:p>
    <w:p w:rsidR="00B26ED3" w:rsidRDefault="003423C1">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Ukupno gledano, pri ek</w:t>
      </w:r>
      <w:r>
        <w:rPr>
          <w:rFonts w:ascii="Times New Roman" w:hAnsi="Times New Roman"/>
          <w:i/>
          <w:noProof/>
          <w:lang w:val="pl-PL"/>
        </w:rPr>
        <w:t xml:space="preserve">onomskom tumačenju ističu se problemi povezani s vanjskom održivosti, javnim i privatnim dugom, slabostima u financijskom sektoru i prilagodbom tržišta rada. Stoga Komisija smatra, među ostalim i zbog prekomjerne neravnoteže utvrđene u ožujku 2018., da bi </w:t>
      </w:r>
      <w:r>
        <w:rPr>
          <w:rFonts w:ascii="Times New Roman" w:hAnsi="Times New Roman"/>
          <w:i/>
          <w:noProof/>
          <w:lang w:val="pl-PL"/>
        </w:rPr>
        <w:t>bilo korisno detaljnije ispitati postojanost makroekonomskih rizika te pratiti napredak u postupnom uklanjanju prekomjernih neravnoteža.</w:t>
      </w:r>
    </w:p>
    <w:p w:rsidR="00B26ED3" w:rsidRDefault="00B26ED3">
      <w:pPr>
        <w:spacing w:after="160" w:line="259" w:lineRule="auto"/>
        <w:jc w:val="both"/>
        <w:rPr>
          <w:rFonts w:ascii="Times New Roman" w:eastAsia="Calibri" w:hAnsi="Times New Roman" w:cs="Times New Roman"/>
          <w:i/>
          <w:noProof/>
          <w:lang w:val="pl-PL"/>
        </w:rPr>
      </w:pPr>
    </w:p>
    <w:p w:rsidR="00B26ED3" w:rsidRDefault="003423C1">
      <w:pPr>
        <w:rPr>
          <w:rFonts w:ascii="Times New Roman" w:eastAsia="Calibri" w:hAnsi="Times New Roman" w:cs="Times New Roman"/>
          <w:b/>
          <w:bCs/>
          <w:noProof/>
          <w:lang w:val="pl-PL"/>
        </w:rPr>
      </w:pPr>
      <w:r>
        <w:rPr>
          <w:noProof/>
          <w:lang w:eastAsia="en-GB"/>
        </w:rPr>
        <w:drawing>
          <wp:anchor distT="0" distB="0" distL="114300" distR="114300" simplePos="0" relativeHeight="251682816" behindDoc="0" locked="0" layoutInCell="1" allowOverlap="1">
            <wp:simplePos x="0" y="0"/>
            <wp:positionH relativeFrom="column">
              <wp:posOffset>3195320</wp:posOffset>
            </wp:positionH>
            <wp:positionV relativeFrom="paragraph">
              <wp:posOffset>648970</wp:posOffset>
            </wp:positionV>
            <wp:extent cx="2428875" cy="3054350"/>
            <wp:effectExtent l="0" t="0" r="9525"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8875" cy="305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pl-PL"/>
        </w:rPr>
        <w:t xml:space="preserve">Latvija: </w:t>
      </w:r>
      <w:r>
        <w:rPr>
          <w:rFonts w:ascii="Times New Roman" w:hAnsi="Times New Roman"/>
          <w:noProof/>
          <w:lang w:val="pl-PL"/>
        </w:rPr>
        <w:t xml:space="preserve">U prethodnom ciklusu PMN-a u Latviji </w:t>
      </w:r>
      <w:r>
        <w:rPr>
          <w:rFonts w:ascii="Times New Roman" w:hAnsi="Times New Roman"/>
          <w:i/>
          <w:noProof/>
          <w:lang w:val="pl-PL"/>
        </w:rPr>
        <w:t>nisu utvrđene makroekonomske neravnoteže</w:t>
      </w:r>
      <w:r>
        <w:rPr>
          <w:rFonts w:ascii="Times New Roman" w:hAnsi="Times New Roman"/>
          <w:noProof/>
          <w:lang w:val="pl-PL"/>
        </w:rPr>
        <w:t>. U ažuriranoj tablici rezultat</w:t>
      </w:r>
      <w:r>
        <w:rPr>
          <w:rFonts w:ascii="Times New Roman" w:hAnsi="Times New Roman"/>
          <w:noProof/>
          <w:lang w:val="pl-PL"/>
        </w:rPr>
        <w:t xml:space="preserve">a više pokazatelja prelazi indikativni prag, i to neto stanje međunarodnih ulaganja (NIIP) i rast jediničnih troškova rada. </w:t>
      </w:r>
    </w:p>
    <w:p w:rsidR="00B26ED3" w:rsidRDefault="003423C1">
      <w:pPr>
        <w:autoSpaceDE w:val="0"/>
        <w:autoSpaceDN w:val="0"/>
        <w:adjustRightInd w:val="0"/>
        <w:spacing w:after="0" w:line="240" w:lineRule="auto"/>
        <w:jc w:val="both"/>
        <w:rPr>
          <w:rFonts w:ascii="Times New Roman" w:eastAsia="Calibri" w:hAnsi="Times New Roman" w:cs="Times New Roman"/>
          <w:noProof/>
          <w:lang w:val="pl-PL"/>
        </w:rPr>
      </w:pPr>
      <w:r>
        <w:rPr>
          <w:rFonts w:ascii="Times New Roman" w:hAnsi="Times New Roman"/>
          <w:noProof/>
          <w:lang w:val="pl-PL"/>
        </w:rPr>
        <w:t>Stanje tekućeg računa uglavnom je uravnoteženo, a negativan NIIP, koji se najvećim dijelom sastoji od izravnih stranih ulaganja, po</w:t>
      </w:r>
      <w:r>
        <w:rPr>
          <w:rFonts w:ascii="Times New Roman" w:hAnsi="Times New Roman"/>
          <w:noProof/>
          <w:lang w:val="pl-PL"/>
        </w:rPr>
        <w:t>boljšao se s obzirom na snažan rast nominalnog BDP-a, iako je i dalje iznad praga. Jedinični troškovi rada već nekoliko godina ubrzano rastu u relativnom smislu, odražavajući snažni rast plaća i napeto tržište rada, pa je taj pokazatelj od 2014. iznad prag</w:t>
      </w:r>
      <w:r>
        <w:rPr>
          <w:rFonts w:ascii="Times New Roman" w:hAnsi="Times New Roman"/>
          <w:noProof/>
          <w:lang w:val="pl-PL"/>
        </w:rPr>
        <w:t>a iz tablice rezultata. Učinak na vanjsku cjenovnu konkurentnost i izvozne rezultate zasada je ograničen jer je djelomično ublažen smanjenim profitnim maržama. I u sljedećim se godinama očekuje snažan rast plaća zbog daljnjeg povećanja napetosti tržišta ra</w:t>
      </w:r>
      <w:r>
        <w:rPr>
          <w:rFonts w:ascii="Times New Roman" w:hAnsi="Times New Roman"/>
          <w:noProof/>
          <w:lang w:val="pl-PL"/>
        </w:rPr>
        <w:t>da. Kada se sve uzme u obzir, ta kretanja predstavljaju rizik za konkurentnost zemlje i izglede rasta u srednjem roku. Realne cijene stambenih nekretnina i dalje bilježe dinamičan rast. Iako se rast cijena stambenih nekretnina u 2017. usporio u odnosu na 2</w:t>
      </w:r>
      <w:r>
        <w:rPr>
          <w:rFonts w:ascii="Times New Roman" w:hAnsi="Times New Roman"/>
          <w:noProof/>
          <w:lang w:val="pl-PL"/>
        </w:rPr>
        <w:t xml:space="preserve">016., u prvoj polovini 2018. bilježi se ponovno ubrzanje. Ukupno gledano, rast kredita bio je ograničen. Državni i privatni dug relativno su niski. </w:t>
      </w:r>
    </w:p>
    <w:p w:rsidR="00B26ED3" w:rsidRDefault="00B26ED3">
      <w:pPr>
        <w:autoSpaceDE w:val="0"/>
        <w:autoSpaceDN w:val="0"/>
        <w:adjustRightInd w:val="0"/>
        <w:spacing w:after="0" w:line="240" w:lineRule="auto"/>
        <w:jc w:val="both"/>
        <w:rPr>
          <w:rFonts w:ascii="Times New Roman" w:eastAsia="Calibri" w:hAnsi="Times New Roman" w:cs="Times New Roman"/>
          <w:noProof/>
          <w:lang w:val="pl-PL"/>
        </w:rPr>
      </w:pPr>
    </w:p>
    <w:p w:rsidR="00B26ED3" w:rsidRDefault="003423C1">
      <w:pPr>
        <w:autoSpaceDE w:val="0"/>
        <w:autoSpaceDN w:val="0"/>
        <w:adjustRightInd w:val="0"/>
        <w:spacing w:after="0" w:line="240" w:lineRule="auto"/>
        <w:jc w:val="both"/>
        <w:rPr>
          <w:rFonts w:ascii="Times New Roman" w:eastAsia="Calibri" w:hAnsi="Times New Roman" w:cs="Times New Roman"/>
          <w:i/>
          <w:noProof/>
          <w:lang w:val="pl-PL"/>
        </w:rPr>
      </w:pPr>
      <w:r>
        <w:rPr>
          <w:rFonts w:ascii="Times New Roman" w:hAnsi="Times New Roman"/>
          <w:i/>
          <w:noProof/>
          <w:lang w:val="pl-PL"/>
        </w:rPr>
        <w:t>Ukupno gledano, pri ekonomskom tumačenju ističu se problemi povezani s dinamikom na tržištu rada i vanjsko</w:t>
      </w:r>
      <w:r>
        <w:rPr>
          <w:rFonts w:ascii="Times New Roman" w:hAnsi="Times New Roman"/>
          <w:i/>
          <w:noProof/>
          <w:lang w:val="pl-PL"/>
        </w:rPr>
        <w:t xml:space="preserve">m konkurentnošću, premda se zasada čini da su rizici ograničeni. Stoga Komisija u ovoj fazi smatra da nije potrebno provoditi daljnje detaljno preispitivanje u okviru PMN-a. </w:t>
      </w:r>
    </w:p>
    <w:p w:rsidR="00B26ED3" w:rsidRDefault="00B26ED3">
      <w:pPr>
        <w:spacing w:after="160" w:line="259" w:lineRule="auto"/>
        <w:rPr>
          <w:rFonts w:ascii="Times New Roman" w:eastAsia="Calibri" w:hAnsi="Times New Roman" w:cs="Times New Roman"/>
          <w:noProof/>
          <w:lang w:val="pl-PL"/>
        </w:rPr>
      </w:pPr>
    </w:p>
    <w:p w:rsidR="00B26ED3" w:rsidRDefault="003423C1">
      <w:pPr>
        <w:spacing w:after="160" w:line="259" w:lineRule="auto"/>
        <w:jc w:val="both"/>
        <w:rPr>
          <w:rFonts w:ascii="Times New Roman" w:eastAsia="Calibri" w:hAnsi="Times New Roman" w:cs="Times New Roman"/>
          <w:noProof/>
          <w:lang w:val="pl-PL"/>
        </w:rPr>
      </w:pPr>
      <w:r>
        <w:rPr>
          <w:rFonts w:ascii="Times New Roman" w:hAnsi="Times New Roman"/>
          <w:b/>
          <w:noProof/>
          <w:lang w:val="pl-PL"/>
        </w:rPr>
        <w:t>Litva:</w:t>
      </w:r>
      <w:r>
        <w:rPr>
          <w:rFonts w:ascii="Times New Roman" w:hAnsi="Times New Roman"/>
          <w:noProof/>
          <w:lang w:val="pl-PL"/>
        </w:rPr>
        <w:t xml:space="preserve"> U prethodnom ciklusu PMN-a u Litvi </w:t>
      </w:r>
      <w:r>
        <w:rPr>
          <w:rFonts w:ascii="Times New Roman" w:hAnsi="Times New Roman"/>
          <w:i/>
          <w:noProof/>
          <w:lang w:val="pl-PL"/>
        </w:rPr>
        <w:t>nisu utvrđene makroekonomske neravnote</w:t>
      </w:r>
      <w:r>
        <w:rPr>
          <w:rFonts w:ascii="Times New Roman" w:hAnsi="Times New Roman"/>
          <w:i/>
          <w:noProof/>
          <w:lang w:val="pl-PL"/>
        </w:rPr>
        <w:t>že</w:t>
      </w:r>
      <w:r>
        <w:rPr>
          <w:rFonts w:ascii="Times New Roman" w:hAnsi="Times New Roman"/>
          <w:noProof/>
          <w:lang w:val="pl-PL"/>
        </w:rPr>
        <w:t>. U ažuriranoj tablici rezultata više pokazatelja prelazi indikativni prag, i to neto stanje međunarodnih ulaganja (NIIP) i nominalni jedinični troškovi rada.</w:t>
      </w:r>
      <w:r>
        <w:rPr>
          <w:rFonts w:ascii="Times New Roman" w:hAnsi="Times New Roman"/>
          <w:i/>
          <w:noProof/>
          <w:lang w:val="pl-PL"/>
        </w:rPr>
        <w:t xml:space="preserve"> </w:t>
      </w:r>
    </w:p>
    <w:p w:rsidR="00B26ED3" w:rsidRDefault="003423C1">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81792" behindDoc="0" locked="0" layoutInCell="1" allowOverlap="1">
            <wp:simplePos x="0" y="0"/>
            <wp:positionH relativeFrom="column">
              <wp:posOffset>3053080</wp:posOffset>
            </wp:positionH>
            <wp:positionV relativeFrom="paragraph">
              <wp:posOffset>2540</wp:posOffset>
            </wp:positionV>
            <wp:extent cx="2495550" cy="293370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55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Stanje tekućeg računa uglavnom je uravnoteženo, a negativan NIIP, koji se najvećim dijelom sa</w:t>
      </w:r>
      <w:r>
        <w:rPr>
          <w:rFonts w:ascii="Times New Roman" w:hAnsi="Times New Roman"/>
          <w:noProof/>
          <w:lang w:val="pl-PL"/>
        </w:rPr>
        <w:t xml:space="preserve">stoji od izravnih stranih ulaganja, poboljšao se s obzirom na snažan rast nominalnog BDP-a, iako je i dalje malo iznad praga. Rast jediničnih troškova rada već je godinama visok, u relativnom smislu, a taj je pokazatelj iznad praga iz tablice rezultata od </w:t>
      </w:r>
      <w:r>
        <w:rPr>
          <w:rFonts w:ascii="Times New Roman" w:hAnsi="Times New Roman"/>
          <w:noProof/>
          <w:lang w:val="pl-PL"/>
        </w:rPr>
        <w:t>2015., potaknut snažnim rastom plaća kao odraz napetog tržišta rada i, među ostalim čimbenicima, brzim rastom minimalne plaće od 2016. Utjecaj povećanja troškova rada na vanjsku troškovnu konkurentnost i izvozne rezultate zasada je ograničen – djelomično u</w:t>
      </w:r>
      <w:r>
        <w:rPr>
          <w:rFonts w:ascii="Times New Roman" w:hAnsi="Times New Roman"/>
          <w:noProof/>
          <w:lang w:val="pl-PL"/>
        </w:rPr>
        <w:t>blažen smanjenim profitnim maržama – što dugoročno možda neće biti održivo. I u sljedećim se godinama očekuje snažan rast plaća u kontekstu pada nezaposlenosti i povećane napetosti tržišta rada. Kada se sve uzme u obzir, ta kretanja mogla bi ugroziti konku</w:t>
      </w:r>
      <w:r>
        <w:rPr>
          <w:rFonts w:ascii="Times New Roman" w:hAnsi="Times New Roman"/>
          <w:noProof/>
          <w:lang w:val="pl-PL"/>
        </w:rPr>
        <w:t>rentnost zemlje i izglede rasta u srednjem roku. Cijene stambenih nekretnina posljednjih su godina bilježile dinamičan rast, koji se postupno povećava iako je i dalje u granicama praga. Kreditni rast počeo se ubrzavati. Razine javnog i privatnog duga i dal</w:t>
      </w:r>
      <w:r>
        <w:rPr>
          <w:rFonts w:ascii="Times New Roman" w:hAnsi="Times New Roman"/>
          <w:noProof/>
          <w:lang w:val="pl-PL"/>
        </w:rPr>
        <w:t>je su relativno niske i stabilne.</w:t>
      </w:r>
    </w:p>
    <w:p w:rsidR="00B26ED3" w:rsidRDefault="003423C1">
      <w:pPr>
        <w:autoSpaceDE w:val="0"/>
        <w:autoSpaceDN w:val="0"/>
        <w:adjustRightInd w:val="0"/>
        <w:spacing w:after="0" w:line="240" w:lineRule="auto"/>
        <w:jc w:val="both"/>
        <w:rPr>
          <w:rFonts w:ascii="Times New Roman" w:eastAsia="Calibri" w:hAnsi="Times New Roman" w:cs="Times New Roman"/>
          <w:i/>
          <w:noProof/>
          <w:lang w:val="pl-PL"/>
        </w:rPr>
      </w:pPr>
      <w:r>
        <w:rPr>
          <w:rFonts w:ascii="Times New Roman" w:hAnsi="Times New Roman"/>
          <w:i/>
          <w:noProof/>
          <w:lang w:val="pl-PL"/>
        </w:rPr>
        <w:t xml:space="preserve">Ukupno gledano, pri ekonomskom tumačenju ističu se problemi povezani s dinamikom jediničnih troškova rada i vanjskom konkurentnošću, premda se zasada čini da su rizici ograničeni. Stoga Komisija u ovoj fazi smatra da nije </w:t>
      </w:r>
      <w:r>
        <w:rPr>
          <w:rFonts w:ascii="Times New Roman" w:hAnsi="Times New Roman"/>
          <w:i/>
          <w:noProof/>
          <w:lang w:val="pl-PL"/>
        </w:rPr>
        <w:t>potrebno provoditi daljnje detaljno preispitivanje u okviru PMN-a.</w:t>
      </w:r>
    </w:p>
    <w:p w:rsidR="00B26ED3" w:rsidRDefault="003423C1">
      <w:pPr>
        <w:spacing w:after="160" w:line="259" w:lineRule="auto"/>
        <w:jc w:val="both"/>
        <w:rPr>
          <w:rFonts w:ascii="Times New Roman" w:eastAsia="Calibri" w:hAnsi="Times New Roman" w:cs="Times New Roman"/>
          <w:i/>
          <w:noProof/>
          <w:lang w:val="pl-PL"/>
        </w:rPr>
      </w:pPr>
      <w:r>
        <w:rPr>
          <w:noProof/>
          <w:lang w:eastAsia="en-GB"/>
        </w:rPr>
        <w:drawing>
          <wp:anchor distT="0" distB="0" distL="114300" distR="114300" simplePos="0" relativeHeight="251668480" behindDoc="0" locked="0" layoutInCell="1" allowOverlap="1">
            <wp:simplePos x="0" y="0"/>
            <wp:positionH relativeFrom="column">
              <wp:posOffset>3052445</wp:posOffset>
            </wp:positionH>
            <wp:positionV relativeFrom="paragraph">
              <wp:posOffset>278130</wp:posOffset>
            </wp:positionV>
            <wp:extent cx="2695575" cy="294322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5575"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ED3" w:rsidRDefault="003423C1">
      <w:pPr>
        <w:spacing w:after="160" w:line="259" w:lineRule="auto"/>
        <w:jc w:val="both"/>
        <w:rPr>
          <w:rFonts w:ascii="Times New Roman" w:eastAsia="Calibri" w:hAnsi="Times New Roman" w:cs="Times New Roman"/>
          <w:noProof/>
          <w:lang w:val="pl-PL"/>
        </w:rPr>
      </w:pPr>
      <w:r>
        <w:rPr>
          <w:rFonts w:ascii="Times New Roman" w:hAnsi="Times New Roman"/>
          <w:b/>
          <w:noProof/>
          <w:lang w:val="pl-PL"/>
        </w:rPr>
        <w:t>Luksemburg:</w:t>
      </w:r>
      <w:r>
        <w:rPr>
          <w:rFonts w:ascii="Times New Roman" w:hAnsi="Times New Roman"/>
          <w:noProof/>
          <w:lang w:val="pl-PL"/>
        </w:rPr>
        <w:t xml:space="preserve"> U prethodnom ciklusu PMN-a u Luksemburgu </w:t>
      </w:r>
      <w:r>
        <w:rPr>
          <w:rFonts w:ascii="Times New Roman" w:hAnsi="Times New Roman"/>
          <w:i/>
          <w:noProof/>
          <w:lang w:val="pl-PL"/>
        </w:rPr>
        <w:t>nisu utvrđene makroekonomske neravnoteže</w:t>
      </w:r>
      <w:r>
        <w:rPr>
          <w:rFonts w:ascii="Times New Roman" w:hAnsi="Times New Roman"/>
          <w:noProof/>
          <w:lang w:val="pl-PL"/>
        </w:rPr>
        <w:t>. U ažuriranoj tablici rezultata više pokazatelja prelazi indikativni prag, i to privatna zadu</w:t>
      </w:r>
      <w:r>
        <w:rPr>
          <w:rFonts w:ascii="Times New Roman" w:hAnsi="Times New Roman"/>
          <w:noProof/>
          <w:lang w:val="pl-PL"/>
        </w:rPr>
        <w:t xml:space="preserve">ženost te promjena stope aktivnosti i stopa dugotrajne nezaposlenosti. </w:t>
      </w:r>
    </w:p>
    <w:p w:rsidR="00B26ED3" w:rsidRDefault="003423C1">
      <w:pPr>
        <w:spacing w:after="160" w:line="259" w:lineRule="auto"/>
        <w:jc w:val="both"/>
        <w:rPr>
          <w:rFonts w:ascii="Times New Roman" w:eastAsia="Calibri" w:hAnsi="Times New Roman" w:cs="Times New Roman"/>
          <w:noProof/>
          <w:lang w:val="pl-PL"/>
        </w:rPr>
      </w:pPr>
      <w:r>
        <w:rPr>
          <w:rFonts w:ascii="Times New Roman" w:hAnsi="Times New Roman"/>
          <w:noProof/>
          <w:lang w:val="pl-PL"/>
        </w:rPr>
        <w:t xml:space="preserve">Vanjska pozicija i dalje pokazuje stabilan suficit tekućeg računa te pozitivan i stalan NIIP. Međutim, položaj te zemlje kao međunarodnog financijskog centra ima značajniji utjecaj na </w:t>
      </w:r>
      <w:r>
        <w:rPr>
          <w:rFonts w:ascii="Times New Roman" w:hAnsi="Times New Roman"/>
          <w:noProof/>
          <w:lang w:val="pl-PL"/>
        </w:rPr>
        <w:t xml:space="preserve">brojke od aktivnosti domaćeg gospodarstva. Kumulativna povećanja udjela na izvoznom tržištu stabilizirala su se. Međutim, u posljednje vrijeme zabilježeni su određeni gubici tržišta, djelomično potaknuti pogoršanjem troškovne konkurentnosti kao posljedica </w:t>
      </w:r>
      <w:r>
        <w:rPr>
          <w:rFonts w:ascii="Times New Roman" w:hAnsi="Times New Roman"/>
          <w:noProof/>
          <w:lang w:val="pl-PL"/>
        </w:rPr>
        <w:t>pojačanog rasta jediničnih troškova rada i rasta uvoznih cijena. U posljednjih deset godina cijene stambenih nekretnina rasle su relativno brzo, što upućuje na potrebu pomnog praćenja. Do povećanja cijena stambenih nekretnina došlo je u kontekstu dinamično</w:t>
      </w:r>
      <w:r>
        <w:rPr>
          <w:rFonts w:ascii="Times New Roman" w:hAnsi="Times New Roman"/>
          <w:noProof/>
          <w:lang w:val="pl-PL"/>
        </w:rPr>
        <w:t>g tržišta rada u kombinaciji sa znatnim neto migracijskim tokovima i povoljnim uvjetima financiranja, dok je ponuda relativno ograničena i ne prati snažnu potražnju. Pristupačnost stanovanja stalno se pogoršava zbog neprestanog rasta cijena stambenih nekre</w:t>
      </w:r>
      <w:r>
        <w:rPr>
          <w:rFonts w:ascii="Times New Roman" w:hAnsi="Times New Roman"/>
          <w:noProof/>
          <w:lang w:val="pl-PL"/>
        </w:rPr>
        <w:t>tnina. Korporativna zaduženost vrlo je visoka, ali to je većinom povezano s prekograničnim zajmovima unutar poduzeća. Razina duga kućanstava, većinom u obliku hipoteke, stalno se povećava kao odraz dinamike na tržištu nekretnina i povoljnih uvjeta kreditir</w:t>
      </w:r>
      <w:r>
        <w:rPr>
          <w:rFonts w:ascii="Times New Roman" w:hAnsi="Times New Roman"/>
          <w:noProof/>
          <w:lang w:val="pl-PL"/>
        </w:rPr>
        <w:t>anja. Iako su niže kamatne stope i dulje trajanje hipoteka smanjili financijski teret za kućanstva i većina novih hipoteka ugovara se s fiksnom stopom, veliki dio zaduženih kućanstava ostaje izložen povećanjima kamatnih stopa. Rizike za financijsku stabiln</w:t>
      </w:r>
      <w:r>
        <w:rPr>
          <w:rFonts w:ascii="Times New Roman" w:hAnsi="Times New Roman"/>
          <w:noProof/>
          <w:lang w:val="pl-PL"/>
        </w:rPr>
        <w:t>ost zemlje ipak ublažava solidnost bankarskog sektora. Javni dug i dalje je vrlo nizak. Unatoč nedavnom usporavanju gospodarstva, tržište rada sve je napetije, a nezaposlenost i dalje pada.</w:t>
      </w:r>
    </w:p>
    <w:p w:rsidR="00B26ED3" w:rsidRDefault="003423C1">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Ukupno gledano, pri ekonomskom tumačenju ističu se uglavnom ograni</w:t>
      </w:r>
      <w:r>
        <w:rPr>
          <w:rFonts w:ascii="Times New Roman" w:hAnsi="Times New Roman"/>
          <w:i/>
          <w:noProof/>
          <w:lang w:val="pl-PL"/>
        </w:rPr>
        <w:t>čeni rizici povezani sa stalnim rastom cijena stanovanja i dugom kućanstava. Stoga Komisija u ovoj fazi neće provoditi daljnje detaljno preispitivanje u okviru PMN-a.</w:t>
      </w:r>
    </w:p>
    <w:p w:rsidR="00B26ED3" w:rsidRDefault="00B26ED3">
      <w:pPr>
        <w:rPr>
          <w:rFonts w:ascii="Times New Roman" w:eastAsia="Calibri" w:hAnsi="Times New Roman" w:cs="Times New Roman"/>
          <w:b/>
          <w:bCs/>
          <w:noProof/>
          <w:lang w:val="pl-PL"/>
        </w:rPr>
      </w:pPr>
    </w:p>
    <w:p w:rsidR="00B26ED3" w:rsidRDefault="003423C1">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69504" behindDoc="0" locked="0" layoutInCell="1" allowOverlap="1">
            <wp:simplePos x="0" y="0"/>
            <wp:positionH relativeFrom="column">
              <wp:posOffset>2718435</wp:posOffset>
            </wp:positionH>
            <wp:positionV relativeFrom="paragraph">
              <wp:posOffset>708660</wp:posOffset>
            </wp:positionV>
            <wp:extent cx="2972435" cy="27813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243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pl-PL"/>
        </w:rPr>
        <w:t xml:space="preserve">Mađarska: </w:t>
      </w:r>
      <w:r>
        <w:rPr>
          <w:rFonts w:ascii="Times New Roman" w:hAnsi="Times New Roman"/>
          <w:noProof/>
          <w:lang w:val="pl-PL"/>
        </w:rPr>
        <w:t xml:space="preserve">U prethodnom ciklusu PMN-a u Mađarskoj </w:t>
      </w:r>
      <w:r>
        <w:rPr>
          <w:rFonts w:ascii="Times New Roman" w:hAnsi="Times New Roman"/>
          <w:i/>
          <w:noProof/>
          <w:lang w:val="pl-PL"/>
        </w:rPr>
        <w:t>nisu utvrđene makroekonomske neravnote</w:t>
      </w:r>
      <w:r>
        <w:rPr>
          <w:rFonts w:ascii="Times New Roman" w:hAnsi="Times New Roman"/>
          <w:i/>
          <w:noProof/>
          <w:lang w:val="pl-PL"/>
        </w:rPr>
        <w:t>že</w:t>
      </w:r>
      <w:r>
        <w:rPr>
          <w:rFonts w:ascii="Times New Roman" w:hAnsi="Times New Roman"/>
          <w:noProof/>
          <w:lang w:val="pl-PL"/>
        </w:rPr>
        <w:t xml:space="preserve">. U ažuriranoj tablici rezultata neki pokazatelji prelaze indikativni prag, i to neto stanje međunarodnih ulaganja (NIIP) i državni dug. </w:t>
      </w:r>
    </w:p>
    <w:p w:rsidR="00B26ED3" w:rsidRDefault="003423C1">
      <w:pPr>
        <w:autoSpaceDE w:val="0"/>
        <w:autoSpaceDN w:val="0"/>
        <w:adjustRightInd w:val="0"/>
        <w:spacing w:before="100" w:beforeAutospacing="1" w:after="100" w:afterAutospacing="1" w:line="259" w:lineRule="auto"/>
        <w:jc w:val="both"/>
        <w:rPr>
          <w:rFonts w:ascii="Times New Roman" w:eastAsia="Calibri" w:hAnsi="Times New Roman" w:cs="Times New Roman"/>
          <w:noProof/>
          <w:lang w:val="pl-PL"/>
        </w:rPr>
      </w:pPr>
      <w:r>
        <w:rPr>
          <w:rFonts w:ascii="Times New Roman" w:hAnsi="Times New Roman"/>
          <w:noProof/>
          <w:lang w:val="pl-PL"/>
        </w:rPr>
        <w:t xml:space="preserve">Suficit tekućeg računa posljednjih godina potaknuo je ubrzano i kontinuirano poboljšanje negativnog NIIP-a, koji je </w:t>
      </w:r>
      <w:r>
        <w:rPr>
          <w:rFonts w:ascii="Times New Roman" w:hAnsi="Times New Roman"/>
          <w:noProof/>
          <w:lang w:val="pl-PL"/>
        </w:rPr>
        <w:t>također u velikoj mjeri odraz izravnih stranih ulaganja. Udjeli na izvoznom tržištu povećali su se u 2017. potaknuti rastom automobilske industrije. Nominalni jedinični troškovi rada znatno su rasli u kontekstu sve napetijeg tržišta rada. I administrativna</w:t>
      </w:r>
      <w:r>
        <w:rPr>
          <w:rFonts w:ascii="Times New Roman" w:hAnsi="Times New Roman"/>
          <w:noProof/>
          <w:lang w:val="pl-PL"/>
        </w:rPr>
        <w:t xml:space="preserve"> povećanja plaća pridonijela su povećanju troškova rada, ali su djelomično kompenzirana smanjenjem socijalnih doprinosa poslodavaca. Kreditni tokovi u privatni sektor dobili su pozitivan predznak, ali se razina kredita privatnog sektora nastavila smanjivat</w:t>
      </w:r>
      <w:r>
        <w:rPr>
          <w:rFonts w:ascii="Times New Roman" w:hAnsi="Times New Roman"/>
          <w:noProof/>
          <w:lang w:val="pl-PL"/>
        </w:rPr>
        <w:t xml:space="preserve">i u 2017. Rast realnih cijena stambenih nekretnina bio je umjereniji nakon znatnih povećanja u prethodnim godinama. Ipak, visoke procjene vrijednosti nekretnina u određenim regijama i nagli rast hipotekarnih kredita zahtijevaju pozornost. Oporavak tržišta </w:t>
      </w:r>
      <w:r>
        <w:rPr>
          <w:rFonts w:ascii="Times New Roman" w:hAnsi="Times New Roman"/>
          <w:noProof/>
          <w:lang w:val="pl-PL"/>
        </w:rPr>
        <w:t>nekretnina koji je u tijeku mogao bi pridonijeti daljnjem smanjenju udjela loših kredita, koji je još uvijek visok. Bankarski sektor poboljšao je svoju profitabilnost i sposobnost apsorpcije šokova. Unatoč povoljnom gospodarskom ciklusu, državni dug tek se</w:t>
      </w:r>
      <w:r>
        <w:rPr>
          <w:rFonts w:ascii="Times New Roman" w:hAnsi="Times New Roman"/>
          <w:noProof/>
          <w:lang w:val="pl-PL"/>
        </w:rPr>
        <w:t xml:space="preserve"> postupno smanjivao zahvaljujući procikličkoj fiskalnoj politici. Nezaposlenost je pala na rekordno nisku razinu, a sve napetije tržište rada pridonijelo je ubrzanom rastu plaća, koji je i dalje bio viši od rasta produktivnosti. </w:t>
      </w:r>
    </w:p>
    <w:p w:rsidR="00B26ED3" w:rsidRDefault="003423C1">
      <w:pPr>
        <w:autoSpaceDE w:val="0"/>
        <w:autoSpaceDN w:val="0"/>
        <w:adjustRightInd w:val="0"/>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Ukupno gledano, pri ekonomskom tumačenju ističu se problemi povezani s tržištem stambenih nekretnina i povećanjem napetosti tržišta rada, premda se rizici čine ograničenima. Komisija u ovoj fazi neće provoditi daljnje detaljno preispitivanje u okviru PMN-a</w:t>
      </w:r>
      <w:r>
        <w:rPr>
          <w:rFonts w:ascii="Times New Roman" w:hAnsi="Times New Roman"/>
          <w:i/>
          <w:noProof/>
          <w:lang w:val="pl-PL"/>
        </w:rPr>
        <w:t xml:space="preserve">. </w:t>
      </w:r>
    </w:p>
    <w:p w:rsidR="00B26ED3" w:rsidRDefault="00B26ED3">
      <w:pPr>
        <w:spacing w:after="160" w:line="259" w:lineRule="auto"/>
        <w:rPr>
          <w:rFonts w:ascii="Times New Roman" w:eastAsia="Calibri" w:hAnsi="Times New Roman" w:cs="Times New Roman"/>
          <w:noProof/>
          <w:lang w:val="pl-PL"/>
        </w:rPr>
      </w:pPr>
    </w:p>
    <w:p w:rsidR="00B26ED3" w:rsidRDefault="003423C1">
      <w:pPr>
        <w:spacing w:after="160" w:line="259" w:lineRule="auto"/>
        <w:jc w:val="both"/>
        <w:rPr>
          <w:rFonts w:ascii="Times New Roman" w:eastAsia="Calibri" w:hAnsi="Times New Roman" w:cs="Times New Roman"/>
          <w:noProof/>
          <w:lang w:val="pl-PL"/>
        </w:rPr>
      </w:pPr>
      <w:r>
        <w:rPr>
          <w:rFonts w:ascii="Times New Roman" w:hAnsi="Times New Roman"/>
          <w:b/>
          <w:noProof/>
          <w:color w:val="000000"/>
          <w:lang w:val="pl-PL"/>
        </w:rPr>
        <w:t>Malta</w:t>
      </w:r>
      <w:r>
        <w:rPr>
          <w:rFonts w:ascii="Times New Roman" w:hAnsi="Times New Roman"/>
          <w:noProof/>
          <w:color w:val="000000"/>
          <w:lang w:val="pl-PL"/>
        </w:rPr>
        <w:t xml:space="preserve">: U prethodnom ciklusu PMN-a na Malti </w:t>
      </w:r>
      <w:r>
        <w:rPr>
          <w:rFonts w:ascii="Times New Roman" w:hAnsi="Times New Roman"/>
          <w:i/>
          <w:noProof/>
          <w:color w:val="000000"/>
          <w:lang w:val="pl-PL"/>
        </w:rPr>
        <w:t>nisu utvrđene makroekonomske neravnoteže</w:t>
      </w:r>
      <w:r>
        <w:rPr>
          <w:rFonts w:ascii="Times New Roman" w:hAnsi="Times New Roman"/>
          <w:noProof/>
          <w:color w:val="000000"/>
          <w:lang w:val="pl-PL"/>
        </w:rPr>
        <w:t>. U ažuriranoj tablici rezultata saldo tekućeg računa prelazi indikativni prag.</w:t>
      </w:r>
      <w:r>
        <w:rPr>
          <w:noProof/>
          <w:lang w:val="pl-PL"/>
        </w:rPr>
        <w:t xml:space="preserve"> </w:t>
      </w:r>
    </w:p>
    <w:p w:rsidR="00B26ED3" w:rsidRDefault="003423C1">
      <w:pPr>
        <w:autoSpaceDE w:val="0"/>
        <w:autoSpaceDN w:val="0"/>
        <w:adjustRightInd w:val="0"/>
        <w:spacing w:before="120"/>
        <w:jc w:val="both"/>
        <w:rPr>
          <w:rFonts w:ascii="Times New Roman" w:eastAsia="Times New Roman" w:hAnsi="Times New Roman" w:cs="Times New Roman"/>
          <w:noProof/>
          <w:color w:val="000000"/>
          <w:lang w:val="pl-PL"/>
        </w:rPr>
      </w:pPr>
      <w:r>
        <w:rPr>
          <w:noProof/>
          <w:lang w:eastAsia="en-GB"/>
        </w:rPr>
        <w:drawing>
          <wp:anchor distT="0" distB="0" distL="114300" distR="114300" simplePos="0" relativeHeight="251670528" behindDoc="0" locked="0" layoutInCell="1" allowOverlap="1">
            <wp:simplePos x="0" y="0"/>
            <wp:positionH relativeFrom="column">
              <wp:posOffset>3069590</wp:posOffset>
            </wp:positionH>
            <wp:positionV relativeFrom="paragraph">
              <wp:posOffset>2540</wp:posOffset>
            </wp:positionV>
            <wp:extent cx="2678430" cy="272415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843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lang w:val="pl-PL"/>
        </w:rPr>
        <w:t>Veliki suficit tekućeg računa u 2017. dodatno se povećao i dosegao vrlo visoke razine, uz istodobno znatno poboljšanje već otprije pozitivnog neto stanja međunarodnih ulaganja. Međutim, vanjska pozicija više je odraz fluktuacija u međunarodno orijentiranom</w:t>
      </w:r>
      <w:r>
        <w:rPr>
          <w:rFonts w:ascii="Times New Roman" w:hAnsi="Times New Roman"/>
          <w:noProof/>
          <w:color w:val="000000"/>
          <w:lang w:val="pl-PL"/>
        </w:rPr>
        <w:t xml:space="preserve"> korporativnom sektoru nego domaćih kretanja. Kretanja troškovne konkurentnosti i realne efektivne tečajne stope bila su relativno povoljna, a rast jediničnih troškova rada ostao je umjeren zahvaljujući umjerenim kretanjima plaća u kombinaciji s relativno </w:t>
      </w:r>
      <w:r>
        <w:rPr>
          <w:rFonts w:ascii="Times New Roman" w:hAnsi="Times New Roman"/>
          <w:noProof/>
          <w:color w:val="000000"/>
          <w:lang w:val="pl-PL"/>
        </w:rPr>
        <w:t>snažnim rastom produktivnosti rada. Udio duga privatnog sektora u BDP-u znatno se smanjio u 2017., poduprt snažnim rastom nominalnog BDP-a. Financijska poluga korporativnog sektora i dalje je visoka, a ubrzava se rast kredita kućanstvima. Udio državnog dug</w:t>
      </w:r>
      <w:r>
        <w:rPr>
          <w:rFonts w:ascii="Times New Roman" w:hAnsi="Times New Roman"/>
          <w:noProof/>
          <w:color w:val="000000"/>
          <w:lang w:val="pl-PL"/>
        </w:rPr>
        <w:t>a u BDP-u pokazuje jasan silazni trend. Realne cijene stambenih nekretnina u 2017. su porasle, što upućuje na potrebu praćenja stanja. Snažna gospodarska aktivnost i ograničene mogućnosti ulaganja privatne štednje ponovno su povećale interes za tržište sta</w:t>
      </w:r>
      <w:r>
        <w:rPr>
          <w:rFonts w:ascii="Times New Roman" w:hAnsi="Times New Roman"/>
          <w:noProof/>
          <w:color w:val="000000"/>
          <w:lang w:val="pl-PL"/>
        </w:rPr>
        <w:t>mbenih nekretnina. Popravlja se kvaliteta imovine u domaćem bankarskom sektoru i čini se da su postojeći zaštitni slojevi kapitala dovoljni da apsorbiraju neposredne rizike koji bi se mogli pojaviti na tržištu stambenih nekretnina ili kao posljedica percep</w:t>
      </w:r>
      <w:r>
        <w:rPr>
          <w:rFonts w:ascii="Times New Roman" w:hAnsi="Times New Roman"/>
          <w:noProof/>
          <w:color w:val="000000"/>
          <w:lang w:val="pl-PL"/>
        </w:rPr>
        <w:t xml:space="preserve">cije institucionalnog okvira??? Stanje na tržištu rada i dalje je izrazito dobro, a visok rast zaposlenosti praćen je niskom nezaposlenošću, koja se i dalje smanjuje. </w:t>
      </w:r>
    </w:p>
    <w:p w:rsidR="00B26ED3" w:rsidRDefault="003423C1">
      <w:pPr>
        <w:autoSpaceDE w:val="0"/>
        <w:autoSpaceDN w:val="0"/>
        <w:adjustRightInd w:val="0"/>
        <w:spacing w:before="120"/>
        <w:jc w:val="both"/>
        <w:rPr>
          <w:rFonts w:ascii="Times New Roman" w:eastAsia="Times New Roman" w:hAnsi="Times New Roman" w:cs="Times New Roman"/>
          <w:i/>
          <w:iCs/>
          <w:noProof/>
          <w:color w:val="000000"/>
          <w:lang w:val="pl-PL"/>
        </w:rPr>
      </w:pPr>
      <w:r>
        <w:rPr>
          <w:rFonts w:ascii="Times New Roman" w:hAnsi="Times New Roman"/>
          <w:i/>
          <w:noProof/>
          <w:color w:val="000000"/>
          <w:lang w:val="pl-PL"/>
        </w:rPr>
        <w:t xml:space="preserve">Ukupno gledano, ekonomsko tumačenje upućuje na probleme povezane s vanjskom pozicijom i </w:t>
      </w:r>
      <w:r>
        <w:rPr>
          <w:rFonts w:ascii="Times New Roman" w:hAnsi="Times New Roman"/>
          <w:i/>
          <w:noProof/>
          <w:color w:val="000000"/>
          <w:lang w:val="pl-PL"/>
        </w:rPr>
        <w:t>tržištem stambenih nekretnina u kontekstu snažnog gospodarskog rasta, premda se zasada čini da su rizici ograničeni. Stoga Komisija u ovoj fazi neće provoditi daljnje detaljno preispitivanje u okviru PMN-a.</w:t>
      </w:r>
    </w:p>
    <w:p w:rsidR="00B26ED3" w:rsidRDefault="003423C1">
      <w:pPr>
        <w:spacing w:after="160" w:line="259" w:lineRule="auto"/>
        <w:jc w:val="both"/>
        <w:rPr>
          <w:rFonts w:ascii="Times New Roman" w:eastAsia="Calibri" w:hAnsi="Times New Roman" w:cs="Times New Roman"/>
          <w:b/>
          <w:noProof/>
          <w:lang w:val="pl-PL"/>
        </w:rPr>
      </w:pPr>
      <w:r>
        <w:rPr>
          <w:noProof/>
          <w:lang w:eastAsia="en-GB"/>
        </w:rPr>
        <w:drawing>
          <wp:anchor distT="0" distB="0" distL="114300" distR="114300" simplePos="0" relativeHeight="251671552" behindDoc="0" locked="0" layoutInCell="1" allowOverlap="1">
            <wp:simplePos x="0" y="0"/>
            <wp:positionH relativeFrom="column">
              <wp:posOffset>3141345</wp:posOffset>
            </wp:positionH>
            <wp:positionV relativeFrom="paragraph">
              <wp:posOffset>170180</wp:posOffset>
            </wp:positionV>
            <wp:extent cx="2531110" cy="260032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111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ED3" w:rsidRDefault="003423C1">
      <w:pPr>
        <w:spacing w:after="160" w:line="259" w:lineRule="auto"/>
        <w:jc w:val="both"/>
        <w:rPr>
          <w:noProof/>
          <w:lang w:val="pl-PL"/>
        </w:rPr>
      </w:pPr>
      <w:r>
        <w:rPr>
          <w:rFonts w:ascii="Times New Roman" w:hAnsi="Times New Roman"/>
          <w:b/>
          <w:noProof/>
          <w:lang w:val="pl-PL"/>
        </w:rPr>
        <w:t>Nizozemska:</w:t>
      </w:r>
      <w:r>
        <w:rPr>
          <w:rFonts w:ascii="Times New Roman" w:hAnsi="Times New Roman"/>
          <w:noProof/>
          <w:lang w:val="pl-PL"/>
        </w:rPr>
        <w:t xml:space="preserve"> Komisija je u ožujku 2018. utvrdila</w:t>
      </w:r>
      <w:r>
        <w:rPr>
          <w:rFonts w:ascii="Times New Roman" w:hAnsi="Times New Roman"/>
          <w:noProof/>
          <w:lang w:val="pl-PL"/>
        </w:rPr>
        <w:t xml:space="preserve"> </w:t>
      </w:r>
      <w:r>
        <w:rPr>
          <w:rFonts w:ascii="Times New Roman" w:hAnsi="Times New Roman"/>
          <w:i/>
          <w:noProof/>
          <w:lang w:val="pl-PL"/>
        </w:rPr>
        <w:t>makroekonomske neravnoteže</w:t>
      </w:r>
      <w:r>
        <w:rPr>
          <w:rFonts w:ascii="Times New Roman" w:hAnsi="Times New Roman"/>
          <w:noProof/>
          <w:lang w:val="pl-PL"/>
        </w:rPr>
        <w:t xml:space="preserve"> u Nizozemskoj, posebno u pogledu visoke razine privatnog duga i velikog suficita tekućeg računa. U ažuriranoj tablici rezultata više pokazatelja prelazi indikativni prag, i to trogodišnji prosjek salda tekućeg računa, dug privat</w:t>
      </w:r>
      <w:r>
        <w:rPr>
          <w:rFonts w:ascii="Times New Roman" w:hAnsi="Times New Roman"/>
          <w:noProof/>
          <w:lang w:val="pl-PL"/>
        </w:rPr>
        <w:t xml:space="preserve">nog sektora i rast realnih cijena stambenih nekretnina. </w:t>
      </w:r>
    </w:p>
    <w:p w:rsidR="00B26ED3" w:rsidRDefault="003423C1">
      <w:pPr>
        <w:spacing w:after="160" w:line="259" w:lineRule="auto"/>
        <w:jc w:val="both"/>
        <w:rPr>
          <w:rFonts w:ascii="Times New Roman" w:eastAsia="Calibri" w:hAnsi="Times New Roman" w:cs="Times New Roman"/>
          <w:noProof/>
          <w:lang w:val="pl-PL"/>
        </w:rPr>
      </w:pPr>
      <w:r>
        <w:rPr>
          <w:noProof/>
          <w:lang w:val="pl-PL"/>
        </w:rPr>
        <w:t>Suficit tekućeg računa i dalje je vrlo visok, a u 2017. još se i dodatno povećao, dok se pozitivno neto stanje međunarodnih ulaganja blago smanjilo.</w:t>
      </w:r>
      <w:r>
        <w:rPr>
          <w:rFonts w:ascii="Times New Roman" w:hAnsi="Times New Roman"/>
          <w:noProof/>
          <w:lang w:val="pl-PL"/>
        </w:rPr>
        <w:t xml:space="preserve"> Iako su svi sektori neto štediše, povećanje sufici</w:t>
      </w:r>
      <w:r>
        <w:rPr>
          <w:rFonts w:ascii="Times New Roman" w:hAnsi="Times New Roman"/>
          <w:noProof/>
          <w:lang w:val="pl-PL"/>
        </w:rPr>
        <w:t xml:space="preserve">ta tekućeg računa u 2017. najvećim se dijelom može pripisati nefinancijskim poduzećima, čiji je višak štednje povezan s relativno visokom profitabilnošću poduzeća i relativno niskom stopom ulaganja. Nema izraženih kretanja jediničnih troškova rada, a rast </w:t>
      </w:r>
      <w:r>
        <w:rPr>
          <w:rFonts w:ascii="Times New Roman" w:hAnsi="Times New Roman"/>
          <w:noProof/>
          <w:lang w:val="pl-PL"/>
        </w:rPr>
        <w:t>plaća prati kretanje produktivnosti. Privatni dug je visok, dok se korporativni dug može među ostalim objasniti dugom unutar grupe multinacionalnih kompanija. Dug kućanstava je visok, potaknut povoljnim poreznim tretmanom kupnje vlastite stambene nekretnin</w:t>
      </w:r>
      <w:r>
        <w:rPr>
          <w:rFonts w:ascii="Times New Roman" w:hAnsi="Times New Roman"/>
          <w:noProof/>
          <w:lang w:val="pl-PL"/>
        </w:rPr>
        <w:t>e i povoljnim kamatnim stopama na hipotekarne kredite. Udio duga kućanstava u BDP-u bilježi padajući trend, ali nominalni dug ponovno raste. Tržište stambenih nekretnina bilježi snažan oporavak uz daljnje ubrzavanje rasta cijena u 2017., među ostalim i u k</w:t>
      </w:r>
      <w:r>
        <w:rPr>
          <w:rFonts w:ascii="Times New Roman" w:hAnsi="Times New Roman"/>
          <w:noProof/>
          <w:lang w:val="pl-PL"/>
        </w:rPr>
        <w:t>ontekstu suboptimalnog funkcioniranja tržišta najma. Tržište rada sve je napetije u uvjetima niske nezaposlenosti, koja i dalje pada.</w:t>
      </w:r>
    </w:p>
    <w:p w:rsidR="00B26ED3" w:rsidRDefault="003423C1">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 xml:space="preserve">Ukupno gledano, pri ekonomskom tumačenju ističu se problemi povezani s visokim dugom kućanstava i velikim viškom domaće </w:t>
      </w:r>
      <w:r>
        <w:rPr>
          <w:rFonts w:ascii="Times New Roman" w:hAnsi="Times New Roman"/>
          <w:i/>
          <w:noProof/>
          <w:lang w:val="pl-PL"/>
        </w:rPr>
        <w:t>štednje. Stoga Komisija smatra, među ostalim i zbog neravnoteže utvrđene u ožujku 2018., da bi bilo dobro detaljnije ispitati postojanost neravnoteža ili njihovo postupno uklanjanje.</w:t>
      </w:r>
    </w:p>
    <w:p w:rsidR="00B26ED3" w:rsidRDefault="00B26ED3">
      <w:pPr>
        <w:spacing w:after="160" w:line="259" w:lineRule="auto"/>
        <w:jc w:val="both"/>
        <w:rPr>
          <w:rFonts w:ascii="Times New Roman" w:eastAsia="Calibri" w:hAnsi="Times New Roman" w:cs="Times New Roman"/>
          <w:i/>
          <w:noProof/>
          <w:lang w:val="pl-PL"/>
        </w:rPr>
      </w:pPr>
    </w:p>
    <w:p w:rsidR="00B26ED3" w:rsidRDefault="003423C1">
      <w:pPr>
        <w:rPr>
          <w:rFonts w:ascii="Times New Roman" w:eastAsia="Calibri" w:hAnsi="Times New Roman" w:cs="Times New Roman"/>
          <w:b/>
          <w:noProof/>
          <w:lang w:val="pl-PL"/>
        </w:rPr>
      </w:pPr>
      <w:r>
        <w:rPr>
          <w:noProof/>
          <w:lang w:val="pl-PL"/>
        </w:rPr>
        <w:br w:type="page"/>
      </w:r>
    </w:p>
    <w:p w:rsidR="00B26ED3" w:rsidRDefault="003423C1">
      <w:pPr>
        <w:rPr>
          <w:rFonts w:ascii="Times New Roman" w:eastAsia="Calibri" w:hAnsi="Times New Roman" w:cs="Times New Roman"/>
          <w:b/>
          <w:noProof/>
          <w:lang w:val="pl-PL"/>
        </w:rPr>
      </w:pPr>
      <w:r>
        <w:rPr>
          <w:rFonts w:ascii="Times New Roman" w:hAnsi="Times New Roman"/>
          <w:b/>
          <w:noProof/>
          <w:lang w:val="pl-PL"/>
        </w:rPr>
        <w:t>Austrija:</w:t>
      </w:r>
      <w:r>
        <w:rPr>
          <w:rFonts w:ascii="Times New Roman" w:hAnsi="Times New Roman"/>
          <w:noProof/>
          <w:lang w:val="pl-PL"/>
        </w:rPr>
        <w:t xml:space="preserve"> U prethodnom ciklusu PMN-a u Austriji </w:t>
      </w:r>
      <w:r>
        <w:rPr>
          <w:rFonts w:ascii="Times New Roman" w:hAnsi="Times New Roman"/>
          <w:i/>
          <w:noProof/>
          <w:lang w:val="pl-PL"/>
        </w:rPr>
        <w:t>nisu utvrđene makroeko</w:t>
      </w:r>
      <w:r>
        <w:rPr>
          <w:rFonts w:ascii="Times New Roman" w:hAnsi="Times New Roman"/>
          <w:i/>
          <w:noProof/>
          <w:lang w:val="pl-PL"/>
        </w:rPr>
        <w:t>nomske neravnoteže</w:t>
      </w:r>
      <w:r>
        <w:rPr>
          <w:rFonts w:ascii="Times New Roman" w:hAnsi="Times New Roman"/>
          <w:noProof/>
          <w:lang w:val="pl-PL"/>
        </w:rPr>
        <w:t xml:space="preserve">. U ažuriranoj tablici rezultata samo pokazatelj državnog duga prelazi indikativni prag. </w:t>
      </w:r>
    </w:p>
    <w:p w:rsidR="00B26ED3" w:rsidRDefault="003423C1">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2576" behindDoc="0" locked="0" layoutInCell="1" allowOverlap="1">
            <wp:simplePos x="0" y="0"/>
            <wp:positionH relativeFrom="column">
              <wp:posOffset>2967355</wp:posOffset>
            </wp:positionH>
            <wp:positionV relativeFrom="paragraph">
              <wp:posOffset>1270</wp:posOffset>
            </wp:positionV>
            <wp:extent cx="2742565" cy="275272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256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rPr>
        <w:t>Suficit tekućeg računa ostao je stabilan te je i u 2017. bio umjereno visok, uz blago pozitivno neto stanje međunarodnih ulaganja.</w:t>
      </w:r>
      <w:r>
        <w:rPr>
          <w:rFonts w:ascii="Times New Roman" w:hAnsi="Times New Roman"/>
          <w:noProof/>
          <w:lang w:val="pl-PL"/>
        </w:rPr>
        <w:t xml:space="preserve"> Udjeli na izvozn</w:t>
      </w:r>
      <w:r>
        <w:rPr>
          <w:rFonts w:ascii="Times New Roman" w:hAnsi="Times New Roman"/>
          <w:noProof/>
          <w:lang w:val="pl-PL"/>
        </w:rPr>
        <w:t>om tržištu bili su stabilni. Rast jediničnih troškova rada je nizak zahvaljujući rastu produktivnosti rada i ograničenom rastu plaća. Trend rasta realnih cijena stambenih nekretnina nastavio se i u 2017., ali nešto sporijim tempom nego u 2016. Ta je kretan</w:t>
      </w:r>
      <w:r>
        <w:rPr>
          <w:rFonts w:ascii="Times New Roman" w:hAnsi="Times New Roman"/>
          <w:noProof/>
          <w:lang w:val="pl-PL"/>
        </w:rPr>
        <w:t>ja potrebno pratiti, ali čini se da rast cijena nije potaknut kreditima te nije zapaženo znatnije ubrzanje kreditnog rasta. Osim toga, i udio duga poduzeća i duga kućanstava postupno se smanjuje. I padajući trend državnog duga se nastavio, pa je on i u 201</w:t>
      </w:r>
      <w:r>
        <w:rPr>
          <w:rFonts w:ascii="Times New Roman" w:hAnsi="Times New Roman"/>
          <w:noProof/>
          <w:lang w:val="pl-PL"/>
        </w:rPr>
        <w:t>7. smanjen zahvaljujući snažnom gospodarskom rastu i tekućoj likvidaciji imovine nacionaliziranih financijskih institucija. Stanje u bankarskom sektoru dodatno se poboljšalo, među ostalim i u vezi s oporavkom u susjednim zemljama. U tim povoljnim gospodars</w:t>
      </w:r>
      <w:r>
        <w:rPr>
          <w:rFonts w:ascii="Times New Roman" w:hAnsi="Times New Roman"/>
          <w:noProof/>
          <w:lang w:val="pl-PL"/>
        </w:rPr>
        <w:t xml:space="preserve">kim uvjetima i uz snažan rast zaposlenosti stopa nezaposlenosti znatno se smanjila. </w:t>
      </w:r>
    </w:p>
    <w:p w:rsidR="00B26ED3" w:rsidRDefault="003423C1">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Ukupno gledano, pri ekonomskom tumačenju ističu se problemi povezani sa sektorom stambenih nekretnina, premda se rizik čini ograničen. Stoga Komisija u ovoj fazi smatra da</w:t>
      </w:r>
      <w:r>
        <w:rPr>
          <w:rFonts w:ascii="Times New Roman" w:hAnsi="Times New Roman"/>
          <w:i/>
          <w:noProof/>
          <w:lang w:val="pl-PL"/>
        </w:rPr>
        <w:t xml:space="preserve"> nije potrebno provoditi daljnje detaljno preispitivanje u okviru PMN-a.</w:t>
      </w:r>
    </w:p>
    <w:p w:rsidR="00B26ED3" w:rsidRDefault="00B26ED3">
      <w:pPr>
        <w:spacing w:after="160" w:line="259" w:lineRule="auto"/>
        <w:jc w:val="both"/>
        <w:rPr>
          <w:rFonts w:ascii="Times New Roman" w:eastAsia="Calibri" w:hAnsi="Times New Roman" w:cs="Times New Roman"/>
          <w:i/>
          <w:noProof/>
          <w:lang w:val="pl-PL"/>
        </w:rPr>
      </w:pPr>
    </w:p>
    <w:p w:rsidR="00B26ED3" w:rsidRDefault="003423C1">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3600" behindDoc="0" locked="0" layoutInCell="1" allowOverlap="1">
            <wp:simplePos x="0" y="0"/>
            <wp:positionH relativeFrom="column">
              <wp:posOffset>3262630</wp:posOffset>
            </wp:positionH>
            <wp:positionV relativeFrom="paragraph">
              <wp:posOffset>14605</wp:posOffset>
            </wp:positionV>
            <wp:extent cx="2524125" cy="2971800"/>
            <wp:effectExtent l="0" t="0" r="952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412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pl-PL"/>
        </w:rPr>
        <w:t>Poljska</w:t>
      </w:r>
      <w:r>
        <w:rPr>
          <w:rFonts w:ascii="Times New Roman" w:hAnsi="Times New Roman"/>
          <w:noProof/>
          <w:lang w:val="pl-PL"/>
        </w:rPr>
        <w:t xml:space="preserve">: U prethodnom ciklusu PMN-a u Poljskoj </w:t>
      </w:r>
      <w:r>
        <w:rPr>
          <w:rFonts w:ascii="Times New Roman" w:hAnsi="Times New Roman"/>
          <w:i/>
          <w:noProof/>
          <w:lang w:val="pl-PL"/>
        </w:rPr>
        <w:t>nisu utvrđene makroekonomske neravnoteže</w:t>
      </w:r>
      <w:r>
        <w:rPr>
          <w:rFonts w:ascii="Times New Roman" w:hAnsi="Times New Roman"/>
          <w:noProof/>
          <w:lang w:val="pl-PL"/>
        </w:rPr>
        <w:t>. U ažuriranoj tablici rezultata pokazatelj neto stanja međunarodnih ulaganja (NIIP) prelazi i</w:t>
      </w:r>
      <w:r>
        <w:rPr>
          <w:rFonts w:ascii="Times New Roman" w:hAnsi="Times New Roman"/>
          <w:noProof/>
          <w:lang w:val="pl-PL"/>
        </w:rPr>
        <w:t xml:space="preserve">ndikativni prag. </w:t>
      </w:r>
    </w:p>
    <w:p w:rsidR="00B26ED3" w:rsidRDefault="003423C1">
      <w:pPr>
        <w:spacing w:after="160" w:line="259" w:lineRule="auto"/>
        <w:jc w:val="both"/>
        <w:rPr>
          <w:rFonts w:ascii="Times New Roman" w:eastAsia="Calibri" w:hAnsi="Times New Roman" w:cs="Times New Roman"/>
          <w:noProof/>
          <w:lang w:val="pl-PL"/>
        </w:rPr>
      </w:pPr>
      <w:r>
        <w:rPr>
          <w:rFonts w:ascii="Times New Roman" w:hAnsi="Times New Roman"/>
          <w:noProof/>
          <w:lang w:val="pl-PL"/>
        </w:rPr>
        <w:t>Saldo tekućeg računa poboljšao se u 2017. te je bio uglavnom uravnotežen, a negativni NIIP bio je stabilan. Vanjske slabosti i dalje su ograničene s obzirom na to da najveći dio inozemnih obveza čine izravna strana ulaganja. U 2017. ponov</w:t>
      </w:r>
      <w:r>
        <w:rPr>
          <w:rFonts w:ascii="Times New Roman" w:hAnsi="Times New Roman"/>
          <w:noProof/>
          <w:lang w:val="pl-PL"/>
        </w:rPr>
        <w:t>no je ostvaren snažan rast udjela na izvoznom tržištu, Rast nominalnih jediničnih troškova rada ograničen je, dok produktivnost i plaće rastu. Udio duga privatnog sektora u BDP-u smanjio se u 2017. kao odraz snažnog rasta BDP-a i aprecijacije zlota u odnos</w:t>
      </w:r>
      <w:r>
        <w:rPr>
          <w:rFonts w:ascii="Times New Roman" w:hAnsi="Times New Roman"/>
          <w:noProof/>
          <w:lang w:val="pl-PL"/>
        </w:rPr>
        <w:t>u na valute u kojima je denominiran dio neotplaćenog duga. Već ionako relativno nizak, udio duga opće države u BDP-u dodatno se smanjio zahvaljujući brzom nominalnom gospodarskom rastu, manjem ukupnom deficitu i aprecijaciji zlota. Rizici bankarskog sektor</w:t>
      </w:r>
      <w:r>
        <w:rPr>
          <w:rFonts w:ascii="Times New Roman" w:hAnsi="Times New Roman"/>
          <w:noProof/>
          <w:lang w:val="pl-PL"/>
        </w:rPr>
        <w:t>a i dalje su ograničeni. Dobri rezultati na tržištu rada nastavili su se, što je dovelo do pada stope nezaposlenosti na vrlo nisku razinu.</w:t>
      </w:r>
    </w:p>
    <w:p w:rsidR="00B26ED3" w:rsidRDefault="003423C1">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 xml:space="preserve">Ukupno gledano, pri ekonomskom tumačenju ističu se problemi povezani s neto stanjem međunarodnih ulaganja, premda se </w:t>
      </w:r>
      <w:r>
        <w:rPr>
          <w:rFonts w:ascii="Times New Roman" w:hAnsi="Times New Roman"/>
          <w:i/>
          <w:noProof/>
          <w:lang w:val="pl-PL"/>
        </w:rPr>
        <w:t xml:space="preserve">čini da su rizici ograničeni. Stoga Komisija smatra da u ovoj fazi nije potrebno provesti detaljno preispitivanje u okviru PMN-a. </w:t>
      </w:r>
    </w:p>
    <w:p w:rsidR="00B26ED3" w:rsidRDefault="00B26ED3">
      <w:pPr>
        <w:spacing w:after="160" w:line="259" w:lineRule="auto"/>
        <w:jc w:val="both"/>
        <w:rPr>
          <w:rFonts w:ascii="Times New Roman" w:eastAsia="Calibri" w:hAnsi="Times New Roman" w:cs="Times New Roman"/>
          <w:i/>
          <w:noProof/>
          <w:lang w:val="pl-PL"/>
        </w:rPr>
      </w:pPr>
    </w:p>
    <w:p w:rsidR="00B26ED3" w:rsidRDefault="003423C1">
      <w:pPr>
        <w:spacing w:after="160" w:line="259" w:lineRule="auto"/>
        <w:jc w:val="both"/>
        <w:rPr>
          <w:rFonts w:ascii="Times New Roman" w:eastAsia="Calibri" w:hAnsi="Times New Roman" w:cs="Times New Roman"/>
          <w:b/>
          <w:noProof/>
          <w:lang w:val="pl-PL"/>
        </w:rPr>
      </w:pPr>
      <w:r>
        <w:rPr>
          <w:noProof/>
          <w:lang w:eastAsia="en-GB"/>
        </w:rPr>
        <w:drawing>
          <wp:anchor distT="0" distB="0" distL="114300" distR="114300" simplePos="0" relativeHeight="251674624" behindDoc="0" locked="0" layoutInCell="1" allowOverlap="1">
            <wp:simplePos x="0" y="0"/>
            <wp:positionH relativeFrom="column">
              <wp:posOffset>3110230</wp:posOffset>
            </wp:positionH>
            <wp:positionV relativeFrom="paragraph">
              <wp:posOffset>1270</wp:posOffset>
            </wp:positionV>
            <wp:extent cx="2590800" cy="290512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08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pl-PL"/>
        </w:rPr>
        <w:t xml:space="preserve">Portugal: </w:t>
      </w:r>
      <w:r>
        <w:rPr>
          <w:rFonts w:ascii="Times New Roman" w:hAnsi="Times New Roman"/>
          <w:noProof/>
          <w:lang w:val="pl-PL"/>
        </w:rPr>
        <w:t xml:space="preserve">U ožujku 2018. Komisija je utvrdila </w:t>
      </w:r>
      <w:r>
        <w:rPr>
          <w:rFonts w:ascii="Times New Roman" w:hAnsi="Times New Roman"/>
          <w:i/>
          <w:noProof/>
          <w:lang w:val="pl-PL"/>
        </w:rPr>
        <w:t>makroekonomske neravnoteže</w:t>
      </w:r>
      <w:r>
        <w:rPr>
          <w:rFonts w:ascii="Times New Roman" w:hAnsi="Times New Roman"/>
          <w:noProof/>
          <w:lang w:val="pl-PL"/>
        </w:rPr>
        <w:t xml:space="preserve"> u Portugalu, posebno u pogledu visoke razine neto </w:t>
      </w:r>
      <w:r>
        <w:rPr>
          <w:rFonts w:ascii="Times New Roman" w:hAnsi="Times New Roman"/>
          <w:noProof/>
          <w:lang w:val="pl-PL"/>
        </w:rPr>
        <w:t>vanjskih obveza, privatnog i javnog duga te visokog udjela loših kredita u kontekstu niskog rasta produktivnosti. U ažuriranoj tablici rezultata više pokazatelja prelazi indikativni prag, i to neto stanje međunarodnih ulaganja (NIIP), državni dug, privatni</w:t>
      </w:r>
      <w:r>
        <w:rPr>
          <w:rFonts w:ascii="Times New Roman" w:hAnsi="Times New Roman"/>
          <w:noProof/>
          <w:lang w:val="pl-PL"/>
        </w:rPr>
        <w:t xml:space="preserve"> dug, nezaposlenost i rast realnih cijena stambenih nekretnina.</w:t>
      </w:r>
    </w:p>
    <w:p w:rsidR="00B26ED3" w:rsidRDefault="003423C1">
      <w:pPr>
        <w:spacing w:after="160" w:line="259" w:lineRule="auto"/>
        <w:jc w:val="both"/>
        <w:rPr>
          <w:rFonts w:ascii="Times New Roman" w:eastAsia="Calibri" w:hAnsi="Times New Roman" w:cs="Times New Roman"/>
          <w:noProof/>
          <w:lang w:val="pl-PL"/>
        </w:rPr>
      </w:pPr>
      <w:r>
        <w:rPr>
          <w:rFonts w:ascii="Times New Roman" w:hAnsi="Times New Roman"/>
          <w:noProof/>
          <w:lang w:val="pl-PL"/>
        </w:rPr>
        <w:t>Stanje tekućeg računa stabilno je i pokazuje mali suficit, dok je NIIP i dalje izrazito negativan te se očekuje da će tempo prilagodbe ostati vrlo spor. Pri neznatnoj aprecijaciji realne efekt</w:t>
      </w:r>
      <w:r>
        <w:rPr>
          <w:rFonts w:ascii="Times New Roman" w:hAnsi="Times New Roman"/>
          <w:noProof/>
          <w:lang w:val="pl-PL"/>
        </w:rPr>
        <w:t>ivne tečajne stope cjenovna konkurentnost u 2017. blago se smanjila. Rast nominalnih jediničnih troškova rada blago se povećao, dok je rast produktivnosti u 2017. bio negativan. Ipak, ta su kretanja općenito u skladu s onima koja se bilježe kod trgovinskih</w:t>
      </w:r>
      <w:r>
        <w:rPr>
          <w:rFonts w:ascii="Times New Roman" w:hAnsi="Times New Roman"/>
          <w:noProof/>
          <w:lang w:val="pl-PL"/>
        </w:rPr>
        <w:t xml:space="preserve"> partnera te je došlo do rasta udjela na izvoznom tržištu. U tijeku je proces privatnog razduživanja, a kreditni rast i dalje je slab. Državni dug i dalje je vrlo visok, ali se očekuje da će postupno padati. Banke su znatno ojačale svoje bilance i neto doh</w:t>
      </w:r>
      <w:r>
        <w:rPr>
          <w:rFonts w:ascii="Times New Roman" w:hAnsi="Times New Roman"/>
          <w:noProof/>
          <w:lang w:val="pl-PL"/>
        </w:rPr>
        <w:t xml:space="preserve">odak, ali su slabosti i dalje prisutne s obzirom na to da su razine loših kredita i dalje visoke, unatoč smanjenju koje je zabilježeno u posljednje vrijeme. Cijene stambenih nekretnina i dalje snažno rastu, ali nakon razdoblja podcijenjenosti i u uvjetima </w:t>
      </w:r>
      <w:r>
        <w:rPr>
          <w:rFonts w:ascii="Times New Roman" w:hAnsi="Times New Roman"/>
          <w:noProof/>
          <w:lang w:val="pl-PL"/>
        </w:rPr>
        <w:t xml:space="preserve">uglavnom stabilne razine hipotekarnih kredita. Tržište rada iskoristilo je pozitivan gospodarski ciklus te je posljednjih godina ostvarilo sveobuhvatno poboljšanje i nezaposlenost je znatno pala. </w:t>
      </w:r>
    </w:p>
    <w:p w:rsidR="00B26ED3" w:rsidRDefault="003423C1">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Ukupno gledano, pri ekonomskom tumačenju ističu se problemi</w:t>
      </w:r>
      <w:r>
        <w:rPr>
          <w:rFonts w:ascii="Times New Roman" w:hAnsi="Times New Roman"/>
          <w:i/>
          <w:noProof/>
          <w:lang w:val="pl-PL"/>
        </w:rPr>
        <w:t xml:space="preserve"> povezani s neravnotežama varijabli stanja, posebno neto vanjske obveze, javni i privatni dug, slabosti bankarskog sektora i nizak rast produktivnosti. Stoga Komisija smatra, među ostalim i zbog neravnoteže utvrđene u ožujku 2018., da bi bilo dobro detaljn</w:t>
      </w:r>
      <w:r>
        <w:rPr>
          <w:rFonts w:ascii="Times New Roman" w:hAnsi="Times New Roman"/>
          <w:i/>
          <w:noProof/>
          <w:lang w:val="pl-PL"/>
        </w:rPr>
        <w:t>ije ispitati postojanost neravnoteža ili njihovo postupno uklanjanje.</w:t>
      </w:r>
    </w:p>
    <w:p w:rsidR="00B26ED3" w:rsidRDefault="00B26ED3">
      <w:pPr>
        <w:spacing w:after="160" w:line="259" w:lineRule="auto"/>
        <w:jc w:val="both"/>
        <w:rPr>
          <w:rFonts w:ascii="Times New Roman" w:eastAsia="Calibri" w:hAnsi="Times New Roman" w:cs="Times New Roman"/>
          <w:i/>
          <w:noProof/>
          <w:lang w:val="pl-PL"/>
        </w:rPr>
      </w:pPr>
    </w:p>
    <w:p w:rsidR="00B26ED3" w:rsidRDefault="00B26ED3">
      <w:pPr>
        <w:spacing w:after="160" w:line="259" w:lineRule="auto"/>
        <w:jc w:val="both"/>
        <w:rPr>
          <w:rFonts w:ascii="Times New Roman" w:eastAsia="Calibri" w:hAnsi="Times New Roman" w:cs="Times New Roman"/>
          <w:i/>
          <w:noProof/>
          <w:lang w:val="pl-PL"/>
        </w:rPr>
      </w:pPr>
    </w:p>
    <w:p w:rsidR="00B26ED3" w:rsidRDefault="00B26ED3">
      <w:pPr>
        <w:spacing w:after="160" w:line="259" w:lineRule="auto"/>
        <w:jc w:val="both"/>
        <w:rPr>
          <w:rFonts w:ascii="Times New Roman" w:eastAsia="Calibri" w:hAnsi="Times New Roman" w:cs="Times New Roman"/>
          <w:i/>
          <w:noProof/>
          <w:lang w:val="pl-PL"/>
        </w:rPr>
      </w:pPr>
    </w:p>
    <w:p w:rsidR="00B26ED3" w:rsidRDefault="00B26ED3">
      <w:pPr>
        <w:spacing w:after="160" w:line="259" w:lineRule="auto"/>
        <w:jc w:val="both"/>
        <w:rPr>
          <w:rFonts w:ascii="Times New Roman" w:eastAsia="Calibri" w:hAnsi="Times New Roman" w:cs="Times New Roman"/>
          <w:i/>
          <w:noProof/>
          <w:lang w:val="pl-PL"/>
        </w:rPr>
      </w:pPr>
    </w:p>
    <w:p w:rsidR="00B26ED3" w:rsidRDefault="00B26ED3">
      <w:pPr>
        <w:spacing w:after="160" w:line="259" w:lineRule="auto"/>
        <w:jc w:val="both"/>
        <w:rPr>
          <w:rFonts w:ascii="Times New Roman" w:eastAsia="Calibri" w:hAnsi="Times New Roman" w:cs="Times New Roman"/>
          <w:i/>
          <w:noProof/>
          <w:lang w:val="pl-PL"/>
        </w:rPr>
      </w:pPr>
    </w:p>
    <w:p w:rsidR="00B26ED3" w:rsidRDefault="00B26ED3">
      <w:pPr>
        <w:spacing w:after="160" w:line="259" w:lineRule="auto"/>
        <w:jc w:val="both"/>
        <w:rPr>
          <w:rFonts w:ascii="Times New Roman" w:eastAsia="Calibri" w:hAnsi="Times New Roman" w:cs="Times New Roman"/>
          <w:i/>
          <w:noProof/>
          <w:lang w:val="pl-PL"/>
        </w:rPr>
      </w:pPr>
    </w:p>
    <w:p w:rsidR="00B26ED3" w:rsidRDefault="00B26ED3">
      <w:pPr>
        <w:spacing w:after="160" w:line="259" w:lineRule="auto"/>
        <w:jc w:val="both"/>
        <w:rPr>
          <w:rFonts w:ascii="Times New Roman" w:eastAsia="Calibri" w:hAnsi="Times New Roman" w:cs="Times New Roman"/>
          <w:i/>
          <w:noProof/>
          <w:lang w:val="pl-PL"/>
        </w:rPr>
      </w:pPr>
    </w:p>
    <w:p w:rsidR="00B26ED3" w:rsidRDefault="00B26ED3">
      <w:pPr>
        <w:spacing w:after="160" w:line="259" w:lineRule="auto"/>
        <w:jc w:val="both"/>
        <w:rPr>
          <w:rFonts w:ascii="Times New Roman" w:eastAsia="Calibri" w:hAnsi="Times New Roman" w:cs="Times New Roman"/>
          <w:i/>
          <w:noProof/>
          <w:lang w:val="pl-PL"/>
        </w:rPr>
      </w:pPr>
    </w:p>
    <w:p w:rsidR="00B26ED3" w:rsidRDefault="003423C1">
      <w:pPr>
        <w:spacing w:after="160" w:line="259" w:lineRule="auto"/>
        <w:jc w:val="both"/>
        <w:rPr>
          <w:noProof/>
          <w:lang w:val="pl-PL"/>
        </w:rPr>
      </w:pPr>
      <w:r>
        <w:rPr>
          <w:noProof/>
          <w:lang w:eastAsia="en-GB"/>
        </w:rPr>
        <w:drawing>
          <wp:anchor distT="0" distB="0" distL="114300" distR="114300" simplePos="0" relativeHeight="251675648" behindDoc="0" locked="0" layoutInCell="1" allowOverlap="1">
            <wp:simplePos x="0" y="0"/>
            <wp:positionH relativeFrom="column">
              <wp:posOffset>2937510</wp:posOffset>
            </wp:positionH>
            <wp:positionV relativeFrom="paragraph">
              <wp:posOffset>621665</wp:posOffset>
            </wp:positionV>
            <wp:extent cx="2772410" cy="279082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7241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lang w:val="pl-PL"/>
        </w:rPr>
        <w:t>Rumunjska:</w:t>
      </w:r>
      <w:r>
        <w:rPr>
          <w:rFonts w:ascii="Times New Roman" w:hAnsi="Times New Roman"/>
          <w:noProof/>
          <w:lang w:val="pl-PL"/>
        </w:rPr>
        <w:t xml:space="preserve"> U prethodnom ciklusu PMN-a u Rumunjskoj </w:t>
      </w:r>
      <w:r>
        <w:rPr>
          <w:rFonts w:ascii="Times New Roman" w:hAnsi="Times New Roman"/>
          <w:i/>
          <w:noProof/>
          <w:lang w:val="pl-PL"/>
        </w:rPr>
        <w:t>nisu utvrđene makroekonomske neravnoteže</w:t>
      </w:r>
      <w:r>
        <w:rPr>
          <w:rFonts w:ascii="Times New Roman" w:hAnsi="Times New Roman"/>
          <w:noProof/>
          <w:lang w:val="pl-PL"/>
        </w:rPr>
        <w:t xml:space="preserve">. U ažuriranoj tablici rezultata jedan pokazatelj prelazi indikativni prag, i to neto </w:t>
      </w:r>
      <w:r>
        <w:rPr>
          <w:rFonts w:ascii="Times New Roman" w:hAnsi="Times New Roman"/>
          <w:noProof/>
          <w:lang w:val="pl-PL"/>
        </w:rPr>
        <w:t>stanje međunarodnih ulaganja (NIIP).</w:t>
      </w:r>
      <w:r>
        <w:rPr>
          <w:rFonts w:ascii="Times New Roman" w:hAnsi="Times New Roman"/>
          <w:i/>
          <w:noProof/>
          <w:lang w:val="pl-PL"/>
        </w:rPr>
        <w:t xml:space="preserve"> </w:t>
      </w:r>
    </w:p>
    <w:p w:rsidR="00B26ED3" w:rsidRDefault="003423C1">
      <w:pPr>
        <w:spacing w:after="160" w:line="259" w:lineRule="auto"/>
        <w:jc w:val="both"/>
        <w:rPr>
          <w:rFonts w:ascii="Times New Roman" w:eastAsia="Calibri" w:hAnsi="Times New Roman" w:cs="Times New Roman"/>
          <w:noProof/>
          <w:lang w:val="pl-PL"/>
        </w:rPr>
      </w:pPr>
      <w:r>
        <w:rPr>
          <w:rFonts w:ascii="Times New Roman" w:hAnsi="Times New Roman"/>
          <w:noProof/>
          <w:lang w:val="pl-PL"/>
        </w:rPr>
        <w:t>Deficit tekućeg računa nastavio se pogoršavati u 2017. zbog ubrzanog rasta uvoza, prije svega robe široke potrošnje. Unatoč povećanju deficita tekućeg računa, negativni NIIP, koji se najvećim dijelom sastoji od izravni</w:t>
      </w:r>
      <w:r>
        <w:rPr>
          <w:rFonts w:ascii="Times New Roman" w:hAnsi="Times New Roman"/>
          <w:noProof/>
          <w:lang w:val="pl-PL"/>
        </w:rPr>
        <w:t>h stranih ulaganja, dodatno se poboljšao zahvaljujući snažnom rastu nominalnog BDP-a. Izvoz je u 2017. nastavio bilježiti dobre rezultate i Rumunjska je dodatno povećala svoje udjele na izvoznom tržištu. Međutim, jedinični troškovi rada znatno su porasli u</w:t>
      </w:r>
      <w:r>
        <w:rPr>
          <w:rFonts w:ascii="Times New Roman" w:hAnsi="Times New Roman"/>
          <w:noProof/>
          <w:lang w:val="pl-PL"/>
        </w:rPr>
        <w:t xml:space="preserve"> 2017. zbog povećanog rasta plaća, osobito u javnom sektoru. Iako su izvozni rezultati Rumunjske zasada dobri, iskustva iz prošlosti ukazuju na to da bi se rast plaća u javnom sektoru mogao preliti i na privatni sektor, što bi u budućnosti moglo dovesti do</w:t>
      </w:r>
      <w:r>
        <w:rPr>
          <w:rFonts w:ascii="Times New Roman" w:hAnsi="Times New Roman"/>
          <w:noProof/>
          <w:lang w:val="pl-PL"/>
        </w:rPr>
        <w:t xml:space="preserve"> gubitaka troškovne konkurentnosti. Rast realnih cijena stambenih nekretnina neznatno se smanjio u 2017. te je ostao umjeren. Bankarski sektor i dalje je dobro kapitaliziran i likvidan. Rast kredita privatnom sektoru blago se ubrzao, ali je i dalje ogranič</w:t>
      </w:r>
      <w:r>
        <w:rPr>
          <w:rFonts w:ascii="Times New Roman" w:hAnsi="Times New Roman"/>
          <w:noProof/>
          <w:lang w:val="pl-PL"/>
        </w:rPr>
        <w:t>en. Stopa nezaposlenosti dodatno se smanjila u 2017. kao odraz sve napetijeg tržišta rada, dok se stopa aktivnosti malo poboljšala. S obzirom na snažan rast nominalnog BDP-a, udjeli privatnog i javnog duga u BDP-u smanjili su se te su i dalje relativno nis</w:t>
      </w:r>
      <w:r>
        <w:rPr>
          <w:rFonts w:ascii="Times New Roman" w:hAnsi="Times New Roman"/>
          <w:noProof/>
          <w:lang w:val="pl-PL"/>
        </w:rPr>
        <w:t>ki. Međutim, očekuje se da će smjer fiskalne politike ostati ekspanzivan u srednjem roku unatoč povoljnim gospodarskim uvjetima te bi mogao imati negativan učinak na javni dug i dinamiku tekućeg računa. I pogoršanje trgovinskog deficita i ubrzavanje jedini</w:t>
      </w:r>
      <w:r>
        <w:rPr>
          <w:rFonts w:ascii="Times New Roman" w:hAnsi="Times New Roman"/>
          <w:noProof/>
          <w:lang w:val="pl-PL"/>
        </w:rPr>
        <w:t>čnih troškova rada povezani su s nepromijenjenom procikličkom politikom vlade, koja stimulira već ionako snažan gospodarski rast učestalim smanjenjima poreza i povećanjima plaća u javnom sektoru. Osim toga, česte i nepredvidive zakonodavne promjene pridono</w:t>
      </w:r>
      <w:r>
        <w:rPr>
          <w:rFonts w:ascii="Times New Roman" w:hAnsi="Times New Roman"/>
          <w:noProof/>
          <w:lang w:val="pl-PL"/>
        </w:rPr>
        <w:t xml:space="preserve">se nesigurnosti poslovnog okruženja, što ima negativne posljedice za poslovne odluke i ulaganja i može utjecati na privlačnost zemlje za strana ulaganja.  </w:t>
      </w:r>
    </w:p>
    <w:p w:rsidR="00B26ED3" w:rsidRDefault="003423C1">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Ekonomsko tumačenje upućuje na to da su se slabosti povećale, posebno u pogledu vanjske pozicije i k</w:t>
      </w:r>
      <w:r>
        <w:rPr>
          <w:rFonts w:ascii="Times New Roman" w:hAnsi="Times New Roman"/>
          <w:i/>
          <w:noProof/>
          <w:lang w:val="pl-PL"/>
        </w:rPr>
        <w:t>onkurentnosti. Ukupno gledano, Komisija smatra da bi bilo dobro dodatno ispitati predmetne rizike u okviru detaljnog preispitivanja kako bi se utvrdilo jesu li neravnoteže prisutne.</w:t>
      </w:r>
    </w:p>
    <w:p w:rsidR="00B26ED3" w:rsidRDefault="003423C1">
      <w:pPr>
        <w:autoSpaceDE w:val="0"/>
        <w:autoSpaceDN w:val="0"/>
        <w:adjustRightInd w:val="0"/>
        <w:spacing w:after="0"/>
        <w:jc w:val="both"/>
        <w:rPr>
          <w:rFonts w:ascii="Times New Roman" w:eastAsia="Calibri" w:hAnsi="Times New Roman" w:cs="Times New Roman"/>
          <w:i/>
          <w:noProof/>
          <w:lang w:val="pl-PL"/>
        </w:rPr>
      </w:pPr>
      <w:r>
        <w:rPr>
          <w:noProof/>
          <w:lang w:eastAsia="en-GB"/>
        </w:rPr>
        <w:drawing>
          <wp:anchor distT="0" distB="0" distL="114300" distR="114300" simplePos="0" relativeHeight="251676672" behindDoc="0" locked="0" layoutInCell="1" allowOverlap="1">
            <wp:simplePos x="0" y="0"/>
            <wp:positionH relativeFrom="column">
              <wp:posOffset>3424555</wp:posOffset>
            </wp:positionH>
            <wp:positionV relativeFrom="paragraph">
              <wp:posOffset>59055</wp:posOffset>
            </wp:positionV>
            <wp:extent cx="2343150" cy="269113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3150"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ED3" w:rsidRDefault="003423C1">
      <w:pPr>
        <w:autoSpaceDE w:val="0"/>
        <w:autoSpaceDN w:val="0"/>
        <w:adjustRightInd w:val="0"/>
        <w:spacing w:after="0"/>
        <w:jc w:val="both"/>
        <w:rPr>
          <w:rFonts w:ascii="Times New Roman" w:eastAsia="Times New Roman" w:hAnsi="Times New Roman" w:cs="Times New Roman"/>
          <w:noProof/>
          <w:color w:val="000000"/>
          <w:lang w:val="pl-PL"/>
        </w:rPr>
      </w:pPr>
      <w:r>
        <w:rPr>
          <w:rFonts w:ascii="Times New Roman" w:hAnsi="Times New Roman"/>
          <w:b/>
          <w:noProof/>
          <w:color w:val="000000"/>
          <w:lang w:val="pl-PL"/>
        </w:rPr>
        <w:t xml:space="preserve">Slovenija: </w:t>
      </w:r>
      <w:r>
        <w:rPr>
          <w:rFonts w:ascii="Times New Roman" w:hAnsi="Times New Roman"/>
          <w:noProof/>
          <w:color w:val="000000"/>
          <w:lang w:val="pl-PL"/>
        </w:rPr>
        <w:t xml:space="preserve">U ožujku 2018. Komisija je zaključila da u Sloveniji </w:t>
      </w:r>
      <w:r>
        <w:rPr>
          <w:rFonts w:ascii="Times New Roman" w:hAnsi="Times New Roman"/>
          <w:i/>
          <w:noProof/>
          <w:color w:val="000000"/>
          <w:lang w:val="pl-PL"/>
        </w:rPr>
        <w:t xml:space="preserve">više </w:t>
      </w:r>
      <w:r>
        <w:rPr>
          <w:rFonts w:ascii="Times New Roman" w:hAnsi="Times New Roman"/>
          <w:i/>
          <w:noProof/>
          <w:color w:val="000000"/>
          <w:lang w:val="pl-PL"/>
        </w:rPr>
        <w:t>nisu prisutne makroekonomske neravnoteže</w:t>
      </w:r>
      <w:r>
        <w:rPr>
          <w:rFonts w:ascii="Times New Roman" w:hAnsi="Times New Roman"/>
          <w:noProof/>
          <w:color w:val="000000"/>
          <w:lang w:val="pl-PL"/>
        </w:rPr>
        <w:t xml:space="preserve">. U ažuriranoj tablici rezultata državni dug i rast realnih cijena stambenih nekretnina prelaze indikativni prag. </w:t>
      </w:r>
    </w:p>
    <w:p w:rsidR="00B26ED3" w:rsidRDefault="003423C1">
      <w:pPr>
        <w:autoSpaceDE w:val="0"/>
        <w:autoSpaceDN w:val="0"/>
        <w:adjustRightInd w:val="0"/>
        <w:spacing w:after="0" w:line="259" w:lineRule="auto"/>
        <w:jc w:val="both"/>
        <w:rPr>
          <w:rFonts w:ascii="Times New Roman" w:eastAsia="Calibri" w:hAnsi="Times New Roman" w:cs="Times New Roman"/>
          <w:noProof/>
          <w:lang w:val="it-IT"/>
        </w:rPr>
      </w:pPr>
      <w:r>
        <w:rPr>
          <w:rFonts w:ascii="Times New Roman" w:hAnsi="Times New Roman"/>
          <w:noProof/>
          <w:lang w:val="pl-PL"/>
        </w:rPr>
        <w:t xml:space="preserve">Znatan suficit tekućeg računa dodatno se povećao u 2017. zbog snažnog rasta izvoza. </w:t>
      </w:r>
      <w:r>
        <w:rPr>
          <w:rFonts w:ascii="Times New Roman" w:hAnsi="Times New Roman"/>
          <w:noProof/>
          <w:lang w:val="it-IT"/>
        </w:rPr>
        <w:t>Negativni NIIP zn</w:t>
      </w:r>
      <w:r>
        <w:rPr>
          <w:rFonts w:ascii="Times New Roman" w:hAnsi="Times New Roman"/>
          <w:noProof/>
          <w:lang w:val="it-IT"/>
        </w:rPr>
        <w:t>atno se poboljšao i više ne prelazi prag. Udjeli na izvoznom tržištu povećali su se uz ograničen rast jediničnih troškova rada i deprecijaciju realne efektivne tečajne stope. Privatni dug dodatno se smanjio velikim dijelom zahvaljujući korporativnom sektor</w:t>
      </w:r>
      <w:r>
        <w:rPr>
          <w:rFonts w:ascii="Times New Roman" w:hAnsi="Times New Roman"/>
          <w:noProof/>
          <w:lang w:val="it-IT"/>
        </w:rPr>
        <w:t>u, dok je dotok kredita u privatni sektor dobio pozitivan predznak. Stanje ulaganja znatno se poboljšalo, ali je i dalje ispod povijesnog prosjeka. Rast cijena stambenih nekretnina bio je nešto brži nego u prethodnim godinama, dok su ulaganja u stambene ne</w:t>
      </w:r>
      <w:r>
        <w:rPr>
          <w:rFonts w:ascii="Times New Roman" w:hAnsi="Times New Roman"/>
          <w:noProof/>
          <w:lang w:val="it-IT"/>
        </w:rPr>
        <w:t>kretnine stabilna, a rast hipotekarnih kredita ograničen. Državni dug i dalje je visok, ali se smanjio nakon najveće vrijednosti zabilježene 2015. Predviđeni troškovi povezani sa starenjem i dalje predstavljaju rizik za srednjoročnu i dugoročnu fiskalnu od</w:t>
      </w:r>
      <w:r>
        <w:rPr>
          <w:rFonts w:ascii="Times New Roman" w:hAnsi="Times New Roman"/>
          <w:noProof/>
          <w:lang w:val="it-IT"/>
        </w:rPr>
        <w:t>rživost. Bankarski se sektor stabilizirao i njegova zaduženost se smanjuje dok relativno visok udio loših kredita i dalje slijedi silazni trend te se očekuje njegovo dodatno smanjenje. Stanje na tržištu rada dodatno se poboljšalo, uz povećanje stope aktivn</w:t>
      </w:r>
      <w:r>
        <w:rPr>
          <w:rFonts w:ascii="Times New Roman" w:hAnsi="Times New Roman"/>
          <w:noProof/>
          <w:lang w:val="it-IT"/>
        </w:rPr>
        <w:t xml:space="preserve">osti i smanjenje stope nezaposlenosti. I rast produktivnosti rada ponešto se ubrzao u 2017. </w:t>
      </w:r>
    </w:p>
    <w:p w:rsidR="00B26ED3" w:rsidRDefault="00B26ED3">
      <w:pPr>
        <w:autoSpaceDE w:val="0"/>
        <w:autoSpaceDN w:val="0"/>
        <w:adjustRightInd w:val="0"/>
        <w:spacing w:after="0" w:line="259" w:lineRule="auto"/>
        <w:jc w:val="both"/>
        <w:rPr>
          <w:rFonts w:ascii="Times New Roman" w:eastAsia="Calibri" w:hAnsi="Times New Roman" w:cs="Times New Roman"/>
          <w:noProof/>
          <w:lang w:val="it-IT"/>
        </w:rPr>
      </w:pPr>
    </w:p>
    <w:p w:rsidR="00B26ED3" w:rsidRDefault="003423C1">
      <w:pPr>
        <w:autoSpaceDE w:val="0"/>
        <w:autoSpaceDN w:val="0"/>
        <w:adjustRightInd w:val="0"/>
        <w:spacing w:after="0" w:line="259" w:lineRule="auto"/>
        <w:jc w:val="both"/>
        <w:rPr>
          <w:rFonts w:ascii="Times New Roman" w:eastAsia="Calibri" w:hAnsi="Times New Roman" w:cs="Times New Roman"/>
          <w:i/>
          <w:noProof/>
          <w:lang w:val="it-IT"/>
        </w:rPr>
      </w:pPr>
      <w:r>
        <w:rPr>
          <w:rFonts w:ascii="Times New Roman" w:hAnsi="Times New Roman"/>
          <w:i/>
          <w:noProof/>
          <w:lang w:val="it-IT"/>
        </w:rPr>
        <w:t>Ukupno gledano, pri ekonomskom tumačenju ističu se uglavnom problemi povezani s dugoročnom fiskalnom održivosti. Stoga Komisija u ovoj fazi smatra da nije potrebn</w:t>
      </w:r>
      <w:r>
        <w:rPr>
          <w:rFonts w:ascii="Times New Roman" w:hAnsi="Times New Roman"/>
          <w:i/>
          <w:noProof/>
          <w:lang w:val="it-IT"/>
        </w:rPr>
        <w:t>o provoditi daljnje detaljno preispitivanje u okviru PMN-a.</w:t>
      </w:r>
    </w:p>
    <w:p w:rsidR="00B26ED3" w:rsidRDefault="00B26ED3">
      <w:pPr>
        <w:spacing w:after="160" w:line="259" w:lineRule="auto"/>
        <w:jc w:val="both"/>
        <w:rPr>
          <w:rFonts w:ascii="Times New Roman" w:eastAsia="Calibri" w:hAnsi="Times New Roman" w:cs="Times New Roman"/>
          <w:noProof/>
          <w:lang w:val="it-IT"/>
        </w:rPr>
      </w:pPr>
    </w:p>
    <w:p w:rsidR="00B26ED3" w:rsidRDefault="003423C1">
      <w:pPr>
        <w:spacing w:after="160" w:line="259" w:lineRule="auto"/>
        <w:jc w:val="both"/>
        <w:rPr>
          <w:rFonts w:ascii="Times New Roman" w:eastAsia="Calibri" w:hAnsi="Times New Roman" w:cs="Times New Roman"/>
          <w:noProof/>
          <w:lang w:val="it-IT"/>
        </w:rPr>
      </w:pPr>
      <w:r>
        <w:rPr>
          <w:rFonts w:ascii="Times New Roman" w:hAnsi="Times New Roman"/>
          <w:b/>
          <w:noProof/>
          <w:lang w:val="it-IT"/>
        </w:rPr>
        <w:t>Slovačka</w:t>
      </w:r>
      <w:r>
        <w:rPr>
          <w:rFonts w:ascii="Times New Roman" w:hAnsi="Times New Roman"/>
          <w:noProof/>
          <w:lang w:val="it-IT"/>
        </w:rPr>
        <w:t xml:space="preserve">: U prethodnom ciklusu PMN-a u Slovačkoj </w:t>
      </w:r>
      <w:r>
        <w:rPr>
          <w:rFonts w:ascii="Times New Roman" w:hAnsi="Times New Roman"/>
          <w:i/>
          <w:noProof/>
          <w:lang w:val="it-IT"/>
        </w:rPr>
        <w:t>nisu utvrđene makroekonomske neravnoteže</w:t>
      </w:r>
      <w:r>
        <w:rPr>
          <w:rFonts w:ascii="Times New Roman" w:hAnsi="Times New Roman"/>
          <w:noProof/>
          <w:lang w:val="it-IT"/>
        </w:rPr>
        <w:t>. U ažuriranoj tablici rezultata neto stanje međunarodnih ulaganja (NIIP) i ukupne obveze financijskog sek</w:t>
      </w:r>
      <w:r>
        <w:rPr>
          <w:rFonts w:ascii="Times New Roman" w:hAnsi="Times New Roman"/>
          <w:noProof/>
          <w:lang w:val="it-IT"/>
        </w:rPr>
        <w:t>tora prelaze indikativni prag.</w:t>
      </w:r>
    </w:p>
    <w:p w:rsidR="00B26ED3" w:rsidRDefault="003423C1">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7696" behindDoc="0" locked="0" layoutInCell="1" allowOverlap="1">
            <wp:simplePos x="0" y="0"/>
            <wp:positionH relativeFrom="column">
              <wp:posOffset>2948305</wp:posOffset>
            </wp:positionH>
            <wp:positionV relativeFrom="paragraph">
              <wp:posOffset>3175</wp:posOffset>
            </wp:positionV>
            <wp:extent cx="2847975" cy="2867025"/>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797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it-IT"/>
        </w:rPr>
        <w:t>Deficit tekućeg računa dodatno se povećao u 2017., ali je, ukupno gledano, i dalje umjeren. NIIP je znatno negativan unatoč određenim poboljšanjima koja su zabilježena u posljednje vrijeme, ali su rizici ograničeni jer se ve</w:t>
      </w:r>
      <w:r>
        <w:rPr>
          <w:rFonts w:ascii="Times New Roman" w:hAnsi="Times New Roman"/>
          <w:noProof/>
          <w:lang w:val="it-IT"/>
        </w:rPr>
        <w:t>liki dio inozemnih obveza odnosi na izravna strana ulaganja, osobito u automobilskoj industriji, koja je u ekspanziji, te u financijskom sektoru. Udjeli na izvoznom tržištu i realna efektivna tečajna stopa uglavnom su stabilni. Rast nominalnih jediničnih t</w:t>
      </w:r>
      <w:r>
        <w:rPr>
          <w:rFonts w:ascii="Times New Roman" w:hAnsi="Times New Roman"/>
          <w:noProof/>
          <w:lang w:val="it-IT"/>
        </w:rPr>
        <w:t>roškova rada povećao se potaknut snažnim rastom plaća u kontekstu sve napetijeg tržišta rada. Cijene stambenih nekretnina i dalje bilježe snažan rast, ali je on u 2017. ipak bio nešto sporiji nego u 2016., pa je stopa rasta dosegla graničnu vrijednost unut</w:t>
      </w:r>
      <w:r>
        <w:rPr>
          <w:rFonts w:ascii="Times New Roman" w:hAnsi="Times New Roman"/>
          <w:noProof/>
          <w:lang w:val="it-IT"/>
        </w:rPr>
        <w:t xml:space="preserve">ar praga. Krediti privatnog sektora malo su se usporili, dok se udio privatnog duga u BDP-u stalno povećavao. </w:t>
      </w:r>
      <w:r>
        <w:rPr>
          <w:rFonts w:ascii="Times New Roman" w:hAnsi="Times New Roman"/>
          <w:noProof/>
          <w:lang w:val="pl-PL"/>
        </w:rPr>
        <w:t>Bankarski sektor, koji je uglavnom u stranom vlasništvu, dobro je kapitaliziran. Daljnja smanjenja ukupne i dugotrajne nezaposlenosti popraćena su</w:t>
      </w:r>
      <w:r>
        <w:rPr>
          <w:rFonts w:ascii="Times New Roman" w:hAnsi="Times New Roman"/>
          <w:noProof/>
          <w:lang w:val="pl-PL"/>
        </w:rPr>
        <w:t xml:space="preserve"> povećanjima stope sudjelovanja na tržištu rada. </w:t>
      </w:r>
    </w:p>
    <w:p w:rsidR="00B26ED3" w:rsidRDefault="003423C1">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Ukupno gledano, pri ekonomskom tumačenju ističu se problemi povezani s vanjskim aspektima, tržištem stambenih nekretnina i kreditnim rastom, premda se rizik zasada čini ograničenim. Stoga Komisija u ovoj fa</w:t>
      </w:r>
      <w:r>
        <w:rPr>
          <w:rFonts w:ascii="Times New Roman" w:hAnsi="Times New Roman"/>
          <w:i/>
          <w:noProof/>
          <w:lang w:val="pl-PL"/>
        </w:rPr>
        <w:t xml:space="preserve">zi neće provoditi daljnje detaljno preispitivanje u okviru PMN-a. </w:t>
      </w:r>
    </w:p>
    <w:p w:rsidR="00B26ED3" w:rsidRDefault="00B26ED3">
      <w:pPr>
        <w:spacing w:after="160" w:line="259" w:lineRule="auto"/>
        <w:jc w:val="both"/>
        <w:rPr>
          <w:rFonts w:ascii="Times New Roman" w:eastAsia="Calibri" w:hAnsi="Times New Roman" w:cs="Times New Roman"/>
          <w:i/>
          <w:noProof/>
          <w:lang w:val="pl-PL"/>
        </w:rPr>
      </w:pPr>
    </w:p>
    <w:p w:rsidR="00B26ED3" w:rsidRDefault="00B26ED3">
      <w:pPr>
        <w:spacing w:after="160" w:line="259" w:lineRule="auto"/>
        <w:jc w:val="both"/>
        <w:rPr>
          <w:rFonts w:ascii="Times New Roman" w:eastAsia="Calibri" w:hAnsi="Times New Roman" w:cs="Times New Roman"/>
          <w:b/>
          <w:noProof/>
          <w:lang w:val="pl-PL"/>
        </w:rPr>
      </w:pPr>
    </w:p>
    <w:p w:rsidR="00B26ED3" w:rsidRDefault="00B26ED3">
      <w:pPr>
        <w:spacing w:after="160" w:line="259" w:lineRule="auto"/>
        <w:jc w:val="both"/>
        <w:rPr>
          <w:rFonts w:ascii="Times New Roman" w:eastAsia="Calibri" w:hAnsi="Times New Roman" w:cs="Times New Roman"/>
          <w:b/>
          <w:noProof/>
          <w:lang w:val="pl-PL"/>
        </w:rPr>
      </w:pPr>
    </w:p>
    <w:p w:rsidR="00B26ED3" w:rsidRDefault="00B26ED3">
      <w:pPr>
        <w:spacing w:after="160" w:line="259" w:lineRule="auto"/>
        <w:jc w:val="both"/>
        <w:rPr>
          <w:rFonts w:ascii="Times New Roman" w:eastAsia="Calibri" w:hAnsi="Times New Roman" w:cs="Times New Roman"/>
          <w:b/>
          <w:noProof/>
          <w:lang w:val="pl-PL"/>
        </w:rPr>
      </w:pPr>
    </w:p>
    <w:p w:rsidR="00B26ED3" w:rsidRDefault="00B26ED3">
      <w:pPr>
        <w:spacing w:after="160" w:line="259" w:lineRule="auto"/>
        <w:jc w:val="both"/>
        <w:rPr>
          <w:rFonts w:ascii="Times New Roman" w:eastAsia="Calibri" w:hAnsi="Times New Roman" w:cs="Times New Roman"/>
          <w:b/>
          <w:noProof/>
          <w:lang w:val="pl-PL"/>
        </w:rPr>
      </w:pPr>
    </w:p>
    <w:p w:rsidR="00B26ED3" w:rsidRDefault="00B26ED3">
      <w:pPr>
        <w:spacing w:after="160" w:line="259" w:lineRule="auto"/>
        <w:jc w:val="both"/>
        <w:rPr>
          <w:rFonts w:ascii="Times New Roman" w:eastAsia="Calibri" w:hAnsi="Times New Roman" w:cs="Times New Roman"/>
          <w:b/>
          <w:noProof/>
          <w:lang w:val="pl-PL"/>
        </w:rPr>
      </w:pPr>
    </w:p>
    <w:p w:rsidR="00B26ED3" w:rsidRDefault="00B26ED3">
      <w:pPr>
        <w:spacing w:after="160" w:line="259" w:lineRule="auto"/>
        <w:jc w:val="both"/>
        <w:rPr>
          <w:rFonts w:ascii="Times New Roman" w:eastAsia="Calibri" w:hAnsi="Times New Roman" w:cs="Times New Roman"/>
          <w:b/>
          <w:noProof/>
          <w:lang w:val="pl-PL"/>
        </w:rPr>
      </w:pPr>
    </w:p>
    <w:p w:rsidR="00B26ED3" w:rsidRDefault="003423C1">
      <w:pPr>
        <w:spacing w:after="160" w:line="259" w:lineRule="auto"/>
        <w:jc w:val="both"/>
        <w:rPr>
          <w:rFonts w:ascii="Times New Roman" w:eastAsia="Calibri" w:hAnsi="Times New Roman" w:cs="Times New Roman"/>
          <w:b/>
          <w:noProof/>
          <w:lang w:val="pl-PL"/>
        </w:rPr>
      </w:pPr>
      <w:r>
        <w:rPr>
          <w:rFonts w:ascii="Times New Roman" w:hAnsi="Times New Roman"/>
          <w:b/>
          <w:noProof/>
          <w:lang w:val="pl-PL"/>
        </w:rPr>
        <w:t xml:space="preserve">Finska: </w:t>
      </w:r>
      <w:r>
        <w:rPr>
          <w:rFonts w:ascii="Times New Roman" w:hAnsi="Times New Roman"/>
          <w:noProof/>
          <w:lang w:val="pl-PL"/>
        </w:rPr>
        <w:t xml:space="preserve">U prethodnom ciklusu PMN-a u Finskoj </w:t>
      </w:r>
      <w:r>
        <w:rPr>
          <w:rFonts w:ascii="Times New Roman" w:hAnsi="Times New Roman"/>
          <w:i/>
          <w:noProof/>
          <w:lang w:val="pl-PL"/>
        </w:rPr>
        <w:t>nisu utvrđene makroekonomske neravnoteže</w:t>
      </w:r>
      <w:r>
        <w:rPr>
          <w:rFonts w:ascii="Times New Roman" w:hAnsi="Times New Roman"/>
          <w:noProof/>
          <w:lang w:val="pl-PL"/>
        </w:rPr>
        <w:t xml:space="preserve">. U ažuriranoj tablici rezultata više pokazatelja prelazi indikativni prag, i to razina duga privatnog sektora i državnog duga. </w:t>
      </w:r>
    </w:p>
    <w:p w:rsidR="00B26ED3" w:rsidRDefault="003423C1">
      <w:pPr>
        <w:spacing w:after="160" w:line="259" w:lineRule="auto"/>
        <w:jc w:val="both"/>
        <w:rPr>
          <w:rFonts w:ascii="Times New Roman" w:eastAsia="Calibri" w:hAnsi="Times New Roman" w:cs="Times New Roman"/>
          <w:noProof/>
          <w:lang w:val="pl-PL"/>
        </w:rPr>
      </w:pPr>
      <w:r>
        <w:rPr>
          <w:noProof/>
          <w:lang w:eastAsia="en-GB"/>
        </w:rPr>
        <w:drawing>
          <wp:anchor distT="0" distB="0" distL="114300" distR="114300" simplePos="0" relativeHeight="251678720" behindDoc="0" locked="0" layoutInCell="1" allowOverlap="1">
            <wp:simplePos x="0" y="0"/>
            <wp:positionH relativeFrom="column">
              <wp:posOffset>3186430</wp:posOffset>
            </wp:positionH>
            <wp:positionV relativeFrom="paragraph">
              <wp:posOffset>-4445</wp:posOffset>
            </wp:positionV>
            <wp:extent cx="2524125" cy="2914650"/>
            <wp:effectExtent l="0" t="0" r="9525"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41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pl-PL"/>
        </w:rPr>
        <w:t>Saldo tekućeg računa u 2017. ostao je blago negativan nakon višegodišnjeg deficita, dok je neto stanje međunarodnih ulaganja b</w:t>
      </w:r>
      <w:r>
        <w:rPr>
          <w:rFonts w:ascii="Times New Roman" w:hAnsi="Times New Roman"/>
          <w:noProof/>
          <w:lang w:val="pl-PL"/>
        </w:rPr>
        <w:t>lago pozitivno. Udjeli na izvoznom tržištu oporavljaju se drugu godinu zaredom, a pokazatelji troškovne konkurentnosti poboljšali su se u uvjetima smanjenja jediničnih troškova rada i deprecijacije realne efektivne tečajne stope. Očekuje se da će u 2018. i</w:t>
      </w:r>
      <w:r>
        <w:rPr>
          <w:rFonts w:ascii="Times New Roman" w:hAnsi="Times New Roman"/>
          <w:noProof/>
          <w:lang w:val="pl-PL"/>
        </w:rPr>
        <w:t xml:space="preserve"> 2019. rast izvoza i dalje biti brži od rasta uvoza. Međutim, očekuje se da će se pokazatelji troškovne konkurentnosti stabilizirati dok pozitivni učinak Pakta o konkurentnosti djelomično slabi. Udjeli javnog i privatnog duga u BDP-u dodatno su se smanjili</w:t>
      </w:r>
      <w:r>
        <w:rPr>
          <w:rFonts w:ascii="Times New Roman" w:hAnsi="Times New Roman"/>
          <w:noProof/>
          <w:lang w:val="pl-PL"/>
        </w:rPr>
        <w:t xml:space="preserve"> u 2017. kao odraz snažnog oporavka outputa. Međutim, povoljni uvjeti kreditiranja, niske kamatne stope i poboljšani gospodarski izgledi ubrzali su rast privatnih kredita, što bi u budućnosti moglo ograničiti razduživanje, dok je privatni dug i dalje na vi</w:t>
      </w:r>
      <w:r>
        <w:rPr>
          <w:rFonts w:ascii="Times New Roman" w:hAnsi="Times New Roman"/>
          <w:noProof/>
          <w:lang w:val="pl-PL"/>
        </w:rPr>
        <w:t xml:space="preserve">sokoj razini. Dug kućanstava visok je, a stopa štednje kućanstava rekordno je niska. Financijski sektor i dalje je dobro kapitaliziran, što ograničava rizike za financijsku stabilnost, dok relativno stabilne cijene stambenih nekretnina upućuju na smanjeni </w:t>
      </w:r>
      <w:r>
        <w:rPr>
          <w:rFonts w:ascii="Times New Roman" w:hAnsi="Times New Roman"/>
          <w:noProof/>
          <w:lang w:val="pl-PL"/>
        </w:rPr>
        <w:t xml:space="preserve">rizik za dug sektora kućanstava. Udio javnog duga se smanjuje kao odraz poboljšanog okruženja gospodarskog rasta. Zaposlenost i dalje raste, a nezaposlenost pada kao posljedica povećane gospodarske aktivnosti </w:t>
      </w:r>
    </w:p>
    <w:p w:rsidR="00B26ED3" w:rsidRDefault="003423C1">
      <w:pPr>
        <w:spacing w:after="160" w:line="259" w:lineRule="auto"/>
        <w:jc w:val="both"/>
        <w:rPr>
          <w:rFonts w:ascii="Times New Roman" w:eastAsia="Calibri" w:hAnsi="Times New Roman" w:cs="Times New Roman"/>
          <w:i/>
          <w:noProof/>
          <w:lang w:val="pl-PL"/>
        </w:rPr>
      </w:pPr>
      <w:r>
        <w:rPr>
          <w:rFonts w:ascii="Times New Roman" w:hAnsi="Times New Roman"/>
          <w:i/>
          <w:noProof/>
          <w:lang w:val="pl-PL"/>
        </w:rPr>
        <w:t>Ukupno gledano, pri ekonomskom tumačenju istič</w:t>
      </w:r>
      <w:r>
        <w:rPr>
          <w:rFonts w:ascii="Times New Roman" w:hAnsi="Times New Roman"/>
          <w:i/>
          <w:noProof/>
          <w:lang w:val="pl-PL"/>
        </w:rPr>
        <w:t xml:space="preserve">u se izazovi povezani s dugom privatnog sektora, premda se čini da su rizici ograničeni. Općenito, Komisija u ovoj fazi smatra da nije potrebno provoditi daljnje detaljno preispitivanje u okviru PMN-a. </w:t>
      </w:r>
    </w:p>
    <w:p w:rsidR="00B26ED3" w:rsidRDefault="003423C1">
      <w:pPr>
        <w:spacing w:after="160" w:line="259" w:lineRule="auto"/>
        <w:jc w:val="both"/>
        <w:rPr>
          <w:rFonts w:ascii="Times New Roman" w:eastAsia="Calibri" w:hAnsi="Times New Roman" w:cs="Times New Roman"/>
          <w:i/>
          <w:noProof/>
          <w:lang w:val="pl-PL"/>
        </w:rPr>
      </w:pPr>
      <w:r>
        <w:rPr>
          <w:noProof/>
          <w:lang w:eastAsia="en-GB"/>
        </w:rPr>
        <w:drawing>
          <wp:anchor distT="0" distB="0" distL="114300" distR="114300" simplePos="0" relativeHeight="251679744" behindDoc="0" locked="0" layoutInCell="1" allowOverlap="1">
            <wp:simplePos x="0" y="0"/>
            <wp:positionH relativeFrom="column">
              <wp:posOffset>3291205</wp:posOffset>
            </wp:positionH>
            <wp:positionV relativeFrom="paragraph">
              <wp:posOffset>8890</wp:posOffset>
            </wp:positionV>
            <wp:extent cx="2667000" cy="269367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0"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ED3" w:rsidRDefault="003423C1">
      <w:pPr>
        <w:spacing w:before="120" w:after="160" w:line="259" w:lineRule="auto"/>
        <w:jc w:val="both"/>
        <w:rPr>
          <w:rFonts w:ascii="Times New Roman" w:eastAsia="Calibri" w:hAnsi="Times New Roman" w:cs="Times New Roman"/>
          <w:noProof/>
          <w:lang w:val="pl-PL"/>
        </w:rPr>
      </w:pPr>
      <w:r>
        <w:rPr>
          <w:rFonts w:ascii="Times New Roman" w:hAnsi="Times New Roman"/>
          <w:b/>
          <w:noProof/>
          <w:lang w:val="pl-PL"/>
        </w:rPr>
        <w:t>Švedska:</w:t>
      </w:r>
      <w:r>
        <w:rPr>
          <w:rFonts w:ascii="Times New Roman" w:hAnsi="Times New Roman"/>
          <w:noProof/>
          <w:lang w:val="pl-PL"/>
        </w:rPr>
        <w:t xml:space="preserve"> U ožujku 2018. Komisija je utvrdila </w:t>
      </w:r>
      <w:r>
        <w:rPr>
          <w:rFonts w:ascii="Times New Roman" w:hAnsi="Times New Roman"/>
          <w:i/>
          <w:noProof/>
          <w:lang w:val="pl-PL"/>
        </w:rPr>
        <w:t>neravn</w:t>
      </w:r>
      <w:r>
        <w:rPr>
          <w:rFonts w:ascii="Times New Roman" w:hAnsi="Times New Roman"/>
          <w:i/>
          <w:noProof/>
          <w:lang w:val="pl-PL"/>
        </w:rPr>
        <w:t>oteže</w:t>
      </w:r>
      <w:r>
        <w:rPr>
          <w:rFonts w:ascii="Times New Roman" w:hAnsi="Times New Roman"/>
          <w:noProof/>
          <w:lang w:val="pl-PL"/>
        </w:rPr>
        <w:t xml:space="preserve"> u Švedskoj, posebno u pogledu precijenjenih stambenih nekretnina u kombinaciji s kontinuiranim rastom duga kućanstava. U ažuriranoj tablici rezultata dug privatnog sektora prelazi indikativni prag. </w:t>
      </w:r>
    </w:p>
    <w:p w:rsidR="00B26ED3" w:rsidRDefault="003423C1">
      <w:pPr>
        <w:spacing w:before="120" w:after="160" w:line="259" w:lineRule="auto"/>
        <w:jc w:val="both"/>
        <w:rPr>
          <w:rFonts w:ascii="Times New Roman" w:eastAsia="Calibri" w:hAnsi="Times New Roman" w:cs="Times New Roman"/>
          <w:noProof/>
          <w:lang w:val="nn-NO"/>
        </w:rPr>
      </w:pPr>
      <w:r>
        <w:rPr>
          <w:rFonts w:ascii="Times New Roman" w:hAnsi="Times New Roman"/>
          <w:noProof/>
          <w:lang w:val="pl-PL"/>
        </w:rPr>
        <w:t>Suficit tekućeg računa i dalje je umjeren te se u 2</w:t>
      </w:r>
      <w:r>
        <w:rPr>
          <w:rFonts w:ascii="Times New Roman" w:hAnsi="Times New Roman"/>
          <w:noProof/>
          <w:lang w:val="pl-PL"/>
        </w:rPr>
        <w:t>017. smanjio. NIIP je blago pao i sada je blizu ravnoteže. Gubici udjela na izvoznom tržištu bili su umjereniji i taj je pokazatelj sada malo ispod praga. Rast jediničnih troškova rada ograničen je i zabilježena je deprecijacija realne efektivne tečajne st</w:t>
      </w:r>
      <w:r>
        <w:rPr>
          <w:rFonts w:ascii="Times New Roman" w:hAnsi="Times New Roman"/>
          <w:noProof/>
          <w:lang w:val="pl-PL"/>
        </w:rPr>
        <w:t xml:space="preserve">ope. </w:t>
      </w:r>
      <w:r>
        <w:rPr>
          <w:rFonts w:ascii="Times New Roman" w:hAnsi="Times New Roman"/>
          <w:noProof/>
          <w:lang w:val="nn-NO"/>
        </w:rPr>
        <w:t>Dug kućanstava visok je i kontinuirano raste od 2008., uključujući i 2017.</w:t>
      </w:r>
      <w:r>
        <w:rPr>
          <w:rFonts w:ascii="Times New Roman" w:hAnsi="Times New Roman"/>
          <w:noProof/>
          <w:color w:val="000000"/>
          <w:lang w:val="nn-NO"/>
        </w:rPr>
        <w:t xml:space="preserve"> To povećanje povezano je s rastom cijena stambenih nekretnina, što upućuje na rizike za makroekonomsku stabilnost. U jesen 2017. cijene stambenih nekretnina su pale, ali su uku</w:t>
      </w:r>
      <w:r>
        <w:rPr>
          <w:rFonts w:ascii="Times New Roman" w:hAnsi="Times New Roman"/>
          <w:noProof/>
          <w:color w:val="000000"/>
          <w:lang w:val="nn-NO"/>
        </w:rPr>
        <w:t>pno gledano i dalje vrlo visoke. Rast cijena stambenih nekretnina i zaduženosti kućanstava potaknuti su povoljnim poreznim tretmanom kupnje vlastite stambene nekretnine, niskim kamatnim stopama na hipoteku i posebnim aspektima tržišta hipotekarnih kredita.</w:t>
      </w:r>
      <w:r>
        <w:rPr>
          <w:rFonts w:ascii="Times New Roman" w:hAnsi="Times New Roman"/>
          <w:noProof/>
          <w:color w:val="000000"/>
          <w:lang w:val="nn-NO"/>
        </w:rPr>
        <w:t xml:space="preserve"> Čini se da su rizici u bankarskom sustavu ograničeni s obzirom na to da su kvaliteta imovine i profitabilnost i dalje visoki, a financijsko stanje kućanstava općenito dobro. Tržište rada sve je napetije i nezaposlenost i dalje pada.</w:t>
      </w:r>
      <w:r>
        <w:rPr>
          <w:noProof/>
          <w:lang w:val="nn-NO"/>
        </w:rPr>
        <w:t xml:space="preserve"> </w:t>
      </w:r>
    </w:p>
    <w:p w:rsidR="00B26ED3" w:rsidRDefault="003423C1">
      <w:pPr>
        <w:spacing w:before="120" w:after="160" w:line="259" w:lineRule="auto"/>
        <w:jc w:val="both"/>
        <w:rPr>
          <w:rFonts w:ascii="Times New Roman" w:eastAsia="Calibri" w:hAnsi="Times New Roman" w:cs="Times New Roman"/>
          <w:i/>
          <w:noProof/>
          <w:lang w:val="nn-NO"/>
        </w:rPr>
      </w:pPr>
      <w:r>
        <w:rPr>
          <w:rFonts w:ascii="Times New Roman" w:hAnsi="Times New Roman"/>
          <w:i/>
          <w:noProof/>
          <w:lang w:val="nn-NO"/>
        </w:rPr>
        <w:t>Ukupno gledano, pri e</w:t>
      </w:r>
      <w:r>
        <w:rPr>
          <w:rFonts w:ascii="Times New Roman" w:hAnsi="Times New Roman"/>
          <w:i/>
          <w:noProof/>
          <w:lang w:val="nn-NO"/>
        </w:rPr>
        <w:t>konomskom tumačenju ističu se problemi povezani s velikim privatnim dugom i sektorom stambenih nekretnina. Stoga Komisija smatra, među ostalim i zbog neravnoteže utvrđene u ožujku 2018., da bi bilo korisno detaljnije ispitati postojanost neravnoteža ili nj</w:t>
      </w:r>
      <w:r>
        <w:rPr>
          <w:rFonts w:ascii="Times New Roman" w:hAnsi="Times New Roman"/>
          <w:i/>
          <w:noProof/>
          <w:lang w:val="nn-NO"/>
        </w:rPr>
        <w:t>ihovo postupno uklanjanje.</w:t>
      </w:r>
    </w:p>
    <w:p w:rsidR="00B26ED3" w:rsidRDefault="003423C1">
      <w:pPr>
        <w:spacing w:before="120" w:after="160" w:line="259" w:lineRule="auto"/>
        <w:jc w:val="both"/>
        <w:rPr>
          <w:rFonts w:ascii="Times New Roman" w:eastAsia="Calibri" w:hAnsi="Times New Roman" w:cs="Times New Roman"/>
          <w:i/>
          <w:noProof/>
          <w:lang w:val="nn-NO"/>
        </w:rPr>
      </w:pPr>
      <w:r>
        <w:rPr>
          <w:noProof/>
          <w:lang w:eastAsia="en-GB"/>
        </w:rPr>
        <w:drawing>
          <wp:anchor distT="0" distB="0" distL="114300" distR="114300" simplePos="0" relativeHeight="251680768" behindDoc="0" locked="0" layoutInCell="1" allowOverlap="1">
            <wp:simplePos x="0" y="0"/>
            <wp:positionH relativeFrom="column">
              <wp:posOffset>3167380</wp:posOffset>
            </wp:positionH>
            <wp:positionV relativeFrom="paragraph">
              <wp:posOffset>260350</wp:posOffset>
            </wp:positionV>
            <wp:extent cx="2616835" cy="259143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6835"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ED3" w:rsidRDefault="003423C1">
      <w:pPr>
        <w:spacing w:after="160" w:line="259" w:lineRule="auto"/>
        <w:jc w:val="both"/>
        <w:rPr>
          <w:rFonts w:ascii="Times New Roman" w:eastAsia="Calibri" w:hAnsi="Times New Roman" w:cs="Times New Roman"/>
          <w:noProof/>
          <w:lang w:val="nn-NO"/>
        </w:rPr>
      </w:pPr>
      <w:r>
        <w:rPr>
          <w:rFonts w:ascii="Times New Roman" w:hAnsi="Times New Roman"/>
          <w:b/>
          <w:noProof/>
          <w:lang w:val="nn-NO"/>
        </w:rPr>
        <w:t>Ujedinjena Kraljevina</w:t>
      </w:r>
      <w:r>
        <w:rPr>
          <w:rFonts w:ascii="Times New Roman" w:hAnsi="Times New Roman"/>
          <w:noProof/>
          <w:lang w:val="nn-NO"/>
        </w:rPr>
        <w:t xml:space="preserve">: U prethodnom ciklusu PMN-a u Ujedinjenoj Kraljevini </w:t>
      </w:r>
      <w:r>
        <w:rPr>
          <w:rFonts w:ascii="Times New Roman" w:hAnsi="Times New Roman"/>
          <w:i/>
          <w:noProof/>
          <w:lang w:val="nn-NO"/>
        </w:rPr>
        <w:t>nisu utvrđene makroekonomske neravnoteže</w:t>
      </w:r>
      <w:r>
        <w:rPr>
          <w:rFonts w:ascii="Times New Roman" w:hAnsi="Times New Roman"/>
          <w:noProof/>
          <w:lang w:val="nn-NO"/>
        </w:rPr>
        <w:t xml:space="preserve">. U ažuriranoj tablici rezultata više pokazatelja prelazi indikativni prag, i to deficit tekućeg računa, dug </w:t>
      </w:r>
      <w:r>
        <w:rPr>
          <w:rFonts w:ascii="Times New Roman" w:hAnsi="Times New Roman"/>
          <w:noProof/>
          <w:lang w:val="nn-NO"/>
        </w:rPr>
        <w:t>privatnog sektora i državni dug.</w:t>
      </w:r>
    </w:p>
    <w:p w:rsidR="00B26ED3" w:rsidRDefault="003423C1">
      <w:pPr>
        <w:spacing w:after="160" w:line="259" w:lineRule="auto"/>
        <w:jc w:val="both"/>
        <w:rPr>
          <w:rFonts w:ascii="Times New Roman" w:eastAsia="Calibri" w:hAnsi="Times New Roman" w:cs="Times New Roman"/>
          <w:noProof/>
          <w:lang w:val="nn-NO"/>
        </w:rPr>
      </w:pPr>
      <w:r>
        <w:rPr>
          <w:rFonts w:ascii="Times New Roman" w:hAnsi="Times New Roman"/>
          <w:noProof/>
          <w:lang w:val="nn-NO"/>
        </w:rPr>
        <w:t>Stanje na tekućem računu u 2017. se blago popravilo, potaknuto prije svega poboljšanjem salda primarnog dohotka, ali i dalje je prisutan znatan deficit i s time povezane znatne potrebe za vanjskim financiranjem. Deprecijaci</w:t>
      </w:r>
      <w:r>
        <w:rPr>
          <w:rFonts w:ascii="Times New Roman" w:hAnsi="Times New Roman"/>
          <w:noProof/>
          <w:lang w:val="nn-NO"/>
        </w:rPr>
        <w:t>jom funte podržano je neto stanje međunarodnih ulaganja, koje je blago negativno, te poboljšana cjenovna konkurentnost u kontekstu umjerenog rasta jediničnih cijena rada. Međutim, učinci slabije funte na neto trgovinsku razmjenu zasada su razočaravajući. N</w:t>
      </w:r>
      <w:r>
        <w:rPr>
          <w:rFonts w:ascii="Times New Roman" w:hAnsi="Times New Roman"/>
          <w:noProof/>
          <w:lang w:val="nn-NO"/>
        </w:rPr>
        <w:t>akon nekoliko godina postupnog razduživanja trend smanjenja udjela duga privatnog sektora u BDP-u je zaustavljen. Posebno je i dalje visok dug kućanstava te i dalje zahtijeva pomno praćenje. Rast realnih cijena stambenih nekretnina usporio se i troškovi st</w:t>
      </w:r>
      <w:r>
        <w:rPr>
          <w:rFonts w:ascii="Times New Roman" w:hAnsi="Times New Roman"/>
          <w:noProof/>
          <w:lang w:val="nn-NO"/>
        </w:rPr>
        <w:t xml:space="preserve">anovanja su se stabilizirali, ali na visokoj razini. Državni dug je visok i uglavnom stabilan. Snažan rast zaposlenosti i dalje je bio praćen niskom nezaposlenošću, koja i dalje pada, ali je produktivnost rada i dalje slaba. </w:t>
      </w:r>
    </w:p>
    <w:p w:rsidR="00B26ED3" w:rsidRDefault="003423C1">
      <w:pPr>
        <w:spacing w:after="160" w:line="259" w:lineRule="auto"/>
        <w:jc w:val="both"/>
        <w:rPr>
          <w:rFonts w:ascii="Times New Roman" w:eastAsia="Calibri" w:hAnsi="Times New Roman" w:cs="Times New Roman"/>
          <w:i/>
          <w:iCs/>
          <w:noProof/>
          <w:lang w:val="nn-NO"/>
        </w:rPr>
      </w:pPr>
      <w:r>
        <w:rPr>
          <w:rFonts w:ascii="Times New Roman" w:hAnsi="Times New Roman"/>
          <w:i/>
          <w:noProof/>
          <w:lang w:val="nn-NO"/>
        </w:rPr>
        <w:t>Ukupno gledano, ekonomskim tum</w:t>
      </w:r>
      <w:r>
        <w:rPr>
          <w:rFonts w:ascii="Times New Roman" w:hAnsi="Times New Roman"/>
          <w:i/>
          <w:noProof/>
          <w:lang w:val="nn-NO"/>
        </w:rPr>
        <w:t>ačenjem ističu se određeni problemi povezani s privatnim dugom, tržištem stambenih nekretnina i vanjskom stranom gospodarstva. Čini se da ti problemi kratkoročno predstavljaju ograničene rizike za stabilnost. Općenito, Komisija u ovoj fazi smatra da nije p</w:t>
      </w:r>
      <w:r>
        <w:rPr>
          <w:rFonts w:ascii="Times New Roman" w:hAnsi="Times New Roman"/>
          <w:i/>
          <w:noProof/>
          <w:lang w:val="nn-NO"/>
        </w:rPr>
        <w:t xml:space="preserve">otrebno provoditi daljnje detaljno preispitivanje u okviru PMN-a. </w:t>
      </w:r>
    </w:p>
    <w:p w:rsidR="00B26ED3" w:rsidRDefault="00B26ED3">
      <w:pPr>
        <w:spacing w:after="160" w:line="259" w:lineRule="auto"/>
        <w:rPr>
          <w:rFonts w:ascii="Times New Roman" w:eastAsia="Calibri" w:hAnsi="Times New Roman" w:cs="Times New Roman"/>
          <w:b/>
          <w:noProof/>
          <w:lang w:val="nn-NO"/>
        </w:rPr>
      </w:pPr>
    </w:p>
    <w:p w:rsidR="00B26ED3" w:rsidRDefault="00B26ED3">
      <w:pPr>
        <w:spacing w:after="160" w:line="259" w:lineRule="auto"/>
        <w:rPr>
          <w:rFonts w:ascii="Times New Roman" w:eastAsia="Calibri" w:hAnsi="Times New Roman" w:cs="Times New Roman"/>
          <w:b/>
          <w:noProof/>
          <w:lang w:val="nn-NO"/>
        </w:rPr>
      </w:pPr>
    </w:p>
    <w:p w:rsidR="00B26ED3" w:rsidRDefault="00B26ED3">
      <w:pPr>
        <w:jc w:val="both"/>
        <w:rPr>
          <w:rFonts w:ascii="Times New Roman" w:hAnsi="Times New Roman" w:cs="Times New Roman"/>
          <w:i/>
          <w:noProof/>
          <w:sz w:val="24"/>
          <w:szCs w:val="24"/>
          <w:lang w:val="nn-NO"/>
        </w:rPr>
      </w:pPr>
    </w:p>
    <w:p w:rsidR="00B26ED3" w:rsidRDefault="003423C1">
      <w:pPr>
        <w:rPr>
          <w:rFonts w:ascii="Times New Roman" w:hAnsi="Times New Roman" w:cs="Times New Roman"/>
          <w:b/>
          <w:noProof/>
          <w:lang w:val="nn-NO"/>
        </w:rPr>
      </w:pPr>
      <w:r>
        <w:rPr>
          <w:noProof/>
          <w:lang w:val="nn-NO"/>
        </w:rPr>
        <w:br w:type="page"/>
      </w:r>
    </w:p>
    <w:p w:rsidR="00B26ED3" w:rsidRDefault="00B26ED3">
      <w:pPr>
        <w:spacing w:before="120" w:after="120" w:line="240" w:lineRule="auto"/>
        <w:jc w:val="both"/>
        <w:rPr>
          <w:rFonts w:ascii="Times New Roman" w:hAnsi="Times New Roman" w:cs="Times New Roman"/>
          <w:b/>
          <w:noProof/>
          <w:lang w:val="nn-NO"/>
        </w:rPr>
        <w:sectPr w:rsidR="00B26ED3">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B26ED3" w:rsidRDefault="003423C1">
      <w:pPr>
        <w:spacing w:before="120" w:after="120" w:line="240" w:lineRule="auto"/>
        <w:jc w:val="both"/>
        <w:rPr>
          <w:rFonts w:ascii="Times New Roman" w:hAnsi="Times New Roman" w:cs="Times New Roman"/>
          <w:b/>
          <w:noProof/>
        </w:rPr>
      </w:pPr>
      <w:r>
        <w:rPr>
          <w:noProof/>
          <w:lang w:eastAsia="en-GB"/>
        </w:rPr>
        <w:drawing>
          <wp:inline distT="0" distB="0" distL="0" distR="0">
            <wp:extent cx="8420100" cy="5185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35490" cy="5195108"/>
                    </a:xfrm>
                    <a:prstGeom prst="rect">
                      <a:avLst/>
                    </a:prstGeom>
                    <a:noFill/>
                    <a:ln>
                      <a:noFill/>
                    </a:ln>
                  </pic:spPr>
                </pic:pic>
              </a:graphicData>
            </a:graphic>
          </wp:inline>
        </w:drawing>
      </w:r>
      <w:r>
        <w:rPr>
          <w:noProof/>
        </w:rPr>
        <w:t xml:space="preserve">  </w:t>
      </w:r>
      <w:r>
        <w:rPr>
          <w:noProof/>
          <w:lang w:eastAsia="en-GB"/>
        </w:rPr>
        <w:drawing>
          <wp:inline distT="0" distB="0" distL="0" distR="0">
            <wp:extent cx="9161647" cy="5341173"/>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66183" cy="5343817"/>
                    </a:xfrm>
                    <a:prstGeom prst="rect">
                      <a:avLst/>
                    </a:prstGeom>
                    <a:noFill/>
                    <a:ln>
                      <a:noFill/>
                    </a:ln>
                  </pic:spPr>
                </pic:pic>
              </a:graphicData>
            </a:graphic>
          </wp:inline>
        </w:drawing>
      </w:r>
    </w:p>
    <w:p w:rsidR="00B26ED3" w:rsidRDefault="003423C1">
      <w:pPr>
        <w:spacing w:before="120" w:after="120" w:line="240" w:lineRule="auto"/>
        <w:jc w:val="both"/>
        <w:rPr>
          <w:rFonts w:ascii="Times New Roman" w:hAnsi="Times New Roman" w:cs="Times New Roman"/>
          <w:b/>
          <w:noProof/>
        </w:rPr>
      </w:pPr>
      <w:r>
        <w:rPr>
          <w:noProof/>
          <w:lang w:eastAsia="en-GB"/>
        </w:rPr>
        <w:drawing>
          <wp:inline distT="0" distB="0" distL="0" distR="0">
            <wp:extent cx="8808566" cy="53054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20930" cy="5312872"/>
                    </a:xfrm>
                    <a:prstGeom prst="rect">
                      <a:avLst/>
                    </a:prstGeom>
                    <a:noFill/>
                    <a:ln>
                      <a:noFill/>
                    </a:ln>
                  </pic:spPr>
                </pic:pic>
              </a:graphicData>
            </a:graphic>
          </wp:inline>
        </w:drawing>
      </w:r>
      <w:r>
        <w:rPr>
          <w:rFonts w:ascii="Times New Roman" w:hAnsi="Times New Roman"/>
          <w:b/>
          <w:noProof/>
        </w:rPr>
        <w:t xml:space="preserve"> </w:t>
      </w:r>
    </w:p>
    <w:p w:rsidR="00B26ED3" w:rsidRDefault="003423C1">
      <w:pPr>
        <w:spacing w:before="120" w:after="120" w:line="240" w:lineRule="auto"/>
        <w:jc w:val="both"/>
        <w:rPr>
          <w:rFonts w:ascii="Times New Roman" w:hAnsi="Times New Roman" w:cs="Times New Roman"/>
          <w:b/>
          <w:noProof/>
        </w:rPr>
      </w:pPr>
      <w:r>
        <w:rPr>
          <w:rFonts w:ascii="Times New Roman" w:hAnsi="Times New Roman" w:cs="Times New Roman"/>
          <w:b/>
          <w:noProof/>
        </w:rPr>
        <w:t xml:space="preserve"> </w:t>
      </w:r>
    </w:p>
    <w:sectPr w:rsidR="00B26ED3">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ED3" w:rsidRDefault="003423C1">
      <w:pPr>
        <w:spacing w:after="0" w:line="240" w:lineRule="auto"/>
      </w:pPr>
      <w:r>
        <w:separator/>
      </w:r>
    </w:p>
  </w:endnote>
  <w:endnote w:type="continuationSeparator" w:id="0">
    <w:p w:rsidR="00B26ED3" w:rsidRDefault="00342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C1" w:rsidRPr="003423C1" w:rsidRDefault="003423C1" w:rsidP="003423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C1" w:rsidRPr="003423C1" w:rsidRDefault="003423C1" w:rsidP="003423C1">
    <w:pPr>
      <w:pStyle w:val="FooterCoverPage"/>
      <w:rPr>
        <w:rFonts w:ascii="Arial" w:hAnsi="Arial" w:cs="Arial"/>
        <w:b/>
        <w:sz w:val="48"/>
      </w:rPr>
    </w:pPr>
    <w:r w:rsidRPr="003423C1">
      <w:rPr>
        <w:rFonts w:ascii="Arial" w:hAnsi="Arial" w:cs="Arial"/>
        <w:b/>
        <w:sz w:val="48"/>
      </w:rPr>
      <w:t>HR</w:t>
    </w:r>
    <w:r w:rsidRPr="003423C1">
      <w:rPr>
        <w:rFonts w:ascii="Arial" w:hAnsi="Arial" w:cs="Arial"/>
        <w:b/>
        <w:sz w:val="48"/>
      </w:rPr>
      <w:tab/>
    </w:r>
    <w:r w:rsidRPr="003423C1">
      <w:rPr>
        <w:rFonts w:ascii="Arial" w:hAnsi="Arial" w:cs="Arial"/>
        <w:b/>
        <w:sz w:val="48"/>
      </w:rPr>
      <w:tab/>
    </w:r>
    <w:r w:rsidRPr="003423C1">
      <w:tab/>
    </w:r>
    <w:r w:rsidRPr="003423C1">
      <w:rPr>
        <w:rFonts w:ascii="Arial" w:hAnsi="Arial" w:cs="Arial"/>
        <w:b/>
        <w:sz w:val="48"/>
      </w:rPr>
      <w:t>HR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C1" w:rsidRPr="003423C1" w:rsidRDefault="003423C1" w:rsidP="003423C1">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ED3" w:rsidRDefault="003423C1">
    <w:r>
      <w:fldChar w:fldCharType="begin"/>
    </w:r>
    <w:r>
      <w:instrText xml:space="preserve">PAGE  </w:instrText>
    </w:r>
    <w:r>
      <w:fldChar w:fldCharType="separate"/>
    </w:r>
    <w:r>
      <w:rPr>
        <w:noProof/>
      </w:rPr>
      <w:t>22</w:t>
    </w:r>
    <w:r>
      <w:fldChar w:fldCharType="end"/>
    </w:r>
  </w:p>
  <w:p w:rsidR="00B26ED3" w:rsidRDefault="00B26ED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B26ED3" w:rsidRDefault="003423C1">
        <w:pPr>
          <w:jc w:val="center"/>
        </w:pPr>
        <w:r>
          <w:fldChar w:fldCharType="begin"/>
        </w:r>
        <w:r>
          <w:instrText xml:space="preserve"> PAGE   \* MERGEFORMAT </w:instrText>
        </w:r>
        <w:r>
          <w:fldChar w:fldCharType="separate"/>
        </w:r>
        <w:r>
          <w:rPr>
            <w:noProof/>
          </w:rPr>
          <w:t>30</w:t>
        </w:r>
        <w:r>
          <w:rPr>
            <w:noProof/>
          </w:rPr>
          <w:fldChar w:fldCharType="end"/>
        </w:r>
      </w:p>
    </w:sdtContent>
  </w:sdt>
  <w:p w:rsidR="00B26ED3" w:rsidRDefault="00B26ED3">
    <w:pPr>
      <w:jc w:val="center"/>
      <w:rPr>
        <w:rFonts w:ascii="Arial" w:hAnsi="Arial" w:cs="Arial"/>
        <w:b/>
        <w:sz w:val="4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ED3" w:rsidRDefault="00B26ED3"/>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ED3" w:rsidRDefault="003423C1">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B26ED3" w:rsidRDefault="00B26E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B26ED3" w:rsidRDefault="003423C1">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rsidR="00B26ED3" w:rsidRDefault="00B26ED3">
    <w:pPr>
      <w:pStyle w:val="Footer"/>
      <w:jc w:val="center"/>
      <w:rPr>
        <w:rFonts w:ascii="Arial" w:hAnsi="Arial" w:cs="Arial"/>
        <w:b/>
        <w:sz w:val="48"/>
        <w:lang w:val="es-E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ED3" w:rsidRDefault="00B26E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ED3" w:rsidRDefault="003423C1">
      <w:pPr>
        <w:spacing w:after="0" w:line="240" w:lineRule="auto"/>
      </w:pPr>
      <w:r>
        <w:separator/>
      </w:r>
    </w:p>
  </w:footnote>
  <w:footnote w:type="continuationSeparator" w:id="0">
    <w:p w:rsidR="00B26ED3" w:rsidRDefault="003423C1">
      <w:pPr>
        <w:spacing w:after="0" w:line="240" w:lineRule="auto"/>
      </w:pPr>
      <w:r>
        <w:continuationSeparator/>
      </w:r>
    </w:p>
  </w:footnote>
  <w:footnote w:id="1">
    <w:p w:rsidR="00B26ED3" w:rsidRDefault="003423C1">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Uz ovo izvješće priložen je </w:t>
      </w:r>
      <w:r>
        <w:rPr>
          <w:rFonts w:ascii="Times New Roman" w:hAnsi="Times New Roman"/>
          <w:i/>
        </w:rPr>
        <w:t xml:space="preserve">prilog sa </w:t>
      </w:r>
      <w:r>
        <w:rPr>
          <w:rFonts w:ascii="Times New Roman" w:hAnsi="Times New Roman"/>
          <w:i/>
        </w:rPr>
        <w:t>statistikama</w:t>
      </w:r>
      <w:r>
        <w:rPr>
          <w:rFonts w:ascii="Times New Roman" w:hAnsi="Times New Roman"/>
        </w:rPr>
        <w:t xml:space="preserve"> koji sadržava opsežne statističke podatke na temelju kojih je izvješće sastavljeno. </w:t>
      </w:r>
    </w:p>
  </w:footnote>
  <w:footnote w:id="2">
    <w:p w:rsidR="00B26ED3" w:rsidRDefault="003423C1">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Vidjeti članak 5. Uredbe (EU) br. 1176/2011.</w:t>
      </w:r>
    </w:p>
  </w:footnote>
  <w:footnote w:id="3">
    <w:p w:rsidR="00B26ED3" w:rsidRDefault="003423C1">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U izvješću od 22. lipnja 2015. pod nazivom „Dovršetak europske ekonomske i monetarne unije” Jean-Claudea Junc</w:t>
      </w:r>
      <w:r>
        <w:rPr>
          <w:rFonts w:ascii="Times New Roman" w:hAnsi="Times New Roman"/>
        </w:rPr>
        <w:t>kera, Donalda Tuska, Jeroena Dijsselbloema, Marija Draghija i Martina Schulza predloženo je da se veća pozornost posveti dimenziji neravnoteža europodručja. Uloga međuovisnosti i sistemskih implikacija neravnoteža prepoznata je u Uredbi (EU) br. 1176/2011,</w:t>
      </w:r>
      <w:r>
        <w:rPr>
          <w:rFonts w:ascii="Times New Roman" w:hAnsi="Times New Roman"/>
        </w:rPr>
        <w:t xml:space="preserve"> u kojoj se neravnoteže definiraju upućivanjem na „makroekonomska kretanja koja negativno utječu, ili imaju mogućnost negativno utjecati na pravilno funkcioniranje gospodarstva države članice, ekonomske i monetarne unije ili Unije u cjelini”.</w:t>
      </w:r>
    </w:p>
  </w:footnote>
  <w:footnote w:id="4">
    <w:p w:rsidR="00B26ED3" w:rsidRPr="003423C1" w:rsidRDefault="003423C1">
      <w:pPr>
        <w:rPr>
          <w:lang w:val="fr-BE"/>
        </w:rPr>
      </w:pPr>
      <w:r>
        <w:rPr>
          <w:rStyle w:val="FootnoteReference"/>
        </w:rPr>
        <w:footnoteRef/>
      </w:r>
      <w:r w:rsidRPr="003423C1">
        <w:rPr>
          <w:lang w:val="fr-BE"/>
        </w:rPr>
        <w:t xml:space="preserve"> Vidjeti npr</w:t>
      </w:r>
      <w:r w:rsidRPr="003423C1">
        <w:rPr>
          <w:lang w:val="fr-BE"/>
        </w:rPr>
        <w:t>. ESB, Ekonomski bilten, 5/2018.</w:t>
      </w:r>
    </w:p>
  </w:footnote>
  <w:footnote w:id="5">
    <w:p w:rsidR="00B26ED3" w:rsidRPr="003423C1" w:rsidRDefault="003423C1">
      <w:pPr>
        <w:rPr>
          <w:lang w:val="fr-BE"/>
        </w:rPr>
      </w:pPr>
      <w:r>
        <w:rPr>
          <w:rStyle w:val="FootnoteReference"/>
        </w:rPr>
        <w:footnoteRef/>
      </w:r>
      <w:r w:rsidRPr="003423C1">
        <w:rPr>
          <w:lang w:val="fr-BE"/>
        </w:rPr>
        <w:t xml:space="preserve"> Vidjeti i Međunarodni monetarni fond, Svjetski gospodarski izgledi, listopad 2018.</w:t>
      </w:r>
    </w:p>
  </w:footnote>
  <w:footnote w:id="6">
    <w:p w:rsidR="00B26ED3" w:rsidRPr="003423C1" w:rsidRDefault="003423C1">
      <w:pPr>
        <w:rPr>
          <w:lang w:val="fr-BE"/>
        </w:rPr>
      </w:pPr>
      <w:r>
        <w:rPr>
          <w:rStyle w:val="FootnoteReference"/>
        </w:rPr>
        <w:footnoteRef/>
      </w:r>
      <w:r w:rsidRPr="003423C1">
        <w:rPr>
          <w:lang w:val="fr-BE"/>
        </w:rPr>
        <w:t xml:space="preserve"> Vidjeti okvir 3. za pregled glavnih nedavnih kretanja u području zapošljavanja i socijalnih pitanja u EU-u.</w:t>
      </w:r>
    </w:p>
  </w:footnote>
  <w:footnote w:id="7">
    <w:p w:rsidR="00B26ED3" w:rsidRDefault="003423C1">
      <w:r>
        <w:rPr>
          <w:rStyle w:val="FootnoteReference"/>
        </w:rPr>
        <w:footnoteRef/>
      </w:r>
      <w:r>
        <w:t xml:space="preserve"> Vidjeti i Godišnji pregled rasta za 2019., Europska komisija.</w:t>
      </w:r>
    </w:p>
  </w:footnote>
  <w:footnote w:id="8">
    <w:p w:rsidR="00B26ED3" w:rsidRDefault="003423C1">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Članak 6. Uredbe (EU) br. 1176/2011.</w:t>
      </w:r>
    </w:p>
  </w:footnote>
  <w:footnote w:id="9">
    <w:p w:rsidR="00B26ED3" w:rsidRDefault="003423C1">
      <w:pPr>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Vidjeti „Europski semestar 2018.: procjena napretka u provedbi strukturnih reformi te sprječavanju i ispravljanju makroekonomskih neravnoteža i rezultat</w:t>
      </w:r>
      <w:r>
        <w:rPr>
          <w:rFonts w:ascii="Times New Roman" w:hAnsi="Times New Roman"/>
        </w:rPr>
        <w:t xml:space="preserve">i detaljnih preispitivanja u skladu s Uredbom (EU) br. 1176/2011” – COM(2018) 120 final, 7.3.2018. </w:t>
      </w:r>
    </w:p>
  </w:footnote>
  <w:footnote w:id="10">
    <w:p w:rsidR="00B26ED3" w:rsidRDefault="003423C1">
      <w:pPr>
        <w:jc w:val="both"/>
      </w:pPr>
      <w:r>
        <w:rPr>
          <w:rStyle w:val="FootnoteReference"/>
        </w:rPr>
        <w:footnoteRef/>
      </w:r>
      <w:r>
        <w:t xml:space="preserve"> Države članice koje su u programu makroekonomske prilagodbe uz financijsku pomoć izuzete su iz nadzora u okviru postupka zbog makroekonomskih neravnoteža </w:t>
      </w:r>
      <w:r>
        <w:t>(članak 11. Uredbe (EU) br. 472/2013 Europskog parlamenta i Vijeća od 21. svibnja 2013. o jačanju gospodarskog i proračunskog nadzora država članica europodručja koje su u poteškoćama ili kojima prijete ozbiljne poteškoće u odnosu na njihovu financijsku st</w:t>
      </w:r>
      <w:r>
        <w:t>abilnost).</w:t>
      </w:r>
    </w:p>
  </w:footnote>
  <w:footnote w:id="11">
    <w:p w:rsidR="00B26ED3" w:rsidRDefault="003423C1">
      <w:pPr>
        <w:jc w:val="both"/>
        <w:rPr>
          <w:i/>
        </w:rPr>
      </w:pPr>
      <w:r>
        <w:rPr>
          <w:rStyle w:val="FootnoteReference"/>
        </w:rPr>
        <w:footnoteRef/>
      </w:r>
      <w:r>
        <w:t xml:space="preserve"> U studenome 2016. Europski odbor za sistemske rizike (ESRB) izdao je upozorenja za pojedine zemlje o srednjoročnim slabostima u sektoru stambenih nekretnina za osam država članica: Austriju, Belgiju, Dansku, Finsku, Luksemburg, Nizozemsku, Švedsku i Ujedi</w:t>
      </w:r>
      <w:r>
        <w:t>njenu Kraljevinu.</w:t>
      </w:r>
    </w:p>
  </w:footnote>
  <w:footnote w:id="12">
    <w:p w:rsidR="00B26ED3" w:rsidRDefault="003423C1">
      <w:pPr>
        <w:jc w:val="both"/>
      </w:pPr>
      <w:r>
        <w:rPr>
          <w:rStyle w:val="FootnoteReference"/>
        </w:rPr>
        <w:footnoteRef/>
      </w:r>
      <w:r>
        <w:t xml:space="preserve"> Za više pojedinosti o statističkim definicijama novih pokazatelja, vidjeti Europska komisija, </w:t>
      </w:r>
      <w:r>
        <w:rPr>
          <w:i/>
        </w:rPr>
        <w:t>Envisaged revision of selected auxiliary indicators of the MIP scoreboard</w:t>
      </w:r>
      <w:r>
        <w:t xml:space="preserve"> (Predviđene izmjene odabranih pomoćnih pokazatelja tablice rezultata</w:t>
      </w:r>
      <w:r>
        <w:t xml:space="preserve"> PMN-a), tehnička napomena; https://ec.europa.eu/info/business-economy-euro/economic-and-fiscal-policy-coordination/eu-economic-governance-monitoring-prevention-correction/macroeconomic-imbalance-procedure/scoreboard_en.</w:t>
      </w:r>
    </w:p>
  </w:footnote>
  <w:footnote w:id="13">
    <w:p w:rsidR="00B26ED3" w:rsidRDefault="003423C1">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Za obrazloženje o sastavljanju i </w:t>
      </w:r>
      <w:r>
        <w:rPr>
          <w:rFonts w:ascii="Times New Roman" w:hAnsi="Times New Roman"/>
        </w:rPr>
        <w:t>očitavanju vrijednosti iz tablice u izvješću o mehanizmu upozoravanja vidjeti dokument Europske komisije (2016.)</w:t>
      </w:r>
      <w:r>
        <w:rPr>
          <w:rFonts w:ascii="Times New Roman" w:hAnsi="Times New Roman"/>
          <w:i/>
        </w:rPr>
        <w:t xml:space="preserve"> The Macroeconomic Imbalance Procedure. Rationale, Process, Application: A Compendium</w:t>
      </w:r>
      <w:r>
        <w:rPr>
          <w:rFonts w:ascii="Times New Roman" w:hAnsi="Times New Roman"/>
        </w:rPr>
        <w:t>, (Postupak zbog makroekonomskih neravnoteža. Osnova, proce</w:t>
      </w:r>
      <w:r>
        <w:rPr>
          <w:rFonts w:ascii="Times New Roman" w:hAnsi="Times New Roman"/>
        </w:rPr>
        <w:t>s, primjena: zbirka), European Economy, Institutional Paper 039.</w:t>
      </w:r>
    </w:p>
  </w:footnote>
  <w:footnote w:id="14">
    <w:p w:rsidR="00B26ED3" w:rsidRDefault="003423C1">
      <w:pPr>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Detaljni pokazatelji iz tablice rezultata zajedno s odgovarajućim indikativnim pragovima prikazani su u tablici 1.1. u prilogu; pomoćni pokazatelji prikazani su u tablici 2.1. Kako je objaš</w:t>
      </w:r>
      <w:r>
        <w:rPr>
          <w:rFonts w:ascii="Times New Roman" w:hAnsi="Times New Roman"/>
        </w:rPr>
        <w:t>njeno u bilješci grafikona 1., tumačenje kretanja podataka iz tablice temelji se na podacima koji su bili dostupni u vrijeme pojedinog izvješća o mehanizmu upozoravanja. Podaci za IMU 2019. prikupljeni su do 24. listopada 2018.</w:t>
      </w:r>
    </w:p>
  </w:footnote>
  <w:footnote w:id="15">
    <w:p w:rsidR="00B26ED3" w:rsidRDefault="003423C1">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Ciklički prilagođena salda</w:t>
      </w:r>
      <w:r>
        <w:rPr>
          <w:rFonts w:ascii="Times New Roman" w:hAnsi="Times New Roman"/>
        </w:rPr>
        <w:t xml:space="preserve"> tekućeg računa uzimaju u obzir učinak ciklusa prilagodbom za domaći jaz outputa i jaz outputa trgovinskih partnera, vidjeti M. Salto i A. Turrini (2010.), </w:t>
      </w:r>
      <w:r>
        <w:rPr>
          <w:rFonts w:ascii="Times New Roman" w:hAnsi="Times New Roman"/>
          <w:i/>
        </w:rPr>
        <w:t>Comparing alternative methodologies for real exchange rate assessment</w:t>
      </w:r>
      <w:r>
        <w:rPr>
          <w:rFonts w:ascii="Times New Roman" w:hAnsi="Times New Roman"/>
        </w:rPr>
        <w:t xml:space="preserve"> (Usporedba alternativnih metod</w:t>
      </w:r>
      <w:r>
        <w:rPr>
          <w:rFonts w:ascii="Times New Roman" w:hAnsi="Times New Roman"/>
        </w:rPr>
        <w:t>ologija za procjenu realne tečajne stope), European Economy, Discussion Paper 427/2010.</w:t>
      </w:r>
    </w:p>
  </w:footnote>
  <w:footnote w:id="16">
    <w:p w:rsidR="00B26ED3" w:rsidRDefault="003423C1">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Tekući računi u skladu s temeljnim značajkama (norme tekućeg računa) izvedeni su iz pojednostavnjenih regresijskih krivulja gdje su zabilježene osnovne determinante s</w:t>
      </w:r>
      <w:r>
        <w:rPr>
          <w:rFonts w:ascii="Times New Roman" w:hAnsi="Times New Roman"/>
        </w:rPr>
        <w:t xml:space="preserve">alda štednje i ulaganja, uključujući temeljne determinante, čimbenike politike i globalne financijske uvjete. Metodologija je srodna metodologiji S. Phillips i ostali (2013.), </w:t>
      </w:r>
      <w:r>
        <w:rPr>
          <w:rFonts w:ascii="Times New Roman" w:hAnsi="Times New Roman"/>
          <w:i/>
        </w:rPr>
        <w:t xml:space="preserve">The External Balance Assessment (EBA) Methodology </w:t>
      </w:r>
      <w:r>
        <w:rPr>
          <w:rFonts w:ascii="Times New Roman" w:hAnsi="Times New Roman"/>
        </w:rPr>
        <w:t>(Metodologija vanjske procjene</w:t>
      </w:r>
      <w:r>
        <w:rPr>
          <w:rFonts w:ascii="Times New Roman" w:hAnsi="Times New Roman"/>
        </w:rPr>
        <w:t xml:space="preserve"> bilance), IMF Working Paper, 13/272). Vidjeti L. Coutinho i ostali (2018.) </w:t>
      </w:r>
      <w:r>
        <w:rPr>
          <w:rFonts w:ascii="Times New Roman" w:hAnsi="Times New Roman"/>
          <w:i/>
        </w:rPr>
        <w:t>Methodologies for the assessment of current account benchmarks</w:t>
      </w:r>
      <w:r>
        <w:rPr>
          <w:rFonts w:ascii="Times New Roman" w:hAnsi="Times New Roman"/>
        </w:rPr>
        <w:t xml:space="preserve"> (Metodologije za procjenu referentnih mjerila tekućeg računa), European Economy, Discussion Paper 86, 2018., za opis </w:t>
      </w:r>
      <w:r>
        <w:rPr>
          <w:rFonts w:ascii="Times New Roman" w:hAnsi="Times New Roman"/>
        </w:rPr>
        <w:t>metodologije izračuna tekućeg računa u skladu s temeljnim značajkama koja je korištena u ovom IMU-u.</w:t>
      </w:r>
    </w:p>
  </w:footnote>
  <w:footnote w:id="17">
    <w:p w:rsidR="00B26ED3" w:rsidRDefault="003423C1">
      <w:pPr>
        <w:jc w:val="both"/>
        <w:rPr>
          <w:rFonts w:cstheme="minorHAnsi"/>
        </w:rPr>
      </w:pPr>
      <w:r>
        <w:rPr>
          <w:rStyle w:val="FootnoteReference"/>
          <w:rFonts w:cstheme="minorHAnsi"/>
        </w:rPr>
        <w:footnoteRef/>
      </w:r>
      <w:r>
        <w:t xml:space="preserve"> Za metodologije za referentna mjerila tekućeg računa vidjeti L. Coutinho i ostali (2018.); za bonitetne pragove za NIIP po državama članicama vidjeti bil</w:t>
      </w:r>
      <w:r>
        <w:t xml:space="preserve">ješku </w:t>
      </w:r>
      <w:r>
        <w:rPr>
          <w:rFonts w:cstheme="minorHAnsi"/>
        </w:rPr>
        <w:fldChar w:fldCharType="begin"/>
      </w:r>
      <w:r>
        <w:rPr>
          <w:rFonts w:cstheme="minorHAnsi"/>
        </w:rPr>
        <w:instrText xml:space="preserve"> NOTEREF _Ref526336022 \h  \* MERGEFORMAT </w:instrText>
      </w:r>
      <w:r>
        <w:rPr>
          <w:rFonts w:cstheme="minorHAnsi"/>
        </w:rPr>
      </w:r>
      <w:r>
        <w:rPr>
          <w:rFonts w:cstheme="minorHAnsi"/>
        </w:rPr>
        <w:fldChar w:fldCharType="separate"/>
      </w:r>
      <w:r>
        <w:rPr>
          <w:rFonts w:cstheme="minorHAnsi"/>
        </w:rPr>
        <w:t>18</w:t>
      </w:r>
      <w:r>
        <w:rPr>
          <w:rFonts w:cstheme="minorHAnsi"/>
        </w:rPr>
        <w:fldChar w:fldCharType="end"/>
      </w:r>
      <w:r>
        <w:t xml:space="preserve">. </w:t>
      </w:r>
    </w:p>
  </w:footnote>
  <w:footnote w:id="18">
    <w:p w:rsidR="00B26ED3" w:rsidRDefault="003423C1">
      <w:pPr>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NIIP u skladu s temeljnim značajkama dobiva se kao kumulacija normi tekućeg računa tijekom vremena (vidjeti i bilješku </w:t>
      </w:r>
      <w:r>
        <w:rPr>
          <w:rFonts w:ascii="Times New Roman" w:hAnsi="Times New Roman" w:cs="Times New Roman"/>
        </w:rPr>
        <w:fldChar w:fldCharType="begin"/>
      </w:r>
      <w:r>
        <w:rPr>
          <w:rFonts w:ascii="Times New Roman" w:hAnsi="Times New Roman" w:cs="Times New Roman"/>
        </w:rPr>
        <w:instrText xml:space="preserve"> NOTEREF _Ref5</w:instrText>
      </w:r>
      <w:r>
        <w:rPr>
          <w:rFonts w:ascii="Times New Roman" w:hAnsi="Times New Roman" w:cs="Times New Roman"/>
        </w:rPr>
        <w:instrText xml:space="preserve">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rPr>
        <w:t>). Bonitetni pragovi za NIIP određuju se na temelju najveće moguće snage signala za predviđanje krize bilance plaćanja, uzimajući u obzir informacije po državama članicama koje su sažete prema dohotku po stanovniku. Za metodologiju izračuna razina NIIP-a u</w:t>
      </w:r>
      <w:r>
        <w:rPr>
          <w:rFonts w:ascii="Times New Roman" w:hAnsi="Times New Roman"/>
        </w:rPr>
        <w:t xml:space="preserve"> skladu s temeljnim značajkama vidjeti A. Turrini i S. Zeugner, </w:t>
      </w:r>
      <w:r>
        <w:rPr>
          <w:rFonts w:ascii="Times New Roman" w:hAnsi="Times New Roman"/>
          <w:i/>
        </w:rPr>
        <w:t>Benchmarks for Net International Investment Positions</w:t>
      </w:r>
      <w:r>
        <w:rPr>
          <w:rFonts w:ascii="Times New Roman" w:hAnsi="Times New Roman"/>
        </w:rPr>
        <w:t xml:space="preserve"> (Referentna mjerila za neto stanja međunarodnih ulaganja), European Economy, Discussion Paper, u pripremi. </w:t>
      </w:r>
    </w:p>
  </w:footnote>
  <w:footnote w:id="19">
    <w:p w:rsidR="00B26ED3" w:rsidRDefault="003423C1">
      <w:pPr>
        <w:jc w:val="both"/>
      </w:pPr>
      <w:r>
        <w:rPr>
          <w:rStyle w:val="FootnoteReference"/>
        </w:rPr>
        <w:footnoteRef/>
      </w:r>
      <w:r>
        <w:t xml:space="preserve"> To se odražava varijablom NE</w:t>
      </w:r>
      <w:r>
        <w:t xml:space="preserve">NDI, tj. NIIP-om ne uključujući instrumente bez rizika neispunjavanja obveza. </w:t>
      </w:r>
      <w:r>
        <w:rPr>
          <w:rFonts w:ascii="Times New Roman" w:hAnsi="Times New Roman"/>
        </w:rPr>
        <w:t>Pozitivno je što su poboljšanja NIIP-ova u tim zemljama u 2017. uglavnom bila potaknuta poboljšanjima NENDI-ja.</w:t>
      </w:r>
    </w:p>
  </w:footnote>
  <w:footnote w:id="20">
    <w:p w:rsidR="00B26ED3" w:rsidRDefault="003423C1">
      <w:r>
        <w:rPr>
          <w:rStyle w:val="FootnoteReference"/>
        </w:rPr>
        <w:footnoteRef/>
      </w:r>
      <w:r>
        <w:t xml:space="preserve"> Relevantnost NENDI-ja znatno se razlikuje u toj skupini država t</w:t>
      </w:r>
      <w:r>
        <w:t>e odražava i važnost njihovih financijskih centara, kao u Luksemburgu i na Malti, ili obveze vanjskog duga banaka i sjedišta multinacionalnih kompanija, kao u Nizozemskoj.</w:t>
      </w:r>
    </w:p>
  </w:footnote>
  <w:footnote w:id="21">
    <w:p w:rsidR="00B26ED3" w:rsidRDefault="003423C1">
      <w:pPr>
        <w:jc w:val="both"/>
      </w:pPr>
      <w:r>
        <w:rPr>
          <w:rStyle w:val="FootnoteReference"/>
        </w:rPr>
        <w:footnoteRef/>
      </w:r>
      <w:r>
        <w:t xml:space="preserve"> Vidjeti npr. Europska komisija (2018.), </w:t>
      </w:r>
      <w:r>
        <w:rPr>
          <w:i/>
        </w:rPr>
        <w:t>Labour markets and wage developments in Eu</w:t>
      </w:r>
      <w:r>
        <w:rPr>
          <w:i/>
        </w:rPr>
        <w:t>rope</w:t>
      </w:r>
      <w:r>
        <w:t xml:space="preserve"> (Tržišta rada i kretanja plaća u Europi), godišnje preispitivanje 2018., i Z. Darvas i I. Gonçalves Rapso (2018.), </w:t>
      </w:r>
      <w:r>
        <w:rPr>
          <w:i/>
        </w:rPr>
        <w:t>The ever-rising labour shortages in Europe</w:t>
      </w:r>
      <w:r>
        <w:t xml:space="preserve"> (Rast nedostatka radne snage u Europi), objava na blogu Bruegela, 25. siječnja 2018.</w:t>
      </w:r>
    </w:p>
  </w:footnote>
  <w:footnote w:id="22">
    <w:p w:rsidR="00B26ED3" w:rsidRDefault="003423C1">
      <w:pPr>
        <w:jc w:val="both"/>
      </w:pPr>
      <w:r>
        <w:rPr>
          <w:rStyle w:val="FootnoteReference"/>
        </w:rPr>
        <w:footnoteRef/>
      </w:r>
      <w:r>
        <w:t xml:space="preserve"> Iako s</w:t>
      </w:r>
      <w:r>
        <w:t xml:space="preserve">e kompresijom marže sprečava utjecaj troškovne konkurentnosti na trgovinske uvjete, što ograničava utjecaj na trgovinske tokove u industrijama koje karakteriziraju diferencijacija proizvoda i cjenovna prilagodba tržištu, dugotrajna smanjena profitabilnost </w:t>
      </w:r>
      <w:r>
        <w:t>s vremenom bi dovela do smanjenja sektora razmjenjivih dobara.</w:t>
      </w:r>
    </w:p>
  </w:footnote>
  <w:footnote w:id="23">
    <w:p w:rsidR="00B26ED3" w:rsidRDefault="003423C1">
      <w:pPr>
        <w:jc w:val="both"/>
        <w:rPr>
          <w:lang w:val="pl-PL"/>
        </w:rPr>
      </w:pPr>
      <w:r>
        <w:rPr>
          <w:rStyle w:val="FootnoteReference"/>
        </w:rPr>
        <w:footnoteRef/>
      </w:r>
      <w:r>
        <w:t xml:space="preserve"> Vidjeti Komisijinu jesensku prognozu 2018.; i MMF (2018.), Svjetski gospodarski izgledi, listopad 2018. </w:t>
      </w:r>
      <w:r>
        <w:rPr>
          <w:lang w:val="pl-PL"/>
        </w:rPr>
        <w:t>Vidjeti i tablicu 2.1. u prilogu za izvozne rezultatima u odnosu na napredna gospodarst</w:t>
      </w:r>
      <w:r>
        <w:rPr>
          <w:lang w:val="pl-PL"/>
        </w:rPr>
        <w:t>va.</w:t>
      </w:r>
    </w:p>
  </w:footnote>
  <w:footnote w:id="24">
    <w:p w:rsidR="00B26ED3" w:rsidRDefault="003423C1">
      <w:pPr>
        <w:jc w:val="both"/>
        <w:rPr>
          <w:lang w:val="pl-PL"/>
        </w:rPr>
      </w:pPr>
      <w:r>
        <w:rPr>
          <w:rStyle w:val="FootnoteReference"/>
        </w:rPr>
        <w:footnoteRef/>
      </w:r>
      <w:r>
        <w:rPr>
          <w:lang w:val="pl-PL"/>
        </w:rPr>
        <w:t xml:space="preserve"> Iznosi tekućeg računa europodručja koji se temelje na podacima iz bilance plaćanja nedavno su blago smanjeni i trenutačno pokazuju suficit koji je smanjen za 0,3 postotna boda BDP-a za 2015. odnosno 0,1 postotni bod BDP-a za 2016. u usporedbi s iznos</w:t>
      </w:r>
      <w:r>
        <w:rPr>
          <w:lang w:val="pl-PL"/>
        </w:rPr>
        <w:t>ima iz prošle godine. Saldo tekućeg računa europodručja u cjelini prema ostatku svijeta iznosio je 3,2 % BDP-a u 2016. i 2017. prema iznosima iz bilance plaćanja i nacionalnih računa. No svi tekući računi država članica europodručja ukupno iznose 3,5 % BDP</w:t>
      </w:r>
      <w:r>
        <w:rPr>
          <w:lang w:val="pl-PL"/>
        </w:rPr>
        <w:t xml:space="preserve">-a europodručja za 2016. odnosno 4 % BDP-a europodručja za 2017. Neusklađenost ukupnog iznosa za europodručje i svih salda tekućih računa država članica posljedica je prilagodbe zbog asimetrije podataka koje su dostavile države članice. </w:t>
      </w:r>
    </w:p>
  </w:footnote>
  <w:footnote w:id="25">
    <w:p w:rsidR="00B26ED3" w:rsidRDefault="003423C1">
      <w:pPr>
        <w:jc w:val="both"/>
        <w:rPr>
          <w:lang w:val="pl-PL"/>
        </w:rPr>
      </w:pPr>
      <w:r>
        <w:rPr>
          <w:rStyle w:val="FootnoteReference"/>
        </w:rPr>
        <w:footnoteRef/>
      </w:r>
      <w:r>
        <w:rPr>
          <w:lang w:val="pl-PL"/>
        </w:rPr>
        <w:t xml:space="preserve"> Za metodologiju </w:t>
      </w:r>
      <w:r>
        <w:rPr>
          <w:lang w:val="pl-PL"/>
        </w:rPr>
        <w:t xml:space="preserve">izračuna salda tekućih računa u skladu s temeljnim značajkama (norma tekućeg računa) vidjeti bilješku </w:t>
      </w:r>
      <w:r>
        <w:fldChar w:fldCharType="begin"/>
      </w:r>
      <w:r>
        <w:rPr>
          <w:lang w:val="pl-PL"/>
        </w:rPr>
        <w:instrText xml:space="preserve"> NOTEREF _Ref526526513 \h  \* MERGEFORMAT </w:instrText>
      </w:r>
      <w:r>
        <w:fldChar w:fldCharType="separate"/>
      </w:r>
      <w:r>
        <w:rPr>
          <w:lang w:val="pl-PL"/>
        </w:rPr>
        <w:t>16</w:t>
      </w:r>
      <w:r>
        <w:fldChar w:fldCharType="end"/>
      </w:r>
      <w:r>
        <w:rPr>
          <w:lang w:val="pl-PL"/>
        </w:rPr>
        <w:t xml:space="preserve"> i sadržana upućivanja. MMF (Izvješće o va</w:t>
      </w:r>
      <w:r>
        <w:rPr>
          <w:lang w:val="pl-PL"/>
        </w:rPr>
        <w:t>njskom sektoru 2018.) predlaže da norma tekućeg računa europodručja iznosi oko 1,5 % BDP-a.</w:t>
      </w:r>
    </w:p>
  </w:footnote>
  <w:footnote w:id="26">
    <w:p w:rsidR="00B26ED3" w:rsidRDefault="003423C1">
      <w:pPr>
        <w:jc w:val="both"/>
        <w:rPr>
          <w:lang w:val="pl-PL"/>
        </w:rPr>
      </w:pPr>
      <w:r>
        <w:rPr>
          <w:rStyle w:val="FootnoteReference"/>
        </w:rPr>
        <w:footnoteRef/>
      </w:r>
      <w:r>
        <w:rPr>
          <w:lang w:val="pl-PL"/>
        </w:rPr>
        <w:t xml:space="preserve"> Prognoza na temelju iznosa nacionalnih računa. </w:t>
      </w:r>
    </w:p>
  </w:footnote>
  <w:footnote w:id="27">
    <w:p w:rsidR="00B26ED3" w:rsidRDefault="003423C1">
      <w:pPr>
        <w:jc w:val="both"/>
        <w:rPr>
          <w:lang w:val="pl-PL"/>
        </w:rPr>
      </w:pPr>
      <w:r>
        <w:rPr>
          <w:rStyle w:val="FootnoteReference"/>
        </w:rPr>
        <w:footnoteRef/>
      </w:r>
      <w:r>
        <w:rPr>
          <w:lang w:val="pl-PL"/>
        </w:rPr>
        <w:t xml:space="preserve"> </w:t>
      </w:r>
      <w:r>
        <w:rPr>
          <w:rFonts w:ascii="Times New Roman" w:hAnsi="Times New Roman"/>
          <w:lang w:val="pl-PL"/>
        </w:rPr>
        <w:t xml:space="preserve">Vidjeti i ESB, Ekonomski bilten 05/2018., okvir 2. </w:t>
      </w:r>
    </w:p>
  </w:footnote>
  <w:footnote w:id="28">
    <w:p w:rsidR="00B26ED3" w:rsidRDefault="003423C1">
      <w:pPr>
        <w:jc w:val="both"/>
        <w:rPr>
          <w:rFonts w:ascii="Times New Roman" w:hAnsi="Times New Roman" w:cs="Times New Roman"/>
          <w:lang w:val="pl-PL"/>
        </w:rPr>
      </w:pPr>
      <w:r>
        <w:rPr>
          <w:rStyle w:val="FootnoteReference"/>
          <w:rFonts w:ascii="Times New Roman" w:hAnsi="Times New Roman"/>
        </w:rPr>
        <w:footnoteRef/>
      </w:r>
      <w:r>
        <w:rPr>
          <w:rFonts w:ascii="Times New Roman" w:hAnsi="Times New Roman"/>
          <w:lang w:val="pl-PL"/>
        </w:rPr>
        <w:t xml:space="preserve"> Pri procjeni izgleda energetske bilance trebalo bi uzeti u</w:t>
      </w:r>
      <w:r>
        <w:rPr>
          <w:rFonts w:ascii="Times New Roman" w:hAnsi="Times New Roman"/>
          <w:lang w:val="pl-PL"/>
        </w:rPr>
        <w:t xml:space="preserve"> obzir i postupno strukturno poboljšanje energetske bilance europodručja za određenu razinu cijena nafte povezano sa smanjenim značajem energetski intenzivnih aktivnosti i povećanom energetskom učinkovitošću proizvodnih postupaka. Vidjeti, primjerice, IAE </w:t>
      </w:r>
      <w:r>
        <w:rPr>
          <w:rFonts w:ascii="Times New Roman" w:hAnsi="Times New Roman"/>
          <w:lang w:val="pl-PL"/>
        </w:rPr>
        <w:t xml:space="preserve">(2018.), </w:t>
      </w:r>
      <w:r>
        <w:rPr>
          <w:rFonts w:ascii="Times New Roman" w:hAnsi="Times New Roman"/>
          <w:i/>
          <w:lang w:val="pl-PL"/>
        </w:rPr>
        <w:t>Energy Efficiency 2017</w:t>
      </w:r>
      <w:r>
        <w:rPr>
          <w:rFonts w:ascii="Times New Roman" w:hAnsi="Times New Roman"/>
          <w:lang w:val="pl-PL"/>
        </w:rPr>
        <w:t xml:space="preserve"> (Energetska učinkovitost 2017.), Međunarodna agencija za energiju.</w:t>
      </w:r>
    </w:p>
  </w:footnote>
  <w:footnote w:id="29">
    <w:p w:rsidR="00B26ED3" w:rsidRDefault="003423C1">
      <w:pPr>
        <w:jc w:val="both"/>
        <w:rPr>
          <w:lang w:val="pl-PL"/>
        </w:rPr>
      </w:pPr>
      <w:r>
        <w:rPr>
          <w:rStyle w:val="FootnoteReference"/>
        </w:rPr>
        <w:footnoteRef/>
      </w:r>
      <w:r>
        <w:rPr>
          <w:lang w:val="pl-PL"/>
        </w:rPr>
        <w:t xml:space="preserve"> Vidjeti Europska komisija, Godišnji pregled rasta za 2019., i B. Pierluigi. i D. Sondermann (2018.)</w:t>
      </w:r>
      <w:r>
        <w:rPr>
          <w:i/>
          <w:lang w:val="pl-PL"/>
        </w:rPr>
        <w:t>, Macroeconomic imbalances in the euro area</w:t>
      </w:r>
      <w:r>
        <w:rPr>
          <w:lang w:val="pl-PL"/>
        </w:rPr>
        <w:t>:</w:t>
      </w:r>
      <w:r>
        <w:rPr>
          <w:rFonts w:ascii="Times New Roman" w:hAnsi="Times New Roman"/>
          <w:lang w:val="pl-PL"/>
        </w:rPr>
        <w:t xml:space="preserve"> </w:t>
      </w:r>
      <w:r>
        <w:rPr>
          <w:rFonts w:ascii="Times New Roman" w:hAnsi="Times New Roman"/>
          <w:i/>
          <w:lang w:val="pl-PL"/>
        </w:rPr>
        <w:t>where do we</w:t>
      </w:r>
      <w:r>
        <w:rPr>
          <w:rFonts w:ascii="Times New Roman" w:hAnsi="Times New Roman"/>
          <w:i/>
          <w:lang w:val="pl-PL"/>
        </w:rPr>
        <w:t xml:space="preserve"> stand?</w:t>
      </w:r>
      <w:r>
        <w:rPr>
          <w:rFonts w:ascii="Times New Roman" w:hAnsi="Times New Roman"/>
          <w:lang w:val="pl-PL"/>
        </w:rPr>
        <w:t xml:space="preserve"> (Makroekonomske neravnoteže u europodručju: aktualno stanje) </w:t>
      </w:r>
      <w:r>
        <w:rPr>
          <w:lang w:val="pl-PL"/>
        </w:rPr>
        <w:t>ECB Occasional Paper 211/2018.</w:t>
      </w:r>
    </w:p>
  </w:footnote>
  <w:footnote w:id="30">
    <w:p w:rsidR="00B26ED3" w:rsidRDefault="003423C1">
      <w:pPr>
        <w:jc w:val="both"/>
        <w:rPr>
          <w:lang w:val="pl-PL"/>
        </w:rPr>
      </w:pPr>
      <w:r>
        <w:rPr>
          <w:rStyle w:val="FootnoteReference"/>
        </w:rPr>
        <w:footnoteRef/>
      </w:r>
      <w:r>
        <w:rPr>
          <w:lang w:val="pl-PL"/>
        </w:rPr>
        <w:t xml:space="preserve"> Ti se čimbenici uzimaju u obzir u referentnim mjerilima za pojedine države koje je razvila Europska komisija u suradnji s radnom skupinom Odbora za ekonomsku politiku projekta LIME (Europska komisija, </w:t>
      </w:r>
      <w:r>
        <w:rPr>
          <w:i/>
          <w:lang w:val="pl-PL"/>
        </w:rPr>
        <w:t>Benchmarks for the assessment of private debt</w:t>
      </w:r>
      <w:r>
        <w:rPr>
          <w:lang w:val="pl-PL"/>
        </w:rPr>
        <w:t>, (Refere</w:t>
      </w:r>
      <w:r>
        <w:rPr>
          <w:lang w:val="pl-PL"/>
        </w:rPr>
        <w:t>ntna mjerila za procjenu privatnog duga), bilješka za Odbor za ekonomsku politiku, ARES (2017) 4970814. Prvim referentnim mjerilom procjenjuje se privatni dug s obzirom na vrijednosti koje se mogu objasniti s pomoću temeljnih ekonomskih značajki. Drugo ref</w:t>
      </w:r>
      <w:r>
        <w:rPr>
          <w:lang w:val="pl-PL"/>
        </w:rPr>
        <w:t>erentno mjerilo sastoji se od bonitetnih pragova na temelju najveće moguće snage signala za predviđanje bankarskih kriza i uključuje informacije o kapitalizaciji banaka, državnom duga, razini gospodarskog razvoja za svaku pojedinu državu. U većini država č</w:t>
      </w:r>
      <w:r>
        <w:rPr>
          <w:lang w:val="pl-PL"/>
        </w:rPr>
        <w:t>lanica EU-a udjeli privatnog duga u BDP-u koji premašuju prag iz tablice rezultata IMU-a premašuju i oba referentna mjerila za pojedinu državu.</w:t>
      </w:r>
    </w:p>
  </w:footnote>
  <w:footnote w:id="31">
    <w:p w:rsidR="00B26ED3" w:rsidRDefault="003423C1">
      <w:pPr>
        <w:jc w:val="both"/>
        <w:rPr>
          <w:rFonts w:ascii="Times New Roman" w:hAnsi="Times New Roman" w:cs="Times New Roman"/>
          <w:sz w:val="18"/>
          <w:szCs w:val="18"/>
          <w:lang w:val="pl-PL"/>
        </w:rPr>
      </w:pPr>
      <w:r>
        <w:rPr>
          <w:rStyle w:val="FootnoteReference"/>
          <w:rFonts w:ascii="Times New Roman" w:hAnsi="Times New Roman"/>
        </w:rPr>
        <w:footnoteRef/>
      </w:r>
      <w:r>
        <w:rPr>
          <w:rFonts w:ascii="Times New Roman" w:hAnsi="Times New Roman"/>
          <w:lang w:val="pl-PL"/>
        </w:rPr>
        <w:t xml:space="preserve"> </w:t>
      </w:r>
      <w:r>
        <w:rPr>
          <w:lang w:val="pl-PL"/>
        </w:rPr>
        <w:t>Češka i Slovačka su iznimke. U slučaju Češke, brzi rast obveza u financijskom sektoru u 2017. u velikoj se mje</w:t>
      </w:r>
      <w:r>
        <w:rPr>
          <w:lang w:val="pl-PL"/>
        </w:rPr>
        <w:t xml:space="preserve">ri može pripisati financijskim transakcijama prije isteka tečajne obveze koje stoga ne odražavaju domaću kreditnu aktivnost. U Slovačkoj se povećanje uglavnom temeljilo na rastu obveza središnje banke prema rezidentima izvan europodručja. To je moglo biti </w:t>
      </w:r>
      <w:r>
        <w:rPr>
          <w:lang w:val="pl-PL"/>
        </w:rPr>
        <w:t>povezano s uslugama upravljanja pričuvama koje pruža Narodna banka Slovačke, koje nemaju neposredan utjecaj na domaće gospodarstvo.</w:t>
      </w:r>
    </w:p>
  </w:footnote>
  <w:footnote w:id="32">
    <w:p w:rsidR="00B26ED3" w:rsidRDefault="003423C1">
      <w:pPr>
        <w:jc w:val="both"/>
        <w:rPr>
          <w:lang w:val="pl-PL"/>
        </w:rPr>
      </w:pPr>
      <w:r>
        <w:rPr>
          <w:rStyle w:val="FootnoteReference"/>
        </w:rPr>
        <w:footnoteRef/>
      </w:r>
      <w:r>
        <w:rPr>
          <w:lang w:val="pl-PL"/>
        </w:rPr>
        <w:t xml:space="preserve"> Loši krediti u skupu dodatnih pokazatelja iz tablice rezultata definiraju se kao postotak bruto loših kredita i predujmova</w:t>
      </w:r>
      <w:r>
        <w:rPr>
          <w:lang w:val="pl-PL"/>
        </w:rPr>
        <w:t xml:space="preserve"> u ukupnim bruto kreditima i predujmovima (bruto knjigovodstvena vrijednost), za izvještajni sektor „domaće bankovne grupacije i samostalne banke, društva kćeri u stranom vlasništvu i podružnice u stranom vlasništvu, sve institucije”. Vrijednosti su navede</w:t>
      </w:r>
      <w:r>
        <w:rPr>
          <w:lang w:val="pl-PL"/>
        </w:rPr>
        <w:t>ne u tablici 2.1.</w:t>
      </w:r>
    </w:p>
  </w:footnote>
  <w:footnote w:id="33">
    <w:p w:rsidR="00B26ED3" w:rsidRDefault="003423C1">
      <w:pPr>
        <w:jc w:val="both"/>
        <w:rPr>
          <w:lang w:val="pl-PL"/>
        </w:rPr>
      </w:pPr>
      <w:r>
        <w:rPr>
          <w:rStyle w:val="FootnoteReference"/>
        </w:rPr>
        <w:footnoteRef/>
      </w:r>
      <w:r>
        <w:rPr>
          <w:lang w:val="pl-PL"/>
        </w:rPr>
        <w:t xml:space="preserve"> Usklađeni omjeri loših kredita dostupni su tek od 2014. U grafikonu 17. prikazan je udjel bruto neprihodujućih dužničkih instrumenata u ukupnim bruto dužničkim instrumentima, koji je dostupan u duljim vremenskim okvirima, i koji se, osi</w:t>
      </w:r>
      <w:r>
        <w:rPr>
          <w:lang w:val="pl-PL"/>
        </w:rPr>
        <w:t xml:space="preserve">m kredita, odnosi i na druge dužničke instrumente koje drži bankarski sektor. Potonji je obično nešto niži od udjela loših kredita. Maksimalna razlika između dva udjela trenutačno iznosi 4 postotna boda (za Grčku), a za većinu država članica manja je od 1 </w:t>
      </w:r>
      <w:r>
        <w:rPr>
          <w:lang w:val="pl-PL"/>
        </w:rPr>
        <w:t>postotnog boda.</w:t>
      </w:r>
    </w:p>
  </w:footnote>
  <w:footnote w:id="34">
    <w:p w:rsidR="00B26ED3" w:rsidRDefault="003423C1">
      <w:pPr>
        <w:jc w:val="both"/>
        <w:rPr>
          <w:rFonts w:ascii="Times New Roman" w:hAnsi="Times New Roman" w:cs="Times New Roman"/>
          <w:lang w:val="pl-PL"/>
        </w:rPr>
      </w:pPr>
      <w:r>
        <w:rPr>
          <w:rStyle w:val="FootnoteReference"/>
          <w:rFonts w:ascii="Times New Roman" w:hAnsi="Times New Roman"/>
        </w:rPr>
        <w:footnoteRef/>
      </w:r>
      <w:r>
        <w:rPr>
          <w:rFonts w:ascii="Times New Roman" w:hAnsi="Times New Roman"/>
          <w:lang w:val="pl-PL"/>
        </w:rPr>
        <w:t xml:space="preserve"> Analiza vrednovanja cijena temelji se na prosjeku tri pokazatelja: i. razlika u pristupačnosti (odstupanje omjera cijene i dohotka u odnosu na dugoročni prosjek); ii. razlika u dividendama (odstupanje omjera cijena i stanarina od dugoročn</w:t>
      </w:r>
      <w:r>
        <w:rPr>
          <w:rFonts w:ascii="Times New Roman" w:hAnsi="Times New Roman"/>
          <w:lang w:val="pl-PL"/>
        </w:rPr>
        <w:t xml:space="preserve">og prosjeka); i iii. procjene odstupanja cijena stambenih nekretnina od ravnotežnih vrijednosti koje se objašnjavaju temeljnim značajkama ponude i potražnje na tržištu nekretnina. Vidjeti N. Philiponnet i A. Turrini (2017.), </w:t>
      </w:r>
      <w:r>
        <w:rPr>
          <w:rFonts w:ascii="Times New Roman" w:hAnsi="Times New Roman"/>
          <w:i/>
          <w:lang w:val="pl-PL"/>
        </w:rPr>
        <w:t>Assessing House Price Developme</w:t>
      </w:r>
      <w:r>
        <w:rPr>
          <w:rFonts w:ascii="Times New Roman" w:hAnsi="Times New Roman"/>
          <w:i/>
          <w:lang w:val="pl-PL"/>
        </w:rPr>
        <w:t>nts in the EU</w:t>
      </w:r>
      <w:r>
        <w:rPr>
          <w:rFonts w:ascii="Times New Roman" w:hAnsi="Times New Roman"/>
          <w:lang w:val="pl-PL"/>
        </w:rPr>
        <w:t xml:space="preserve"> (Procjena razvoja cijena stambenih nekretnina u EU-u), Europska komisija, Dokument za raspravu br. 048., svibanj 2017. Alternativni pokazatelj koji se temelji na omjerima razina cijena stambenih nekretnina i raspoloživog dohotka kućanstava po</w:t>
      </w:r>
      <w:r>
        <w:rPr>
          <w:rFonts w:ascii="Times New Roman" w:hAnsi="Times New Roman"/>
          <w:lang w:val="pl-PL"/>
        </w:rPr>
        <w:t xml:space="preserve"> glavi upućuje na to da bi u Hrvatskoj, na Cipru i u Estoniji mogle biti prisutne precijenjenosti, dok su one manje očite za Dansku, Češku, Latviju (vidjeti Europska komisija, Europska ekonomska prognoza – zima 2016., European Economy, Institutional Paper </w:t>
      </w:r>
      <w:r>
        <w:rPr>
          <w:rFonts w:ascii="Times New Roman" w:hAnsi="Times New Roman"/>
          <w:lang w:val="pl-PL"/>
        </w:rPr>
        <w:t>br. 20., 2016. (okvir 1.4.)).</w:t>
      </w:r>
    </w:p>
  </w:footnote>
  <w:footnote w:id="35">
    <w:p w:rsidR="00B26ED3" w:rsidRDefault="003423C1">
      <w:pPr>
        <w:jc w:val="both"/>
        <w:rPr>
          <w:lang w:val="pl-PL"/>
        </w:rPr>
      </w:pPr>
      <w:r>
        <w:rPr>
          <w:rStyle w:val="FootnoteReference"/>
        </w:rPr>
        <w:footnoteRef/>
      </w:r>
      <w:r>
        <w:rPr>
          <w:lang w:val="pl-PL"/>
        </w:rPr>
        <w:t xml:space="preserve"> Navedene su države imale realne stope rasta cijena stambenih nekretnina koje su u prvoj polovini 2018. bile iznad ili ispod godišnje stope rasta u 2017. za najmanje 2 postotna boda.</w:t>
      </w:r>
    </w:p>
  </w:footnote>
  <w:footnote w:id="36">
    <w:p w:rsidR="00B26ED3" w:rsidRDefault="003423C1">
      <w:pPr>
        <w:jc w:val="both"/>
        <w:rPr>
          <w:rFonts w:ascii="Times New Roman" w:hAnsi="Times New Roman" w:cs="Times New Roman"/>
          <w:lang w:val="pl-PL"/>
        </w:rPr>
      </w:pPr>
      <w:r>
        <w:rPr>
          <w:rStyle w:val="FootnoteReference"/>
          <w:rFonts w:ascii="Times New Roman" w:hAnsi="Times New Roman"/>
          <w:sz w:val="18"/>
        </w:rPr>
        <w:footnoteRef/>
      </w:r>
      <w:r>
        <w:rPr>
          <w:rFonts w:ascii="Times New Roman" w:hAnsi="Times New Roman"/>
          <w:sz w:val="18"/>
          <w:lang w:val="pl-PL"/>
        </w:rPr>
        <w:t xml:space="preserve"> Pokazatelj </w:t>
      </w:r>
      <w:r>
        <w:rPr>
          <w:rFonts w:ascii="Times New Roman" w:hAnsi="Times New Roman"/>
          <w:i/>
          <w:sz w:val="18"/>
          <w:lang w:val="pl-PL"/>
        </w:rPr>
        <w:t>izloženosti riziku od siromaš</w:t>
      </w:r>
      <w:r>
        <w:rPr>
          <w:rFonts w:ascii="Times New Roman" w:hAnsi="Times New Roman"/>
          <w:i/>
          <w:sz w:val="18"/>
          <w:lang w:val="pl-PL"/>
        </w:rPr>
        <w:t>tva ili socijalne isključenosti (AROPE)</w:t>
      </w:r>
      <w:r>
        <w:rPr>
          <w:rFonts w:ascii="Times New Roman" w:hAnsi="Times New Roman"/>
          <w:sz w:val="18"/>
          <w:lang w:val="pl-PL"/>
        </w:rPr>
        <w:t xml:space="preserve"> odgovara udjelu osoba koje su ranjive prema najmanje jednom od tri socijalna pokazatelja: 1. </w:t>
      </w:r>
      <w:r>
        <w:rPr>
          <w:rFonts w:ascii="Times New Roman" w:hAnsi="Times New Roman"/>
          <w:i/>
          <w:sz w:val="18"/>
          <w:lang w:val="pl-PL"/>
        </w:rPr>
        <w:t>izloženost riziku od siromaštva (AROP)</w:t>
      </w:r>
      <w:r>
        <w:rPr>
          <w:rFonts w:ascii="Times New Roman" w:hAnsi="Times New Roman"/>
          <w:sz w:val="18"/>
          <w:lang w:val="pl-PL"/>
        </w:rPr>
        <w:t xml:space="preserve"> kojim se mjeri financijsko siromaštvo u odnosu na raspodjelu nacionalnog dohotka i i</w:t>
      </w:r>
      <w:r>
        <w:rPr>
          <w:rFonts w:ascii="Times New Roman" w:hAnsi="Times New Roman"/>
          <w:sz w:val="18"/>
          <w:lang w:val="pl-PL"/>
        </w:rPr>
        <w:t xml:space="preserve">zračunava se kao udio osoba s raspoloživim dohotkom (prilagođen za sastav kućanstva) ispod 60 % nacionalnog prosjeka; 2. </w:t>
      </w:r>
      <w:r>
        <w:rPr>
          <w:rFonts w:ascii="Times New Roman" w:hAnsi="Times New Roman"/>
          <w:i/>
          <w:sz w:val="18"/>
          <w:lang w:val="pl-PL"/>
        </w:rPr>
        <w:t>teška materijalna oskudica</w:t>
      </w:r>
      <w:r>
        <w:rPr>
          <w:rFonts w:ascii="Times New Roman" w:hAnsi="Times New Roman"/>
          <w:sz w:val="18"/>
          <w:lang w:val="pl-PL"/>
        </w:rPr>
        <w:t xml:space="preserve"> koja obuhvaća pokazatelje koji se odnose na manjak sredstava i predstavlja udio osoba koje oskudijevaju u na</w:t>
      </w:r>
      <w:r>
        <w:rPr>
          <w:rFonts w:ascii="Times New Roman" w:hAnsi="Times New Roman"/>
          <w:sz w:val="18"/>
          <w:lang w:val="pl-PL"/>
        </w:rPr>
        <w:t xml:space="preserve">jmanje 4 od 9 elemenata oskudice, na temelju nemogućnosti da si priušte određene vrste troškova; 3. </w:t>
      </w:r>
      <w:r>
        <w:rPr>
          <w:rFonts w:ascii="Times New Roman" w:hAnsi="Times New Roman"/>
          <w:i/>
          <w:sz w:val="18"/>
          <w:lang w:val="pl-PL"/>
        </w:rPr>
        <w:t>osobe koje žive u kućanstvima s izrazito niskim intenzitetom rada</w:t>
      </w:r>
      <w:r>
        <w:rPr>
          <w:rFonts w:ascii="Times New Roman" w:hAnsi="Times New Roman"/>
          <w:sz w:val="18"/>
          <w:lang w:val="pl-PL"/>
        </w:rPr>
        <w:t xml:space="preserve"> pripadnici su dobne skupine 0–59 koji žive u kućanstvima u kojima su odrasle osobe (dobna </w:t>
      </w:r>
      <w:r>
        <w:rPr>
          <w:rFonts w:ascii="Times New Roman" w:hAnsi="Times New Roman"/>
          <w:sz w:val="18"/>
          <w:lang w:val="pl-PL"/>
        </w:rPr>
        <w:t>skupina 18–59) tijekom protekle godine odradile manje od 20 % svojeg ukupnog radnog potencijala. Referentno razdoblje za dohodak za podatke na kojima se temelje ti izračuni utvrđeno je razdoblje od 12 mjeseci, kao što je prethodna kalendarska ili porezna g</w:t>
      </w:r>
      <w:r>
        <w:rPr>
          <w:rFonts w:ascii="Times New Roman" w:hAnsi="Times New Roman"/>
          <w:sz w:val="18"/>
          <w:lang w:val="pl-PL"/>
        </w:rPr>
        <w:t>odina na koju se odnose podaci, za sve zemlje osim za Ujedinjenu Kraljevinu, za koju je referentno razdoblje za dohodak tekuća godina, i Irsku, za koju se istraživanje još uvijek provodi, a dohodak se prikuplja za posljednjih dvanaest mjeseci. U trenutku s</w:t>
      </w:r>
      <w:r>
        <w:rPr>
          <w:rFonts w:ascii="Times New Roman" w:hAnsi="Times New Roman"/>
          <w:sz w:val="18"/>
          <w:lang w:val="pl-PL"/>
        </w:rPr>
        <w:t xml:space="preserve">astavljanja izvješća dostupni su podaci za 2017. za sve države osim za Irsku i Ujedinjenu Kraljevinu. </w:t>
      </w:r>
    </w:p>
  </w:footnote>
  <w:footnote w:id="37">
    <w:p w:rsidR="00B26ED3" w:rsidRDefault="003423C1">
      <w:pPr>
        <w:rPr>
          <w:lang w:val="pl-PL"/>
        </w:rPr>
      </w:pPr>
      <w:r>
        <w:rPr>
          <w:rStyle w:val="FootnoteReference"/>
        </w:rPr>
        <w:footnoteRef/>
      </w:r>
      <w:r>
        <w:rPr>
          <w:lang w:val="pl-PL"/>
        </w:rPr>
        <w:t xml:space="preserve"> Ugovorna proizvodnja je postupak u kojem multinacionalne kompanije rezidenti sklapaju ugovore s inozemnim poduzećima radi proizvodnje u njihovo ime. Bu</w:t>
      </w:r>
      <w:r>
        <w:rPr>
          <w:lang w:val="pl-PL"/>
        </w:rPr>
        <w:t>dući da su vlasnici proizvoda kompanije rezidenti, njihova se prodaja evidentira kao izvoz rezidentne države iako proizvodi ne ulaze u domaće gospodarstvo.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C1" w:rsidRPr="003423C1" w:rsidRDefault="003423C1" w:rsidP="003423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C1" w:rsidRPr="003423C1" w:rsidRDefault="003423C1" w:rsidP="003423C1">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3C1" w:rsidRPr="003423C1" w:rsidRDefault="003423C1" w:rsidP="003423C1">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ED3" w:rsidRDefault="00B26ED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ED3" w:rsidRDefault="00B26ED3">
    <w:pPr>
      <w:jc w:val="center"/>
    </w:pPr>
  </w:p>
  <w:p w:rsidR="00B26ED3" w:rsidRDefault="00B26ED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ED3" w:rsidRDefault="00B26ED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ED3" w:rsidRDefault="00B26E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ED3" w:rsidRDefault="00B26ED3">
    <w:pPr>
      <w:pStyle w:val="Header"/>
      <w:jc w:val="center"/>
    </w:pPr>
  </w:p>
  <w:p w:rsidR="00B26ED3" w:rsidRDefault="00B26ED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ED3" w:rsidRDefault="00B26E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activeWritingStyle w:appName="MSWord" w:lang="it-IT" w:vendorID="64" w:dllVersion="131078" w:nlCheck="1" w:checkStyle="0"/>
  <w:revisionView w:markup="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This document corrects document COM(2018) 758 final of 21.11.2018_x000b_Concerns all language versions. _x000b_Graph A9 is concerned_x000b_The text shall read as follows: "/>
    <w:docVar w:name="LW_COVERPAGE_EXISTS" w:val="True"/>
    <w:docVar w:name="LW_COVERPAGE_GUID" w:val="D13A6EC2-3614-4C7C-8ECE-4D1B06420363"/>
    <w:docVar w:name="LW_COVERPAGE_TYPE" w:val="1"/>
    <w:docVar w:name="LW_CROSSREFERENCE" w:val="{SWD(2018) 466 final}"/>
    <w:docVar w:name="LW_DocType" w:val="NORMAL"/>
    <w:docVar w:name="LW_EMISSION" w:val="31.1.2019."/>
    <w:docVar w:name="LW_EMISSION_ISODATE" w:val="2019-01-31"/>
    <w:docVar w:name="LW_EMISSION_LOCATION" w:val="BRX"/>
    <w:docVar w:name="LW_EMISSION_PREFIX" w:val="Bruxelles, "/>
    <w:docVar w:name="LW_EMISSION_SUFFIX" w:val="&lt;EMPTY&gt;"/>
    <w:docVar w:name="LW_ID_DOCTYPE_NONLW" w:val="CP-003"/>
    <w:docVar w:name="LW_LANGUE" w:val="HR"/>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lt;EMPTY&gt;"/>
    <w:docVar w:name="LW_REF.INST.NEW_TEXT" w:val="(2018) 758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Calibri CE&gt;EUROPSKOM PARLAMENTU, VIJE\u262?U, EUROPSKOJ SREDI\u352?NJOJ BANCI I EUROPSKOM GOSPODARSKOM I SOCIJALNOM ODBORU&lt;/FMT&gt;_x000d__x000d__x000b__x000d__x000d__x000b_&lt;FMT:Font=Calibri CE&gt;Izvje\u353?\u263?e o mehanizmu upozoravanja za 2019.&lt;/FMT&gt;_x000d__x000d__x000b__x000d__x000d__x000b_&lt;FMT:Font=Calibri CE&gt;(sastavljeno u skladu s \u269?lancima 3. i 4. Uredbe (EU) br. 1176/2011 o spre\u269?avanju i ispravljanju makroekonomskih neravnote\u382?a)&lt;/FMT&gt;"/>
    <w:docVar w:name="LW_TYPE.DOC.CP" w:val="IZVJE\u352?\u262?E KOMISIJE"/>
  </w:docVars>
  <w:rsids>
    <w:rsidRoot w:val="00B26ED3"/>
    <w:rsid w:val="003423C1"/>
    <w:rsid w:val="00B26ED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C761BADD-7C68-4473-A734-9EAE0214A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header" Target="header4.xml"/><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55.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4.xml"/><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CA39D-98E3-40CF-9FE6-399090DF1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62</Pages>
  <Words>18698</Words>
  <Characters>111815</Characters>
  <Application>Microsoft Office Word</Application>
  <DocSecurity>0</DocSecurity>
  <Lines>1644</Lines>
  <Paragraphs>284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21</cp:revision>
  <cp:lastPrinted>2018-11-16T11:26:00Z</cp:lastPrinted>
  <dcterms:created xsi:type="dcterms:W3CDTF">2019-01-11T10:21:00Z</dcterms:created>
  <dcterms:modified xsi:type="dcterms:W3CDTF">2019-02-04T11:55:00Z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