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D78" w:rsidRDefault="00E65635" w:rsidP="00E65635">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CEA3CBC-759E-4A03-9E10-67B29FB1EE35" style="width:450.85pt;height:455.25pt">
            <v:imagedata r:id="rId8" o:title=""/>
          </v:shape>
        </w:pict>
      </w:r>
    </w:p>
    <w:bookmarkEnd w:id="0"/>
    <w:p w:rsidR="00222D78" w:rsidRDefault="00222D78">
      <w:pPr>
        <w:jc w:val="both"/>
        <w:rPr>
          <w:rFonts w:ascii="Times New Roman" w:hAnsi="Times New Roman" w:cs="Times New Roman"/>
          <w:noProof/>
        </w:rPr>
        <w:sectPr w:rsidR="00222D78" w:rsidSect="00E65635">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22D78">
        <w:tc>
          <w:tcPr>
            <w:tcW w:w="9288" w:type="dxa"/>
            <w:shd w:val="clear" w:color="auto" w:fill="BFBFBF"/>
          </w:tcPr>
          <w:p w:rsidR="00222D78" w:rsidRDefault="00E65635">
            <w:pPr>
              <w:jc w:val="both"/>
              <w:rPr>
                <w:rFonts w:ascii="Times New Roman" w:hAnsi="Times New Roman" w:cs="Times New Roman"/>
                <w:i/>
                <w:noProof/>
                <w:lang w:val="nl-NL"/>
              </w:rPr>
            </w:pPr>
            <w:r>
              <w:rPr>
                <w:rFonts w:ascii="Times New Roman" w:hAnsi="Times New Roman"/>
                <w:i/>
                <w:noProof/>
                <w:lang w:val="nl-NL"/>
              </w:rPr>
              <w:lastRenderedPageBreak/>
              <w:t xml:space="preserve">Het waarschuwingsmechanismeverslag (AMR - alert mechanism report) vormt het startpunt van de jaarlijkse cyclus van de procedure voor macro-economische onevenwichtigheden (MIP - macroeconomic imbalance procedure), waarmee wordt beoogd de onevenwichtigheden </w:t>
            </w:r>
            <w:r>
              <w:rPr>
                <w:rFonts w:ascii="Times New Roman" w:hAnsi="Times New Roman"/>
                <w:i/>
                <w:noProof/>
                <w:lang w:val="nl-NL"/>
              </w:rPr>
              <w:t xml:space="preserve">te detecteren en aan te pakken die de vlotte werking van de economieën van de lidstaten en van de economie van de EU hinderen en die de goede werking van de economische en monetaire unie in gevaar kunnen brengen. </w:t>
            </w:r>
          </w:p>
          <w:p w:rsidR="00222D78" w:rsidRDefault="00E65635">
            <w:pPr>
              <w:jc w:val="both"/>
              <w:rPr>
                <w:rFonts w:ascii="Times New Roman" w:hAnsi="Times New Roman" w:cs="Times New Roman"/>
                <w:noProof/>
                <w:lang w:val="nl-NL"/>
              </w:rPr>
            </w:pPr>
            <w:r>
              <w:rPr>
                <w:rFonts w:ascii="Times New Roman" w:hAnsi="Times New Roman"/>
                <w:i/>
                <w:noProof/>
                <w:lang w:val="nl-NL"/>
              </w:rPr>
              <w:t>In het verslag wordt gebruikgemaakt van ee</w:t>
            </w:r>
            <w:r>
              <w:rPr>
                <w:rFonts w:ascii="Times New Roman" w:hAnsi="Times New Roman"/>
                <w:i/>
                <w:noProof/>
                <w:lang w:val="nl-NL"/>
              </w:rPr>
              <w:t xml:space="preserve">n scorebord van geselecteerde indicatoren, gecompleteerd met een ruimere reeks aanvullende indicatoren en extra relevante gegevens, om lidstaten te screenen op potentiële economische onevenwichtigheden die beleidsmaatregelen vereisen. In het AMR worden de </w:t>
            </w:r>
            <w:r>
              <w:rPr>
                <w:rFonts w:ascii="Times New Roman" w:hAnsi="Times New Roman"/>
                <w:i/>
                <w:noProof/>
                <w:lang w:val="nl-NL"/>
              </w:rPr>
              <w:t>lidstaten genoemd die aan een diepgaande analyse (IDR - in-depth review) moeten worden onderworpen om te beoordelen hoe macro-economische risico's in die lidstaten ontstaan of afnemen, alsook om uit te maken of er van onevenwichtigheden, dan wel van buiten</w:t>
            </w:r>
            <w:r>
              <w:rPr>
                <w:rFonts w:ascii="Times New Roman" w:hAnsi="Times New Roman"/>
                <w:i/>
                <w:noProof/>
                <w:lang w:val="nl-NL"/>
              </w:rPr>
              <w:t>sporige onevenwichtigheden sprake is. Rekening houdend met besprekingen met betrekking tot het AMR die met het Europees Parlement en binnen de Raad en de Eurogroep worden gevoerd, zal de Commissie IDR's voor de betrokken lidstaten opstellen. Volgens een va</w:t>
            </w:r>
            <w:r>
              <w:rPr>
                <w:rFonts w:ascii="Times New Roman" w:hAnsi="Times New Roman"/>
                <w:i/>
                <w:noProof/>
                <w:lang w:val="nl-NL"/>
              </w:rPr>
              <w:t>ste praktijk zal voor lidstaten ten aanzien waarvan in de vorige ronde van IDR's onevenwichtigheden zijn geconstateerd, in ieder geval een evaluatie worden opgesteld. De bevindingen van deze diepgaande evaluaties zullen worden meegenomen in de landspecifie</w:t>
            </w:r>
            <w:r>
              <w:rPr>
                <w:rFonts w:ascii="Times New Roman" w:hAnsi="Times New Roman"/>
                <w:i/>
                <w:noProof/>
                <w:lang w:val="nl-NL"/>
              </w:rPr>
              <w:t xml:space="preserve">ke aanbevelingen (CSR - country-specific recommendation) in het kader van het Europees Semester voor coördinatie van het economisch beleid. De diepgaande evaluaties zullen naar verwachting in februari 2019 worden gepubliceerd, voordat het pakket met CSR's </w:t>
            </w:r>
            <w:r>
              <w:rPr>
                <w:rFonts w:ascii="Times New Roman" w:hAnsi="Times New Roman"/>
                <w:i/>
                <w:noProof/>
                <w:lang w:val="nl-NL"/>
              </w:rPr>
              <w:t>in het kader van het Europees semester wordt bekendgemaakt.</w:t>
            </w:r>
          </w:p>
        </w:tc>
      </w:tr>
    </w:tbl>
    <w:p w:rsidR="00222D78" w:rsidRDefault="00222D78">
      <w:pPr>
        <w:jc w:val="both"/>
        <w:rPr>
          <w:rFonts w:ascii="Times New Roman" w:hAnsi="Times New Roman" w:cs="Times New Roman"/>
          <w:b/>
          <w:bCs/>
          <w:noProof/>
          <w:lang w:val="nl-NL"/>
        </w:rPr>
      </w:pPr>
    </w:p>
    <w:p w:rsidR="00222D78" w:rsidRDefault="00E65635">
      <w:pPr>
        <w:jc w:val="both"/>
        <w:rPr>
          <w:rFonts w:ascii="Times New Roman" w:hAnsi="Times New Roman" w:cs="Times New Roman"/>
          <w:b/>
          <w:bCs/>
          <w:noProof/>
          <w:lang w:val="nl-NL"/>
        </w:rPr>
      </w:pPr>
      <w:r>
        <w:rPr>
          <w:rFonts w:ascii="Times New Roman" w:hAnsi="Times New Roman"/>
          <w:b/>
          <w:noProof/>
          <w:lang w:val="nl-NL"/>
        </w:rPr>
        <w:t>1.</w:t>
      </w:r>
      <w:r>
        <w:rPr>
          <w:noProof/>
          <w:lang w:val="nl-NL"/>
        </w:rPr>
        <w:tab/>
      </w:r>
      <w:r>
        <w:rPr>
          <w:rFonts w:ascii="Times New Roman Bold" w:hAnsi="Times New Roman Bold"/>
          <w:b/>
          <w:smallCaps/>
          <w:noProof/>
          <w:lang w:val="nl-NL"/>
        </w:rPr>
        <w:t>Samenvatting</w:t>
      </w:r>
    </w:p>
    <w:p w:rsidR="00222D78" w:rsidRDefault="00E65635">
      <w:pPr>
        <w:jc w:val="both"/>
        <w:rPr>
          <w:rFonts w:ascii="Times New Roman" w:hAnsi="Times New Roman" w:cs="Times New Roman"/>
          <w:noProof/>
          <w:lang w:val="nl-NL"/>
        </w:rPr>
      </w:pPr>
      <w:r>
        <w:rPr>
          <w:rFonts w:ascii="Times New Roman" w:hAnsi="Times New Roman"/>
          <w:b/>
          <w:noProof/>
          <w:lang w:val="nl-NL"/>
        </w:rPr>
        <w:t>Voorliggend verslag markeert het begin van de achtste ronde van de procedure inzake macro-economische onevenwichtigheden (MIP).</w:t>
      </w:r>
      <w:r>
        <w:rPr>
          <w:rFonts w:ascii="Times New Roman" w:hAnsi="Times New Roman"/>
          <w:noProof/>
          <w:vertAlign w:val="superscript"/>
        </w:rPr>
        <w:footnoteReference w:id="1"/>
      </w:r>
      <w:r>
        <w:rPr>
          <w:rFonts w:ascii="Times New Roman" w:hAnsi="Times New Roman"/>
          <w:noProof/>
          <w:lang w:val="nl-NL"/>
        </w:rPr>
        <w:t xml:space="preserve"> Met deze procedure wordt beoogd de onevenwichtigheden te detecteren die een vlotte werking van de economieën van de lidstaten in de weg staan, en tevens de aanzet tot passende beleidsreacties te geven. De implementatie van de MIP past in het Europees seme</w:t>
      </w:r>
      <w:r>
        <w:rPr>
          <w:rFonts w:ascii="Times New Roman" w:hAnsi="Times New Roman"/>
          <w:noProof/>
          <w:lang w:val="nl-NL"/>
        </w:rPr>
        <w:t>ster voor de coördinatie van het economisch beleid om de consistentie te verzekeren met de analyses en aanbevelingen in het kader van andere instrumenten voor de uitoefening van het economisch toezicht. In de jaarlijkse groeianalyse, die op hetzelfde momen</w:t>
      </w:r>
      <w:r>
        <w:rPr>
          <w:rFonts w:ascii="Times New Roman" w:hAnsi="Times New Roman"/>
          <w:noProof/>
          <w:lang w:val="nl-NL"/>
        </w:rPr>
        <w:t>t als voorliggend verslag wordt aangenomen, wordt de balans opgemaakt van de economische en sociale situatie in Europa en worden ook de brede beleidsprioriteiten voor de EU als geheel voor de komende jaren uiteengezet.</w:t>
      </w:r>
    </w:p>
    <w:p w:rsidR="00222D78" w:rsidRDefault="00E65635">
      <w:pPr>
        <w:jc w:val="both"/>
        <w:rPr>
          <w:rFonts w:ascii="Times New Roman" w:hAnsi="Times New Roman" w:cs="Times New Roman"/>
          <w:noProof/>
          <w:lang w:val="nl-NL"/>
        </w:rPr>
      </w:pPr>
      <w:r>
        <w:rPr>
          <w:rFonts w:ascii="Times New Roman" w:hAnsi="Times New Roman"/>
          <w:b/>
          <w:noProof/>
          <w:lang w:val="nl-NL"/>
        </w:rPr>
        <w:t xml:space="preserve">In het verslag wordt aangegeven voor </w:t>
      </w:r>
      <w:r>
        <w:rPr>
          <w:rFonts w:ascii="Times New Roman" w:hAnsi="Times New Roman"/>
          <w:b/>
          <w:noProof/>
          <w:lang w:val="nl-NL"/>
        </w:rPr>
        <w:t>welke lidstaten een IDR nodig is zodat kan worden nagegaan of zij kampen met onevenwichtigheden die beleidsoptreden vereisen.</w:t>
      </w:r>
      <w:r>
        <w:rPr>
          <w:rFonts w:ascii="Times New Roman" w:hAnsi="Times New Roman"/>
          <w:noProof/>
          <w:vertAlign w:val="superscript"/>
        </w:rPr>
        <w:footnoteReference w:id="2"/>
      </w:r>
      <w:r>
        <w:rPr>
          <w:rFonts w:ascii="Times New Roman" w:hAnsi="Times New Roman"/>
          <w:noProof/>
          <w:lang w:val="nl-NL"/>
        </w:rPr>
        <w:t xml:space="preserve"> Het AMR is een doorlichtingsinstrument voor het opsporen van economische onevenwichtigheden dat bij het begin van </w:t>
      </w:r>
      <w:r>
        <w:rPr>
          <w:rFonts w:ascii="Times New Roman" w:hAnsi="Times New Roman"/>
          <w:noProof/>
          <w:lang w:val="nl-NL"/>
        </w:rPr>
        <w:lastRenderedPageBreak/>
        <w:t>elke jaarlijkse</w:t>
      </w:r>
      <w:r>
        <w:rPr>
          <w:rFonts w:ascii="Times New Roman" w:hAnsi="Times New Roman"/>
          <w:noProof/>
          <w:lang w:val="nl-NL"/>
        </w:rPr>
        <w:t xml:space="preserve"> cyclus van de coördinatie van het economisch beleid wordt gepubliceerd. Het is met name gebaseerd op een economische interpretatie van een scorebord van indicatoren met indicatieve drempels, gecompleteerd met een reeks aanvullende indicatoren. Het AMR omv</w:t>
      </w:r>
      <w:r>
        <w:rPr>
          <w:rFonts w:ascii="Times New Roman" w:hAnsi="Times New Roman"/>
          <w:noProof/>
          <w:lang w:val="nl-NL"/>
        </w:rPr>
        <w:t>at ook een analyse van de implicaties voor de eurozone van de onevenwichtigheden van lidstaten en een onderzoek naar de mate waarin een gecoördineerde aanpak van de beleidsreacties nodig is in het licht van de onderlinge afhankelijkheden binnen de eurozone</w:t>
      </w:r>
      <w:r>
        <w:rPr>
          <w:rFonts w:ascii="Times New Roman" w:hAnsi="Times New Roman"/>
          <w:noProof/>
          <w:lang w:val="nl-NL"/>
        </w:rPr>
        <w:t>.</w:t>
      </w:r>
      <w:r>
        <w:rPr>
          <w:rFonts w:ascii="Times New Roman" w:hAnsi="Times New Roman"/>
          <w:noProof/>
          <w:vertAlign w:val="superscript"/>
        </w:rPr>
        <w:footnoteReference w:id="3"/>
      </w:r>
      <w:r>
        <w:rPr>
          <w:rFonts w:ascii="Times New Roman" w:hAnsi="Times New Roman"/>
          <w:noProof/>
          <w:lang w:val="nl-NL"/>
        </w:rPr>
        <w:t xml:space="preserve"> In dit verband vormt de analyse in voorliggend verslag een aanvulling op de beoordeling in het werkdocument van de diensten van de Europese Commissie "Analyse van de economie van de eurozone", dat bij de aanbeveling van de Commissie voor een aanbeveling</w:t>
      </w:r>
      <w:r>
        <w:rPr>
          <w:rFonts w:ascii="Times New Roman" w:hAnsi="Times New Roman"/>
          <w:noProof/>
          <w:lang w:val="nl-NL"/>
        </w:rPr>
        <w:t xml:space="preserve"> van de Raad betreffende het economisch beleid van de eurozone is gevoegd.</w:t>
      </w:r>
    </w:p>
    <w:p w:rsidR="00222D78" w:rsidRDefault="00E65635">
      <w:pPr>
        <w:jc w:val="both"/>
        <w:rPr>
          <w:rFonts w:ascii="Times New Roman" w:hAnsi="Times New Roman" w:cs="Times New Roman"/>
          <w:noProof/>
          <w:lang w:val="nl-NL"/>
        </w:rPr>
      </w:pPr>
      <w:r>
        <w:rPr>
          <w:rFonts w:ascii="Times New Roman" w:hAnsi="Times New Roman"/>
          <w:b/>
          <w:noProof/>
          <w:lang w:val="nl-NL"/>
        </w:rPr>
        <w:t xml:space="preserve">De AMR-beoordeling vindt plaats tegen de achtergrond van economische groei die ondanks enige vertraging nog steeds een brede basis heeft. </w:t>
      </w:r>
      <w:r>
        <w:rPr>
          <w:rFonts w:ascii="Times New Roman" w:hAnsi="Times New Roman"/>
          <w:noProof/>
          <w:lang w:val="nl-NL"/>
        </w:rPr>
        <w:t>In de economische najaarsprognoses 2018 van</w:t>
      </w:r>
      <w:r>
        <w:rPr>
          <w:rFonts w:ascii="Times New Roman" w:hAnsi="Times New Roman"/>
          <w:noProof/>
          <w:lang w:val="nl-NL"/>
        </w:rPr>
        <w:t xml:space="preserve"> de Europese Commissie wordt de reële bbp-groei voor zowel de EU als de eurozone geraamd op 2,1% in 2018 en 1,9% in 2019, een lichte vertraging ten opzichte van de groei van 2,4% in 2017. In alle EU-lidstaten wordt een positieve groei verwacht. Verwacht wo</w:t>
      </w:r>
      <w:r>
        <w:rPr>
          <w:rFonts w:ascii="Times New Roman" w:hAnsi="Times New Roman"/>
          <w:noProof/>
          <w:lang w:val="nl-NL"/>
        </w:rPr>
        <w:t>rdt dat de werkgelegenheidsomstandigheden verder zullen verbeteren en zich geleidelijk zullen vertalen in een meer duurzame loongroei, die de consumptie zal ondersteunen en op termijn kerninflatiedynamiek in de buurt van de inflatiedoelstelling van de mone</w:t>
      </w:r>
      <w:r>
        <w:rPr>
          <w:rFonts w:ascii="Times New Roman" w:hAnsi="Times New Roman"/>
          <w:noProof/>
          <w:lang w:val="nl-NL"/>
        </w:rPr>
        <w:t>taire autoriteiten zal ondersteunen; verwacht wordt dat de groei van de investeringen robuust zal blijven, ondanks een lichte vertraging. Er zijn daarentegen aanwijzingen dat de bijdrage van de netto-uitvoer aan de groei afneemt bij de toegenomen onzekerhe</w:t>
      </w:r>
      <w:r>
        <w:rPr>
          <w:rFonts w:ascii="Times New Roman" w:hAnsi="Times New Roman"/>
          <w:noProof/>
          <w:lang w:val="nl-NL"/>
        </w:rPr>
        <w:t>id over het handelspolitieke klimaat en de ontwikkeling van de recente appreciatie van de euro. Al met al blijven de groeivooruitzichten verankerd in gezonde fundamentals, met inbegrip van algemeen sterke arbeidsmarkten, ondersteunende kredietomstandighede</w:t>
      </w:r>
      <w:r>
        <w:rPr>
          <w:rFonts w:ascii="Times New Roman" w:hAnsi="Times New Roman"/>
          <w:noProof/>
          <w:lang w:val="nl-NL"/>
        </w:rPr>
        <w:t>n, verbeterde balansen en winsten van banken en niet-financiële vennootschappen, maar zal de groei naar verwachting vertragen wanneer de cyclus in de belangrijkste mondiale zones tot wasdom komt</w:t>
      </w:r>
      <w:r>
        <w:rPr>
          <w:rStyle w:val="FootnoteReference"/>
          <w:rFonts w:ascii="Times New Roman" w:hAnsi="Times New Roman"/>
          <w:noProof/>
        </w:rPr>
        <w:footnoteReference w:id="4"/>
      </w:r>
      <w:r>
        <w:rPr>
          <w:noProof/>
          <w:lang w:val="nl-NL"/>
        </w:rPr>
        <w:t>.</w:t>
      </w:r>
      <w:r>
        <w:rPr>
          <w:rFonts w:ascii="Times New Roman" w:hAnsi="Times New Roman"/>
          <w:noProof/>
          <w:lang w:val="nl-NL"/>
        </w:rPr>
        <w:t xml:space="preserve"> </w:t>
      </w:r>
    </w:p>
    <w:p w:rsidR="00222D78" w:rsidRDefault="00E65635">
      <w:pPr>
        <w:jc w:val="both"/>
        <w:rPr>
          <w:rFonts w:ascii="Times New Roman" w:hAnsi="Times New Roman" w:cs="Times New Roman"/>
          <w:noProof/>
          <w:lang w:val="nl-NL"/>
        </w:rPr>
      </w:pPr>
      <w:r>
        <w:rPr>
          <w:rFonts w:ascii="Times New Roman" w:hAnsi="Times New Roman"/>
          <w:b/>
          <w:noProof/>
          <w:lang w:val="nl-NL"/>
        </w:rPr>
        <w:t>De correctie van macro-economische onevenwichtigheden in d</w:t>
      </w:r>
      <w:r>
        <w:rPr>
          <w:rFonts w:ascii="Times New Roman" w:hAnsi="Times New Roman"/>
          <w:b/>
          <w:noProof/>
          <w:lang w:val="nl-NL"/>
        </w:rPr>
        <w:t>e EU vordert als gevolg van een versterking van de nominale bbp-groei, maar de middellangetermijnvooruitzichten zijn onduidelijk als gevolg van de toegenomen onzekerheid</w:t>
      </w:r>
      <w:r>
        <w:rPr>
          <w:rFonts w:ascii="Times New Roman" w:hAnsi="Times New Roman"/>
          <w:noProof/>
          <w:lang w:val="nl-NL"/>
        </w:rPr>
        <w:t>. De economische expansie en de inflatiepercentages, die geleidelijk de doelstelling na</w:t>
      </w:r>
      <w:r>
        <w:rPr>
          <w:rFonts w:ascii="Times New Roman" w:hAnsi="Times New Roman"/>
          <w:noProof/>
          <w:lang w:val="nl-NL"/>
        </w:rPr>
        <w:t xml:space="preserve">deren, dragen bij tot de daling van de schuldquotes. De standen van private en overheidsschuld blijven echter op een historisch hoog niveau en er zijn nog steeds haarden van kwetsbaarheden op de balansen in de financiële sector. Nu de inflatie geleidelijk </w:t>
      </w:r>
      <w:r>
        <w:rPr>
          <w:rFonts w:ascii="Times New Roman" w:hAnsi="Times New Roman"/>
          <w:noProof/>
          <w:lang w:val="nl-NL"/>
        </w:rPr>
        <w:t xml:space="preserve">de doelstelling van de ECB nadert, zou er meer reden zijn om het monetaire beleid te normaliseren, hetgeen implicaties zou hebben voor de kosten van leenvermogen, de activaprijzen en </w:t>
      </w:r>
      <w:r>
        <w:rPr>
          <w:rFonts w:ascii="Times New Roman" w:hAnsi="Times New Roman"/>
          <w:noProof/>
          <w:lang w:val="nl-NL"/>
        </w:rPr>
        <w:lastRenderedPageBreak/>
        <w:t xml:space="preserve">de balansen. Tegen die achtergrond zou een aantal factoren kunnen leiden </w:t>
      </w:r>
      <w:r>
        <w:rPr>
          <w:rFonts w:ascii="Times New Roman" w:hAnsi="Times New Roman"/>
          <w:noProof/>
          <w:lang w:val="nl-NL"/>
        </w:rPr>
        <w:t xml:space="preserve">tot een omslag in de risicoattitudes, met vertrouwenseffecten voor lidstaten met verslechterde vooruitzichten voor de publieke financiën of de financiële sector, of die onderhevig zijn aan negatieve outputschokken (onder meer in verband met de implicaties </w:t>
      </w:r>
      <w:r>
        <w:rPr>
          <w:rFonts w:ascii="Times New Roman" w:hAnsi="Times New Roman"/>
          <w:noProof/>
          <w:lang w:val="nl-NL"/>
        </w:rPr>
        <w:t>van de uittreding van het Verenigd Koninkrijk uit de EU). Een aantal neerwaartse risico's zijn het gevolg van het klimaat buiten de EU, met name in verband met de concretisering van protectionistische handelspolitieke maatregelen, de implicaties van geopol</w:t>
      </w:r>
      <w:r>
        <w:rPr>
          <w:rFonts w:ascii="Times New Roman" w:hAnsi="Times New Roman"/>
          <w:noProof/>
          <w:lang w:val="nl-NL"/>
        </w:rPr>
        <w:t>itieke spanningen, met name voor de energieprijzen, het aflopen van de Amerikaanse begrotingsexpansie in een context van monetaire verkrapping, en de implicaties voor de kapitaalstromen en wisselkoersen van de asynchrone normalisatie van het monetaire bele</w:t>
      </w:r>
      <w:r>
        <w:rPr>
          <w:rFonts w:ascii="Times New Roman" w:hAnsi="Times New Roman"/>
          <w:noProof/>
          <w:lang w:val="nl-NL"/>
        </w:rPr>
        <w:t>id in de verschillende zones van de wereldeconomie</w:t>
      </w:r>
      <w:r>
        <w:rPr>
          <w:rStyle w:val="FootnoteReference"/>
          <w:rFonts w:ascii="Times New Roman" w:hAnsi="Times New Roman"/>
          <w:noProof/>
        </w:rPr>
        <w:footnoteReference w:id="5"/>
      </w:r>
      <w:r>
        <w:rPr>
          <w:noProof/>
          <w:lang w:val="nl-NL"/>
        </w:rPr>
        <w:t>.</w:t>
      </w:r>
      <w:r>
        <w:rPr>
          <w:rFonts w:ascii="Times New Roman" w:hAnsi="Times New Roman"/>
          <w:noProof/>
          <w:lang w:val="nl-NL"/>
        </w:rPr>
        <w:t xml:space="preserve"> Door de wisselwerking tussen die bronnen van risico's verandert de balans van risico's in negatieve zin en worden de vooruitzichten steeds onzekerder, in een context waarin de mogelijkheid om schokken op</w:t>
      </w:r>
      <w:r>
        <w:rPr>
          <w:rFonts w:ascii="Times New Roman" w:hAnsi="Times New Roman"/>
          <w:noProof/>
          <w:lang w:val="nl-NL"/>
        </w:rPr>
        <w:t xml:space="preserve"> te vangen via private en publieke besparingen in een relevant aantal lidstaten beperkt is.</w:t>
      </w:r>
    </w:p>
    <w:p w:rsidR="00222D78" w:rsidRDefault="00E65635">
      <w:pPr>
        <w:jc w:val="both"/>
        <w:rPr>
          <w:rFonts w:ascii="Times New Roman" w:hAnsi="Times New Roman" w:cs="Times New Roman"/>
          <w:b/>
          <w:noProof/>
          <w:lang w:val="nl-NL"/>
        </w:rPr>
      </w:pPr>
      <w:r>
        <w:rPr>
          <w:rFonts w:ascii="Times New Roman" w:hAnsi="Times New Roman"/>
          <w:b/>
          <w:noProof/>
          <w:lang w:val="nl-NL"/>
        </w:rPr>
        <w:t>De horizontale analyse in het AMR leidt tot een aantal conclusies:</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De herbalancering van de posities op de lopende rekening dient voort te gaan.</w:t>
      </w:r>
      <w:r>
        <w:rPr>
          <w:rFonts w:ascii="Times New Roman" w:hAnsi="Times New Roman"/>
          <w:noProof/>
          <w:lang w:val="nl-NL"/>
        </w:rPr>
        <w:t xml:space="preserve"> In de meeste lidsta</w:t>
      </w:r>
      <w:r>
        <w:rPr>
          <w:rFonts w:ascii="Times New Roman" w:hAnsi="Times New Roman"/>
          <w:noProof/>
          <w:lang w:val="nl-NL"/>
        </w:rPr>
        <w:t>ten zijn de grote tekorten op de lopende rekening gecorrigeerd, maar in enkele gevallen zijn prudentere externe posities vereist om de standen van netto buitenlandse passiva in een passend tempo verder naar beneden te kunnen brengen. De daling van enkele v</w:t>
      </w:r>
      <w:r>
        <w:rPr>
          <w:rFonts w:ascii="Times New Roman" w:hAnsi="Times New Roman"/>
          <w:noProof/>
          <w:lang w:val="nl-NL"/>
        </w:rPr>
        <w:t>an de grootste overschotten op de lopende rekening is pas onlangs zichtbaar geworden en blijft bescheiden. In een aantal lidstaten worden de cijfers van de lopende rekening in toenemende mate beïnvloed door grensoverschrijdende transacties die verband houd</w:t>
      </w:r>
      <w:r>
        <w:rPr>
          <w:rFonts w:ascii="Times New Roman" w:hAnsi="Times New Roman"/>
          <w:noProof/>
          <w:lang w:val="nl-NL"/>
        </w:rPr>
        <w:t>en met activiteiten van multinationale ondernemingen en internationaal georiënteerde dienstensectoren die zowel de handels- als de inkomenssaldi beïnvloeden.</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De posities van de externe standen blijven onevenwichtig en de aanpassing vindt geleidelijk plaats</w:t>
      </w:r>
      <w:r>
        <w:rPr>
          <w:rFonts w:ascii="Times New Roman" w:hAnsi="Times New Roman"/>
          <w:b/>
          <w:noProof/>
          <w:lang w:val="nl-NL"/>
        </w:rPr>
        <w:t xml:space="preserve">. </w:t>
      </w:r>
      <w:r>
        <w:rPr>
          <w:rFonts w:ascii="Times New Roman" w:hAnsi="Times New Roman"/>
          <w:noProof/>
          <w:lang w:val="nl-NL"/>
        </w:rPr>
        <w:t>De grote negatieve netto internationale investeringsposities (NIIP) in lidstaten met een groot tekort op de lopende rekening in het verleden worden gecorrigeerd als gevolg van de posities van de externe stromen die vrijwel in evenwicht zijn of een oversc</w:t>
      </w:r>
      <w:r>
        <w:rPr>
          <w:rFonts w:ascii="Times New Roman" w:hAnsi="Times New Roman"/>
          <w:noProof/>
          <w:lang w:val="nl-NL"/>
        </w:rPr>
        <w:t xml:space="preserve">hot vertonen, en de zich herstellende nominale groei van het bbp, die moet worden volgehouden om de passiva tot een prudenter niveau te doen dalen. De NIIP in landen met een groot overschot blijft groeien. </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De omstandigheden inzake kostenconcurrentievermog</w:t>
      </w:r>
      <w:r>
        <w:rPr>
          <w:rFonts w:ascii="Times New Roman" w:hAnsi="Times New Roman"/>
          <w:b/>
          <w:noProof/>
          <w:lang w:val="nl-NL"/>
        </w:rPr>
        <w:t xml:space="preserve">en worden voor een aantal lidstaten minder gunstig en zijn over het geheel genomen minder ondersteunend voor een meer symmetrische herbalancering. </w:t>
      </w:r>
      <w:r>
        <w:rPr>
          <w:rFonts w:ascii="Times New Roman" w:hAnsi="Times New Roman"/>
          <w:noProof/>
          <w:lang w:val="nl-NL"/>
        </w:rPr>
        <w:t xml:space="preserve">Sinds 2016 </w:t>
      </w:r>
      <w:r>
        <w:rPr>
          <w:rFonts w:ascii="Times New Roman" w:hAnsi="Times New Roman"/>
          <w:b/>
          <w:noProof/>
          <w:lang w:val="nl-NL"/>
        </w:rPr>
        <w:t xml:space="preserve"> </w:t>
      </w:r>
      <w:r>
        <w:rPr>
          <w:rFonts w:ascii="Times New Roman" w:hAnsi="Times New Roman"/>
          <w:noProof/>
          <w:lang w:val="nl-NL"/>
        </w:rPr>
        <w:t>nemen de arbeidskosten per eenheid product (ULC - unit labour costs) in een meerderheid van lidst</w:t>
      </w:r>
      <w:r>
        <w:rPr>
          <w:rFonts w:ascii="Times New Roman" w:hAnsi="Times New Roman"/>
          <w:noProof/>
          <w:lang w:val="nl-NL"/>
        </w:rPr>
        <w:t>aten sneller toe, en vooral in een aantal EU-landen in Midden- en Oost-Europa versnelden deze sterk als gevolg van aanbodbottlenecks. Na de crisis is het kostenconcurrentievermogen sneller toegenomen in de nettodebiteurlanden dan in de nettocrediteurlanden</w:t>
      </w:r>
      <w:r>
        <w:rPr>
          <w:rFonts w:ascii="Times New Roman" w:hAnsi="Times New Roman"/>
          <w:noProof/>
          <w:lang w:val="nl-NL"/>
        </w:rPr>
        <w:t xml:space="preserve"> van de eurozone. Meer recentelijk is het voordeel van nettodebiteurlanden in termen van dynamiek van het kostenconcurrentievermogen echter in vergelijkende termen gedaald als gevolg van de </w:t>
      </w:r>
      <w:r>
        <w:rPr>
          <w:rFonts w:ascii="Times New Roman" w:hAnsi="Times New Roman"/>
          <w:noProof/>
          <w:lang w:val="nl-NL"/>
        </w:rPr>
        <w:lastRenderedPageBreak/>
        <w:t>verkrapping van de arbeidsmarkten en een gedaald tempo van product</w:t>
      </w:r>
      <w:r>
        <w:rPr>
          <w:rFonts w:ascii="Times New Roman" w:hAnsi="Times New Roman"/>
          <w:noProof/>
          <w:lang w:val="nl-NL"/>
        </w:rPr>
        <w:t>iviteitsverbeteringen, terwijl krappe arbeidsmarkten in de nettocrediteurlanden zich tot dusver niet vertaald hebben in significante loonsversnellingen. Deze recente ontwikkelingen op het gebied van kostenconcurrentievermogen komen niet volledig tot uiting</w:t>
      </w:r>
      <w:r>
        <w:rPr>
          <w:rFonts w:ascii="Times New Roman" w:hAnsi="Times New Roman"/>
          <w:noProof/>
          <w:lang w:val="nl-NL"/>
        </w:rPr>
        <w:t xml:space="preserve"> in een overeenkomstige verslechtering van het prijsconcurrentievermogen, mogelijk als gevolg van een compenserend effect van lagere prijs-kostenmarges. Dit effect zou een van de redenen kunnen zijn waarom er op het eerste gezicht geen bewijs is dat de ver</w:t>
      </w:r>
      <w:r>
        <w:rPr>
          <w:rFonts w:ascii="Times New Roman" w:hAnsi="Times New Roman"/>
          <w:noProof/>
          <w:lang w:val="nl-NL"/>
        </w:rPr>
        <w:t>liezen aan kostenconcurrentievermogen reeds gedaald zijn als gevolg van de groei van exportmarktaandeel, maar de effecten zouden zichtbaar kunnen worden als dergelijke trends aanhouden.</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De deleveraging in de private sector is aan de gang, in toenemende mat</w:t>
      </w:r>
      <w:r>
        <w:rPr>
          <w:rFonts w:ascii="Times New Roman" w:hAnsi="Times New Roman"/>
          <w:b/>
          <w:noProof/>
          <w:lang w:val="nl-NL"/>
        </w:rPr>
        <w:t xml:space="preserve">e als gevolg van het herstel van de nominale groei. </w:t>
      </w:r>
      <w:r>
        <w:rPr>
          <w:rFonts w:ascii="Times New Roman" w:hAnsi="Times New Roman"/>
          <w:noProof/>
          <w:lang w:val="nl-NL"/>
        </w:rPr>
        <w:t>De private schuldquotes dalen in een groter aantal lidstaten dan een jaar geleden. Dit is het gevolg van een hogere nominale bbp-groei, aangezien de actieve deleveraging, d.w.z. de deleveraging als gevolg</w:t>
      </w:r>
      <w:r>
        <w:rPr>
          <w:rFonts w:ascii="Times New Roman" w:hAnsi="Times New Roman"/>
          <w:noProof/>
          <w:lang w:val="nl-NL"/>
        </w:rPr>
        <w:t xml:space="preserve"> van krimpende schuldniveaus in nominale termen, slechts in enkele landen plaatsvindt en in een getemperd tempo. De actieve deleveraging blijft meestal beperkt tot de bedrijfssector, aangezien de huishoudens weer dynamischer zijn gaan lenen. Het tempo van </w:t>
      </w:r>
      <w:r>
        <w:rPr>
          <w:rFonts w:ascii="Times New Roman" w:hAnsi="Times New Roman"/>
          <w:noProof/>
          <w:lang w:val="nl-NL"/>
        </w:rPr>
        <w:t xml:space="preserve">de deleveraging blijft hoger in de bedrijfssector dan in de huishoudelijke sector, ook omdat de schuldstanden in de bedrijfssector hoger zijn en de impact van de nominale bbp-groei op de schuldquote daardoor groter is. </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In landen met een hoog niveau van pu</w:t>
      </w:r>
      <w:r>
        <w:rPr>
          <w:rFonts w:ascii="Times New Roman" w:hAnsi="Times New Roman"/>
          <w:b/>
          <w:noProof/>
          <w:lang w:val="nl-NL"/>
        </w:rPr>
        <w:t>blieke schuld is de deleveraging door de overheid pas onlangs van start gegaan en verloopt deze in een laag tempo</w:t>
      </w:r>
      <w:r>
        <w:rPr>
          <w:rFonts w:ascii="Times New Roman" w:hAnsi="Times New Roman"/>
          <w:noProof/>
          <w:lang w:val="nl-NL"/>
        </w:rPr>
        <w:t>. Hoewel de overheidsschuldquote door het herstel van de nominale groei en de lagere rentebetalingen in de meeste lidstaten een neerwaartse tre</w:t>
      </w:r>
      <w:r>
        <w:rPr>
          <w:rFonts w:ascii="Times New Roman" w:hAnsi="Times New Roman"/>
          <w:noProof/>
          <w:lang w:val="nl-NL"/>
        </w:rPr>
        <w:t xml:space="preserve">nd heeft ingezet, wordt in een groeiend aantal landen een procyclisch expansief begrotingsbeleid gevoerd, met implicaties voor de ruimte voor het opvangen van schokken als het minder goed gaat. </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 xml:space="preserve">De omstandigheden in de banksector in de EU verbeteren, maar </w:t>
      </w:r>
      <w:r>
        <w:rPr>
          <w:rFonts w:ascii="Times New Roman" w:hAnsi="Times New Roman"/>
          <w:b/>
          <w:noProof/>
          <w:lang w:val="nl-NL"/>
        </w:rPr>
        <w:t xml:space="preserve">in sommige lidstaten blijven lage rentabiliteitsniveaus en hoge standen van niet-renderende leningen (NPL - non-performing loan) aanhouden. </w:t>
      </w:r>
      <w:r>
        <w:rPr>
          <w:rFonts w:ascii="Times New Roman" w:hAnsi="Times New Roman"/>
          <w:noProof/>
          <w:lang w:val="nl-NL"/>
        </w:rPr>
        <w:t>De rentabiliteit is verbeterd, vooral in de landen waar de banksector wordt gekenmerkt door een zwakke rentabiliteit</w:t>
      </w:r>
      <w:r>
        <w:rPr>
          <w:rFonts w:ascii="Times New Roman" w:hAnsi="Times New Roman"/>
          <w:noProof/>
          <w:lang w:val="nl-NL"/>
        </w:rPr>
        <w:t>. De NPL-ratio's zijn verder gedaald, met name in de lidstaten waar hun stand het hoogst is. De kapitalisatieratio's zijn in een meerderheid van de landen verder verbeterd. De waarderingen van het kapitaal van banken zijn tot begin 2018 gestegen, waarna zi</w:t>
      </w:r>
      <w:r>
        <w:rPr>
          <w:rFonts w:ascii="Times New Roman" w:hAnsi="Times New Roman"/>
          <w:noProof/>
          <w:lang w:val="nl-NL"/>
        </w:rPr>
        <w:t xml:space="preserve">j neerwaarts zijn gecorrigeerd. </w:t>
      </w:r>
    </w:p>
    <w:p w:rsidR="00222D78" w:rsidRDefault="00E65635">
      <w:pPr>
        <w:pStyle w:val="ListParagraph"/>
        <w:numPr>
          <w:ilvl w:val="0"/>
          <w:numId w:val="14"/>
        </w:numPr>
        <w:jc w:val="both"/>
        <w:rPr>
          <w:rFonts w:ascii="Times New Roman" w:hAnsi="Times New Roman" w:cs="Times New Roman"/>
          <w:noProof/>
          <w:lang w:val="nl-NL"/>
        </w:rPr>
      </w:pPr>
      <w:r>
        <w:rPr>
          <w:rFonts w:ascii="Times New Roman" w:hAnsi="Times New Roman"/>
          <w:b/>
          <w:noProof/>
          <w:lang w:val="nl-NL"/>
        </w:rPr>
        <w:t xml:space="preserve">De groei van de huizenprijzen is in een toenemend aantal lidstaten versneld en positief geworden, en meer landen vertonen mogelijke tekenen van overwaardering. </w:t>
      </w:r>
      <w:r>
        <w:rPr>
          <w:rFonts w:ascii="Times New Roman" w:hAnsi="Times New Roman"/>
          <w:noProof/>
          <w:lang w:val="nl-NL"/>
        </w:rPr>
        <w:t>Tegelijkertijd is de groei van de huizenprijzen de laatste tijd</w:t>
      </w:r>
      <w:r>
        <w:rPr>
          <w:rFonts w:ascii="Times New Roman" w:hAnsi="Times New Roman"/>
          <w:noProof/>
          <w:lang w:val="nl-NL"/>
        </w:rPr>
        <w:t xml:space="preserve"> gematigder geworden in de landen waar het bewijs van overwaardering het grootst is. Er worden daarentegen sterke versnellingen vastgesteld, vooral in landen waarvoor momenteel geen of weinig bewijs van overwaardering bestaat. </w:t>
      </w:r>
    </w:p>
    <w:p w:rsidR="00222D78" w:rsidRDefault="00E65635">
      <w:pPr>
        <w:numPr>
          <w:ilvl w:val="0"/>
          <w:numId w:val="1"/>
        </w:numPr>
        <w:jc w:val="both"/>
        <w:rPr>
          <w:rFonts w:ascii="Times New Roman" w:hAnsi="Times New Roman" w:cs="Times New Roman"/>
          <w:noProof/>
          <w:lang w:val="nl-NL"/>
        </w:rPr>
      </w:pPr>
      <w:r>
        <w:rPr>
          <w:rFonts w:ascii="Times New Roman" w:hAnsi="Times New Roman"/>
          <w:b/>
          <w:noProof/>
          <w:lang w:val="nl-NL"/>
        </w:rPr>
        <w:t>De arbeidsmarkten blijven ve</w:t>
      </w:r>
      <w:r>
        <w:rPr>
          <w:rFonts w:ascii="Times New Roman" w:hAnsi="Times New Roman"/>
          <w:b/>
          <w:noProof/>
          <w:lang w:val="nl-NL"/>
        </w:rPr>
        <w:t xml:space="preserve">rbeteren en de lonen groeien weer geleidelijk. </w:t>
      </w:r>
      <w:r>
        <w:rPr>
          <w:rFonts w:ascii="Times New Roman" w:hAnsi="Times New Roman"/>
          <w:noProof/>
          <w:lang w:val="nl-NL"/>
        </w:rPr>
        <w:t>De werkloosheidspercentages dalen verder, ook voor jongeren en langdurig werklozen, maar de werkloosheid blijft in sommige lidstaten hoog en de arbeidsmarktparticipatie laag, hoewel deze vaak toeneemt. De soci</w:t>
      </w:r>
      <w:r>
        <w:rPr>
          <w:rFonts w:ascii="Times New Roman" w:hAnsi="Times New Roman"/>
          <w:noProof/>
          <w:lang w:val="nl-NL"/>
        </w:rPr>
        <w:t xml:space="preserve">ale problemen nemen af ondanks de erfenis van aanhoudende </w:t>
      </w:r>
      <w:r>
        <w:rPr>
          <w:rFonts w:ascii="Times New Roman" w:hAnsi="Times New Roman"/>
          <w:noProof/>
          <w:lang w:val="nl-NL"/>
        </w:rPr>
        <w:lastRenderedPageBreak/>
        <w:t>werkloosheid en lage inkomens in een aantal landen.</w:t>
      </w:r>
      <w:r>
        <w:rPr>
          <w:rStyle w:val="FootnoteReference"/>
          <w:rFonts w:ascii="Times New Roman" w:hAnsi="Times New Roman"/>
          <w:noProof/>
        </w:rPr>
        <w:footnoteReference w:id="6"/>
      </w:r>
      <w:r>
        <w:rPr>
          <w:noProof/>
          <w:lang w:val="nl-NL"/>
        </w:rPr>
        <w:t>.</w:t>
      </w:r>
      <w:r>
        <w:rPr>
          <w:rFonts w:ascii="Times New Roman" w:hAnsi="Times New Roman"/>
          <w:noProof/>
          <w:lang w:val="nl-NL"/>
        </w:rPr>
        <w:t xml:space="preserve"> De loongroei in de eurozone blijft achter bij wat op basis van historische gegevens bij de huidige werkloosheidsniveaus zou worden verwacht. De </w:t>
      </w:r>
      <w:r>
        <w:rPr>
          <w:rFonts w:ascii="Times New Roman" w:hAnsi="Times New Roman"/>
          <w:noProof/>
          <w:lang w:val="nl-NL"/>
        </w:rPr>
        <w:t xml:space="preserve">lonen in de EU-landen herstellen zich momenteel geleidelijk met gedifferentieerde snelheden, die over het algemeen de omvang van de arbeidsmarktkrapte en knelpunten in het arbeidsaanbod in sommige landen weerspiegelen. </w:t>
      </w:r>
    </w:p>
    <w:p w:rsidR="00222D78" w:rsidRDefault="00E65635">
      <w:pPr>
        <w:jc w:val="both"/>
        <w:rPr>
          <w:rFonts w:ascii="Times New Roman" w:hAnsi="Times New Roman" w:cs="Times New Roman"/>
          <w:noProof/>
          <w:lang w:val="nl-NL"/>
        </w:rPr>
      </w:pPr>
      <w:r>
        <w:rPr>
          <w:rFonts w:ascii="Times New Roman" w:hAnsi="Times New Roman"/>
          <w:b/>
          <w:noProof/>
          <w:lang w:val="nl-NL"/>
        </w:rPr>
        <w:t>De herbalancering van de eurozone ve</w:t>
      </w:r>
      <w:r>
        <w:rPr>
          <w:rFonts w:ascii="Times New Roman" w:hAnsi="Times New Roman"/>
          <w:b/>
          <w:noProof/>
          <w:lang w:val="nl-NL"/>
        </w:rPr>
        <w:t xml:space="preserve">rdient nog steeds zorgvuldige aandacht. </w:t>
      </w:r>
      <w:r>
        <w:rPr>
          <w:rFonts w:ascii="Times New Roman" w:hAnsi="Times New Roman"/>
          <w:noProof/>
          <w:lang w:val="nl-NL"/>
        </w:rPr>
        <w:t>Het overschot op de lopende rekening van de eurozone heeft zich in 2016 gestabiliseerd en is daarna over het algemeen constant gebleven. Het niveau ervan is het hoogste ter wereld en ligt boven de niveaus die consist</w:t>
      </w:r>
      <w:r>
        <w:rPr>
          <w:rFonts w:ascii="Times New Roman" w:hAnsi="Times New Roman"/>
          <w:noProof/>
          <w:lang w:val="nl-NL"/>
        </w:rPr>
        <w:t>ent zijn met de economische fundamentals. In het licht van de onderlinge verwevenheid binnen de eurozone en de overloopeffecten is een passende combinatie van beleidsmaatregelen in alle landen van de eurozone nodig om het herstel van de groei duurzaam te m</w:t>
      </w:r>
      <w:r>
        <w:rPr>
          <w:rFonts w:ascii="Times New Roman" w:hAnsi="Times New Roman"/>
          <w:noProof/>
          <w:lang w:val="nl-NL"/>
        </w:rPr>
        <w:t>aken en verenigbaar met de macro-economische stabiliteit. In nettodebiteurlanden vereist het doen dalen van de hoge standen van buitenlandse en binnenlandse schuld het aanhouden van prudente saldi op de lopende rekening en het waarborgen van een passend te</w:t>
      </w:r>
      <w:r>
        <w:rPr>
          <w:rFonts w:ascii="Times New Roman" w:hAnsi="Times New Roman"/>
          <w:noProof/>
          <w:lang w:val="nl-NL"/>
        </w:rPr>
        <w:t>mpo van schuldreductie zonder dat een en ander ten koste gaat van de doelstelling om het groeipotentieel te verhogen en met het oog op het voorkomen van het risico van procyclische verkrapping als het minder goed gaat. In nettocrediteurlanden zou het aanpa</w:t>
      </w:r>
      <w:r>
        <w:rPr>
          <w:rFonts w:ascii="Times New Roman" w:hAnsi="Times New Roman"/>
          <w:noProof/>
          <w:lang w:val="nl-NL"/>
        </w:rPr>
        <w:t>kken van aanhoudende grote overschotten door middel van beleid dat investeringen stimuleert en looninertie overwint, bijdragen tot de ondersteuning van het groeipotentieel, en de groeivooruitzichten minder afhankelijk maken van de buitenlandse vraag. In ka</w:t>
      </w:r>
      <w:r>
        <w:rPr>
          <w:rFonts w:ascii="Times New Roman" w:hAnsi="Times New Roman"/>
          <w:noProof/>
          <w:lang w:val="nl-NL"/>
        </w:rPr>
        <w:t>der 2 wordt uitgebreider ingegaan op de eurozone-dimensie van onevenwichtigheden.</w:t>
      </w:r>
    </w:p>
    <w:p w:rsidR="00222D78" w:rsidRDefault="00E65635">
      <w:pPr>
        <w:jc w:val="both"/>
        <w:rPr>
          <w:rFonts w:ascii="Times New Roman" w:hAnsi="Times New Roman" w:cs="Times New Roman"/>
          <w:noProof/>
          <w:lang w:val="nl-NL"/>
        </w:rPr>
      </w:pPr>
      <w:r>
        <w:rPr>
          <w:rFonts w:ascii="Times New Roman" w:hAnsi="Times New Roman"/>
          <w:b/>
          <w:noProof/>
          <w:lang w:val="nl-NL"/>
        </w:rPr>
        <w:t>Over het algemeen blijven de risico's in verband met de bestaande onevenwichtigheden als gevolg van de economische expansie afnemen, maar blijven de kwetsbaarheden in verband</w:t>
      </w:r>
      <w:r>
        <w:rPr>
          <w:rFonts w:ascii="Times New Roman" w:hAnsi="Times New Roman"/>
          <w:b/>
          <w:noProof/>
          <w:lang w:val="nl-NL"/>
        </w:rPr>
        <w:t xml:space="preserve"> met standonevenwichtigheden bestaan en zijn er tekenen zichtbaar van mogelijke niet-duurzame trends. </w:t>
      </w:r>
      <w:r>
        <w:rPr>
          <w:rFonts w:ascii="Times New Roman" w:hAnsi="Times New Roman"/>
          <w:noProof/>
          <w:lang w:val="nl-NL"/>
        </w:rPr>
        <w:t>De potentiële risicobronnen zijn over het algemeen dezelfde als die welke in het AMR 2018 zijn geïdentificeerd. Er blijven grote overschotten bestaan, ter</w:t>
      </w:r>
      <w:r>
        <w:rPr>
          <w:rFonts w:ascii="Times New Roman" w:hAnsi="Times New Roman"/>
          <w:noProof/>
          <w:lang w:val="nl-NL"/>
        </w:rPr>
        <w:t>wijl de ontwikkelingen op het gebied van het concurrentievermogen minder ondersteunend zijn geworden voor de herbalancering. De deleveraging in de private sector heeft geprofiteerd van de economische expansie, maar blijft ongelijk, met hoge schuldstanden d</w:t>
      </w:r>
      <w:r>
        <w:rPr>
          <w:rFonts w:ascii="Times New Roman" w:hAnsi="Times New Roman"/>
          <w:noProof/>
          <w:lang w:val="nl-NL"/>
        </w:rPr>
        <w:t>ie niet in een toereikend tempo worden gecorrigeerd. Meer fundamenteel rijst met de dalende actieve deleveraging door de private en met name de publieke sector de vraag of de deleveraging in toenemende mate kan steunen op potentiële bbp-groei in de toekoms</w:t>
      </w:r>
      <w:r>
        <w:rPr>
          <w:rFonts w:ascii="Times New Roman" w:hAnsi="Times New Roman"/>
          <w:noProof/>
          <w:lang w:val="nl-NL"/>
        </w:rPr>
        <w:t>t. Een dergelijke uitdaging onderstreept de noodzaak om het hervormingsproces dat in de afgelopen jaren in een aantal EU-landen op gang is gebracht, voort te zetten en het beleid en de hervormingen ter verhoging van het groeipotentieel hoog op de agenda te</w:t>
      </w:r>
      <w:r>
        <w:rPr>
          <w:rFonts w:ascii="Times New Roman" w:hAnsi="Times New Roman"/>
          <w:noProof/>
          <w:lang w:val="nl-NL"/>
        </w:rPr>
        <w:t xml:space="preserve"> houden</w:t>
      </w:r>
      <w:r>
        <w:rPr>
          <w:rStyle w:val="FootnoteReference"/>
          <w:rFonts w:ascii="Times New Roman" w:hAnsi="Times New Roman"/>
          <w:noProof/>
        </w:rPr>
        <w:footnoteReference w:id="7"/>
      </w:r>
      <w:r>
        <w:rPr>
          <w:noProof/>
          <w:lang w:val="nl-NL"/>
        </w:rPr>
        <w:t>.</w:t>
      </w:r>
      <w:r>
        <w:rPr>
          <w:rFonts w:ascii="Times New Roman" w:hAnsi="Times New Roman"/>
          <w:noProof/>
          <w:lang w:val="nl-NL"/>
        </w:rPr>
        <w:t xml:space="preserve"> In het licht van de steeds onzekerder vooruitzichten voor de middellange termijn zijn de deleveraginginspanningen door de private en publieke sector in de huidige tijden van verdere economische expansie van cruciaal belang, ook om ruimte te creër</w:t>
      </w:r>
      <w:r>
        <w:rPr>
          <w:rFonts w:ascii="Times New Roman" w:hAnsi="Times New Roman"/>
          <w:noProof/>
          <w:lang w:val="nl-NL"/>
        </w:rPr>
        <w:t>en voor het opvangen van negatieve outputschokken zodra de economische omstandigheden minder ondersteunend worden en de risico's zich materialiseren. Tegelijkertijd zijn er in een aantal landen tekenen van mogelijke oververhitting aanwezig, voornamelijk in</w:t>
      </w:r>
      <w:r>
        <w:rPr>
          <w:rFonts w:ascii="Times New Roman" w:hAnsi="Times New Roman"/>
          <w:noProof/>
          <w:lang w:val="nl-NL"/>
        </w:rPr>
        <w:t xml:space="preserve"> verband met </w:t>
      </w:r>
      <w:r>
        <w:rPr>
          <w:rFonts w:ascii="Times New Roman" w:hAnsi="Times New Roman"/>
          <w:noProof/>
          <w:lang w:val="nl-NL"/>
        </w:rPr>
        <w:lastRenderedPageBreak/>
        <w:t>snelgroeiende ULC die een verminderd kostenconcurrentievermogen impliceren, en een dynamische groei van de huizenprijzen vanaf reeds relatief hoge niveaus. In het licht van de correctie van de meeste stroomonevenwichtigheden en de geleidelijke</w:t>
      </w:r>
      <w:r>
        <w:rPr>
          <w:rFonts w:ascii="Times New Roman" w:hAnsi="Times New Roman"/>
          <w:noProof/>
          <w:lang w:val="nl-NL"/>
        </w:rPr>
        <w:t xml:space="preserve"> vermindering van de ernst van de standonevenwichtigheden, en mogelijke tekenen van oververhitting in een aantal landen, wordt bij het MIP-toezicht geleidelijk meer aandacht besteed aan het monitoren van mogelijk onhoudbare trends en het voorkomen van conf</w:t>
      </w:r>
      <w:r>
        <w:rPr>
          <w:rFonts w:ascii="Times New Roman" w:hAnsi="Times New Roman"/>
          <w:noProof/>
          <w:lang w:val="nl-NL"/>
        </w:rPr>
        <w:t>iguraties van risico's die zich op middellange termijn zouden kunnen uitkristalliseren.</w:t>
      </w:r>
    </w:p>
    <w:p w:rsidR="00222D78" w:rsidRDefault="00E65635">
      <w:pPr>
        <w:jc w:val="both"/>
        <w:rPr>
          <w:rFonts w:ascii="Times New Roman" w:hAnsi="Times New Roman" w:cs="Times New Roman"/>
          <w:noProof/>
          <w:lang w:val="nl-NL"/>
        </w:rPr>
      </w:pPr>
      <w:r>
        <w:rPr>
          <w:rFonts w:ascii="Times New Roman" w:hAnsi="Times New Roman"/>
          <w:b/>
          <w:noProof/>
          <w:lang w:val="nl-NL"/>
        </w:rPr>
        <w:t>Voor een aantal lidstaten die in het AMR worden genoemd, zullen in de IDR's meer gedetailleerde en omvattende analyses worden opgenomen</w:t>
      </w:r>
      <w:r>
        <w:rPr>
          <w:rFonts w:ascii="Times New Roman" w:hAnsi="Times New Roman"/>
          <w:noProof/>
          <w:lang w:val="nl-NL"/>
        </w:rPr>
        <w:t xml:space="preserve">. Zoals in de recente jaarlijkse </w:t>
      </w:r>
      <w:r>
        <w:rPr>
          <w:rFonts w:ascii="Times New Roman" w:hAnsi="Times New Roman"/>
          <w:noProof/>
          <w:lang w:val="nl-NL"/>
        </w:rPr>
        <w:t xml:space="preserve">cycli het geval was, zullen de diepgaande evaluaties worden verwerkt in de landverslagen, waarin de diensten van de Commissie een analyse opmaken van de economische en sociale uitdagingen in de EU-lidstaten. Voor de opstelling van de diepgaande evaluaties </w:t>
      </w:r>
      <w:r>
        <w:rPr>
          <w:rFonts w:ascii="Times New Roman" w:hAnsi="Times New Roman"/>
          <w:noProof/>
          <w:lang w:val="nl-NL"/>
        </w:rPr>
        <w:t>zal de Commissie haar analyse baseren op een rijke reeks gegevens en relevante informatie en beoordelingskaders die zij in samenwerking met comités en werkgroepen van de Raad heeft ontwikkeld. De analyse in de IDR's zullen de basis vormen voor de identific</w:t>
      </w:r>
      <w:r>
        <w:rPr>
          <w:rFonts w:ascii="Times New Roman" w:hAnsi="Times New Roman"/>
          <w:noProof/>
          <w:lang w:val="nl-NL"/>
        </w:rPr>
        <w:t>atie van onevenwichtigheden of buitensporige onevenwichtigheden in lidstaten en voor mogelijke actualiseringen in de landspecifieke aanbevelingen aan de lidstaten.</w:t>
      </w:r>
      <w:r>
        <w:rPr>
          <w:rFonts w:ascii="Times New Roman" w:hAnsi="Times New Roman"/>
          <w:noProof/>
          <w:vertAlign w:val="superscript"/>
        </w:rPr>
        <w:footnoteReference w:id="8"/>
      </w:r>
      <w:r>
        <w:rPr>
          <w:rFonts w:ascii="Times New Roman" w:hAnsi="Times New Roman"/>
          <w:noProof/>
          <w:lang w:val="nl-NL"/>
        </w:rPr>
        <w:t xml:space="preserve"> De landen waarvoor onevenwichtigheden of buitensporige onevenwichtigheden zijn vastgesteld,</w:t>
      </w:r>
      <w:r>
        <w:rPr>
          <w:rFonts w:ascii="Times New Roman" w:hAnsi="Times New Roman"/>
          <w:noProof/>
          <w:lang w:val="nl-NL"/>
        </w:rPr>
        <w:t xml:space="preserve"> zijn en blijven onderworpen aan een specifieke monitoring om permanent toezicht te houden op het in het kader van het MIP gevoerde beleid.</w:t>
      </w:r>
    </w:p>
    <w:p w:rsidR="00222D78" w:rsidRDefault="00E65635">
      <w:pPr>
        <w:jc w:val="both"/>
        <w:rPr>
          <w:rFonts w:ascii="Times New Roman" w:hAnsi="Times New Roman" w:cs="Times New Roman"/>
          <w:noProof/>
          <w:lang w:val="nl-NL"/>
        </w:rPr>
      </w:pPr>
      <w:r>
        <w:rPr>
          <w:rFonts w:ascii="Times New Roman" w:hAnsi="Times New Roman"/>
          <w:b/>
          <w:noProof/>
          <w:lang w:val="nl-NL"/>
        </w:rPr>
        <w:t xml:space="preserve">Er zullen IDR's worden opgesteld voor de lidstaten waarvoor reeds onevenwichtigheden of buitensporige onevenwichtigheden zijn vastgesteld. </w:t>
      </w:r>
      <w:r>
        <w:rPr>
          <w:rFonts w:ascii="Times New Roman" w:hAnsi="Times New Roman"/>
          <w:noProof/>
          <w:lang w:val="nl-NL"/>
        </w:rPr>
        <w:t>In overeenstemming met de gangbare prudentiële praktijk zullen IDR's worden uitgebracht om te beoordelen of de bestaa</w:t>
      </w:r>
      <w:r>
        <w:rPr>
          <w:rFonts w:ascii="Times New Roman" w:hAnsi="Times New Roman"/>
          <w:noProof/>
          <w:lang w:val="nl-NL"/>
        </w:rPr>
        <w:t>nde onevenwichtigheden worden weggewerkt, voortduren of verergeren, en tegelijkertijd de balans op te maken van het gevoerde correctiebeleid. De voorbereiding van IDR's is dan ook gepland voor de 11 lidstaten waarvoor in het licht van de bevindingen van de</w:t>
      </w:r>
      <w:r>
        <w:rPr>
          <w:rFonts w:ascii="Times New Roman" w:hAnsi="Times New Roman"/>
          <w:noProof/>
          <w:lang w:val="nl-NL"/>
        </w:rPr>
        <w:t xml:space="preserve"> jaargang 2018 van de IDR's onevenwichtigheden zijn vastgesteld.</w:t>
      </w:r>
      <w:r>
        <w:rPr>
          <w:rFonts w:ascii="Times New Roman" w:hAnsi="Times New Roman"/>
          <w:noProof/>
          <w:vertAlign w:val="superscript"/>
        </w:rPr>
        <w:footnoteReference w:id="9"/>
      </w:r>
      <w:r>
        <w:rPr>
          <w:rFonts w:ascii="Times New Roman" w:hAnsi="Times New Roman"/>
          <w:noProof/>
          <w:lang w:val="nl-NL"/>
        </w:rPr>
        <w:t xml:space="preserve"> Het gaat om</w:t>
      </w:r>
      <w:r>
        <w:rPr>
          <w:rFonts w:ascii="Times New Roman" w:hAnsi="Times New Roman"/>
          <w:b/>
          <w:noProof/>
          <w:lang w:val="nl-NL"/>
        </w:rPr>
        <w:t xml:space="preserve"> Bulgarije, Kroatië, Cyprus, Frankrijk, Duitsland, Ierland, Italië, Nederland, Portugal, Spanje</w:t>
      </w:r>
      <w:r>
        <w:rPr>
          <w:rFonts w:ascii="Times New Roman" w:hAnsi="Times New Roman"/>
          <w:noProof/>
          <w:lang w:val="nl-NL"/>
        </w:rPr>
        <w:t xml:space="preserve"> en </w:t>
      </w:r>
      <w:r>
        <w:rPr>
          <w:rFonts w:ascii="Times New Roman" w:hAnsi="Times New Roman"/>
          <w:b/>
          <w:noProof/>
          <w:lang w:val="nl-NL"/>
        </w:rPr>
        <w:t>Zweden</w:t>
      </w:r>
      <w:r>
        <w:rPr>
          <w:rFonts w:ascii="Times New Roman" w:hAnsi="Times New Roman"/>
          <w:noProof/>
          <w:lang w:val="nl-NL"/>
        </w:rPr>
        <w:t>.</w:t>
      </w:r>
    </w:p>
    <w:p w:rsidR="00222D78" w:rsidRDefault="00E65635">
      <w:pPr>
        <w:jc w:val="both"/>
        <w:rPr>
          <w:rFonts w:ascii="Times New Roman" w:hAnsi="Times New Roman" w:cs="Times New Roman"/>
          <w:noProof/>
          <w:lang w:val="nl-NL"/>
        </w:rPr>
      </w:pPr>
      <w:r>
        <w:rPr>
          <w:rFonts w:ascii="Times New Roman" w:hAnsi="Times New Roman"/>
          <w:b/>
          <w:noProof/>
          <w:lang w:val="nl-NL"/>
        </w:rPr>
        <w:t>Er zullen ook IDR's worden opgesteld voor Griekenland, dat voor het eers</w:t>
      </w:r>
      <w:r>
        <w:rPr>
          <w:rFonts w:ascii="Times New Roman" w:hAnsi="Times New Roman"/>
          <w:b/>
          <w:noProof/>
          <w:lang w:val="nl-NL"/>
        </w:rPr>
        <w:t xml:space="preserve">t onder MIP-toezicht staat, en voor Roemenië. </w:t>
      </w:r>
      <w:r>
        <w:rPr>
          <w:rFonts w:ascii="Times New Roman" w:hAnsi="Times New Roman"/>
          <w:noProof/>
          <w:lang w:val="nl-NL"/>
        </w:rPr>
        <w:t xml:space="preserve">In het licht van de AMR-analyse zal een IDR worden uitgebracht voor </w:t>
      </w:r>
      <w:r>
        <w:rPr>
          <w:rFonts w:ascii="Times New Roman" w:hAnsi="Times New Roman"/>
          <w:b/>
          <w:noProof/>
          <w:lang w:val="nl-NL"/>
        </w:rPr>
        <w:t>Griekenland,</w:t>
      </w:r>
      <w:r>
        <w:rPr>
          <w:rFonts w:ascii="Times New Roman" w:hAnsi="Times New Roman"/>
          <w:noProof/>
          <w:lang w:val="nl-NL"/>
        </w:rPr>
        <w:t xml:space="preserve"> dat voorheen was uitgesloten van het MIP-toezicht omdat het tot augustus 2018 onder een macro-economisch aanpassingsprogramma in de context van financiële bijstand viel</w:t>
      </w:r>
      <w:r>
        <w:rPr>
          <w:rStyle w:val="FootnoteReference"/>
          <w:rFonts w:ascii="Times New Roman" w:hAnsi="Times New Roman"/>
          <w:noProof/>
        </w:rPr>
        <w:footnoteReference w:id="10"/>
      </w:r>
      <w:r>
        <w:rPr>
          <w:noProof/>
          <w:lang w:val="nl-NL"/>
        </w:rPr>
        <w:t>.</w:t>
      </w:r>
      <w:r>
        <w:rPr>
          <w:rFonts w:ascii="Times New Roman" w:hAnsi="Times New Roman"/>
          <w:noProof/>
          <w:lang w:val="nl-NL"/>
        </w:rPr>
        <w:t xml:space="preserve"> De AMR-</w:t>
      </w:r>
      <w:r>
        <w:rPr>
          <w:rFonts w:ascii="Times New Roman" w:hAnsi="Times New Roman"/>
          <w:noProof/>
          <w:lang w:val="nl-NL"/>
        </w:rPr>
        <w:lastRenderedPageBreak/>
        <w:t xml:space="preserve">beoordeling wijst niet op significante extra risico's in vergelijking met de </w:t>
      </w:r>
      <w:r>
        <w:rPr>
          <w:rFonts w:ascii="Times New Roman" w:hAnsi="Times New Roman"/>
          <w:noProof/>
          <w:lang w:val="nl-NL"/>
        </w:rPr>
        <w:t xml:space="preserve">risico's die in de laatste beschikbare IDR's zijn vastgesteld voor een aantal lidstaten die de afgelopen jaren het MIP-toezicht hebben verlaten, namelijk Slovenië (dat in 2018 geen onevenwichtigheden vertoonde), Finland (exit in 2017), België en Hongarije </w:t>
      </w:r>
      <w:r>
        <w:rPr>
          <w:rFonts w:ascii="Times New Roman" w:hAnsi="Times New Roman"/>
          <w:noProof/>
          <w:lang w:val="nl-NL"/>
        </w:rPr>
        <w:t>(exit in 2016). Ook in Oostenrijk zijn de omstandigheden niet significant veranderd sinds de beoordeling in de IDR 2016 waarbij geen onevenwichtigheden werden vastgesteld. Estland werd in 2016 eveneens geanalyseerd in een IDR, waarbij geen onevenwichtighed</w:t>
      </w:r>
      <w:r>
        <w:rPr>
          <w:rFonts w:ascii="Times New Roman" w:hAnsi="Times New Roman"/>
          <w:noProof/>
          <w:lang w:val="nl-NL"/>
        </w:rPr>
        <w:t>en werden vastgesteld. Ondanks het feit dat sedertdien de ULC sterk zijn gegroeid, waren er geen significante implicaties voor het externe saldo en zijn er geen dwingende argumenten om voor Estland een nieuwe IDR op te stellen, hoewel in het komende landve</w:t>
      </w:r>
      <w:r>
        <w:rPr>
          <w:rFonts w:ascii="Times New Roman" w:hAnsi="Times New Roman"/>
          <w:noProof/>
          <w:lang w:val="nl-NL"/>
        </w:rPr>
        <w:t xml:space="preserve">rslag nauwlettende monitoring nodig is. Het lijkt daarentegen gerechtvaardigd dat een IDR wordt uitgebracht met een analyse van de situatie in </w:t>
      </w:r>
      <w:r>
        <w:rPr>
          <w:rFonts w:ascii="Times New Roman" w:hAnsi="Times New Roman"/>
          <w:b/>
          <w:noProof/>
          <w:lang w:val="nl-NL"/>
        </w:rPr>
        <w:t>Roemenië</w:t>
      </w:r>
      <w:r>
        <w:rPr>
          <w:rFonts w:ascii="Times New Roman" w:hAnsi="Times New Roman"/>
          <w:noProof/>
          <w:lang w:val="nl-NL"/>
        </w:rPr>
        <w:t xml:space="preserve"> om de ontwikkeling en mogelijke heropleving van risicovolle ontwikkelingen die al in eerdere IDR's (in 2</w:t>
      </w:r>
      <w:r>
        <w:rPr>
          <w:rFonts w:ascii="Times New Roman" w:hAnsi="Times New Roman"/>
          <w:noProof/>
          <w:lang w:val="nl-NL"/>
        </w:rPr>
        <w:t>015 en 2016) zijn vastgesteld, met name in verband met het concurrentievermogen en het externe saldo, te beoordelen. Nadere analyse in de landverslagen lijkt gerechtvaardigd voor risico's in verband met de ontwikkelingen van de huizenmarkt in een aantal li</w:t>
      </w:r>
      <w:r>
        <w:rPr>
          <w:rFonts w:ascii="Times New Roman" w:hAnsi="Times New Roman"/>
          <w:noProof/>
          <w:lang w:val="nl-NL"/>
        </w:rPr>
        <w:t>dstaten (Oostenrijk, België, Tsjechië, Denemarken, Hongarije, Luxemburg en het Verenigd Koninkrijk) en in verband met ontwikkelingen op het gebied van concurrentievermogen (Tsjechië, Estland, Hongarije, Letland en Litouwen)</w:t>
      </w:r>
      <w:r>
        <w:rPr>
          <w:rStyle w:val="FootnoteReference"/>
          <w:rFonts w:ascii="Times New Roman" w:hAnsi="Times New Roman"/>
          <w:noProof/>
        </w:rPr>
        <w:footnoteReference w:id="11"/>
      </w:r>
      <w:r>
        <w:rPr>
          <w:noProof/>
          <w:lang w:val="nl-NL"/>
        </w:rPr>
        <w:t>.</w:t>
      </w:r>
      <w:r>
        <w:rPr>
          <w:rFonts w:ascii="Times New Roman" w:hAnsi="Times New Roman"/>
          <w:noProof/>
          <w:lang w:val="nl-NL"/>
        </w:rPr>
        <w:t xml:space="preserve"> Al met al wordt in het AMR der</w:t>
      </w:r>
      <w:r>
        <w:rPr>
          <w:rFonts w:ascii="Times New Roman" w:hAnsi="Times New Roman"/>
          <w:noProof/>
          <w:lang w:val="nl-NL"/>
        </w:rPr>
        <w:t>halve gevraagd IDR's op te stellen voor 13 lidstaten tegenover 12 in de vorige cyclus.</w:t>
      </w:r>
    </w:p>
    <w:p w:rsidR="00222D78" w:rsidRDefault="00222D78">
      <w:pPr>
        <w:jc w:val="both"/>
        <w:rPr>
          <w:rFonts w:ascii="Times New Roman" w:hAnsi="Times New Roman" w:cs="Times New Roman"/>
          <w:noProo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222D78" w:rsidRPr="00E65635">
        <w:tc>
          <w:tcPr>
            <w:tcW w:w="9288" w:type="dxa"/>
            <w:shd w:val="clear" w:color="auto" w:fill="BFBFBF"/>
          </w:tcPr>
          <w:p w:rsidR="00222D78" w:rsidRDefault="00E65635">
            <w:pPr>
              <w:spacing w:after="60"/>
              <w:jc w:val="both"/>
              <w:rPr>
                <w:b/>
                <w:noProof/>
                <w:lang w:val="nl-NL"/>
              </w:rPr>
            </w:pPr>
            <w:r>
              <w:rPr>
                <w:noProof/>
                <w:lang w:val="nl-NL"/>
              </w:rPr>
              <w:br w:type="page"/>
            </w:r>
            <w:r>
              <w:rPr>
                <w:noProof/>
                <w:lang w:val="nl-NL"/>
              </w:rPr>
              <w:br w:type="page"/>
            </w:r>
            <w:r>
              <w:rPr>
                <w:noProof/>
                <w:lang w:val="nl-NL"/>
              </w:rPr>
              <w:br w:type="page"/>
            </w:r>
            <w:r>
              <w:rPr>
                <w:rFonts w:ascii="Times New Roman" w:hAnsi="Times New Roman"/>
                <w:b/>
                <w:i/>
                <w:noProof/>
                <w:lang w:val="nl-NL"/>
              </w:rPr>
              <w:t xml:space="preserve">Kader 1: </w:t>
            </w:r>
            <w:r>
              <w:rPr>
                <w:b/>
                <w:noProof/>
                <w:lang w:val="nl-NL"/>
              </w:rPr>
              <w:t>Bijstellingen van de aanvullende indicatoren van het MIP-scorebord</w:t>
            </w:r>
          </w:p>
          <w:p w:rsidR="00222D78" w:rsidRDefault="00E65635">
            <w:pPr>
              <w:spacing w:before="120" w:after="60" w:line="240" w:lineRule="auto"/>
              <w:jc w:val="both"/>
              <w:rPr>
                <w:noProof/>
                <w:lang w:val="nl-NL"/>
              </w:rPr>
            </w:pPr>
            <w:r>
              <w:rPr>
                <w:b/>
                <w:noProof/>
                <w:lang w:val="nl-NL"/>
              </w:rPr>
              <w:t>Aan het MIP-scorebord wordt een reeks aanvullende indicatoren toegevoegd</w:t>
            </w:r>
            <w:r>
              <w:rPr>
                <w:noProof/>
                <w:lang w:val="nl-NL"/>
              </w:rPr>
              <w:t>. Zoals vastgeste</w:t>
            </w:r>
            <w:r>
              <w:rPr>
                <w:noProof/>
                <w:lang w:val="nl-NL"/>
              </w:rPr>
              <w:t>ld in de MIP-verordening</w:t>
            </w:r>
            <w:r>
              <w:rPr>
                <w:b/>
                <w:noProof/>
                <w:lang w:val="nl-NL"/>
              </w:rPr>
              <w:t xml:space="preserve"> </w:t>
            </w:r>
            <w:r>
              <w:rPr>
                <w:noProof/>
                <w:lang w:val="nl-NL"/>
              </w:rPr>
              <w:t xml:space="preserve"> (Verordening (EU) nr. 1176/2011) worden bij de economische interpretatie van het scorebord niet alleen de kernscorebordindicatoren gebruikt, maar ook extra relevante indicatoren en informatie. Sinds het begin van het MIP-toezicht </w:t>
            </w:r>
            <w:r>
              <w:rPr>
                <w:noProof/>
                <w:lang w:val="nl-NL"/>
              </w:rPr>
              <w:t>wordt de economische interpretatie van de kernindicatoren aangevuld met een reeks aanvullende indicatoren. Anders dan voor de kernindicatoren zijn er geen drempels voor aanvullende indicatoren (zie tabel 2.1).</w:t>
            </w:r>
          </w:p>
          <w:p w:rsidR="00222D78" w:rsidRDefault="00E65635">
            <w:pPr>
              <w:spacing w:before="120" w:after="60" w:line="240" w:lineRule="auto"/>
              <w:jc w:val="both"/>
              <w:rPr>
                <w:noProof/>
                <w:lang w:val="nl-NL"/>
              </w:rPr>
            </w:pPr>
            <w:r>
              <w:rPr>
                <w:b/>
                <w:noProof/>
                <w:lang w:val="nl-NL"/>
              </w:rPr>
              <w:t>De MIP-verordening schrijft voor dat de Commis</w:t>
            </w:r>
            <w:r>
              <w:rPr>
                <w:b/>
                <w:noProof/>
                <w:lang w:val="nl-NL"/>
              </w:rPr>
              <w:t xml:space="preserve">sie het MIP-scorebord regelmatig evalueert en zo nodig herziet. </w:t>
            </w:r>
            <w:r>
              <w:rPr>
                <w:noProof/>
                <w:lang w:val="nl-NL"/>
              </w:rPr>
              <w:t xml:space="preserve">Het scorebord is sinds het begin van de MIP een aantal keer bijgesteld. In 2012 is een kernindicator voor de financiële sector toegevoegd (de totale passiva van de financiële sector). In 2013 </w:t>
            </w:r>
            <w:r>
              <w:rPr>
                <w:noProof/>
                <w:lang w:val="nl-NL"/>
              </w:rPr>
              <w:t>is de definitie van een aantal kernvariabelen van het scorebord bijgesteld (reële effectieve wisselkoers, schuld van de private sector en kredietstroom) en zijn enkele aanvullende indicatoren toegevoegd (waaronder een reeks sociale en werkgelegenheidsindic</w:t>
            </w:r>
            <w:r>
              <w:rPr>
                <w:noProof/>
                <w:lang w:val="nl-NL"/>
              </w:rPr>
              <w:t xml:space="preserve">atoren). In 2015 werden de kernindicatoren inzake werkgelegenheid toegevoegd. Over het geheel genomen werd er doelgericht en mondjesmaat gewijzigd. </w:t>
            </w:r>
          </w:p>
          <w:p w:rsidR="00222D78" w:rsidRDefault="00E65635">
            <w:pPr>
              <w:spacing w:before="120" w:after="60" w:line="240" w:lineRule="auto"/>
              <w:jc w:val="both"/>
              <w:rPr>
                <w:noProof/>
              </w:rPr>
            </w:pPr>
            <w:r>
              <w:rPr>
                <w:b/>
                <w:noProof/>
                <w:lang w:val="nl-NL"/>
              </w:rPr>
              <w:t>Met dit AMR worden enkele bijstellingen van de aanvullende indicatoren doorgevoerd om verbeteringen in de b</w:t>
            </w:r>
            <w:r>
              <w:rPr>
                <w:b/>
                <w:noProof/>
                <w:lang w:val="nl-NL"/>
              </w:rPr>
              <w:t>eschikbare statistieken te benutten en de relevantie van de indicatoren te verzekeren.</w:t>
            </w:r>
            <w:r>
              <w:rPr>
                <w:noProof/>
                <w:lang w:val="nl-NL"/>
              </w:rPr>
              <w:t xml:space="preserve"> Deze jongste bijstellingen van de reeks aanvullende indicatoren zijn bedoeld om te profiteren van verbeterde betalingsbalansstatistieken en gegevens over de banksector (</w:t>
            </w:r>
            <w:r>
              <w:rPr>
                <w:noProof/>
                <w:lang w:val="nl-NL"/>
              </w:rPr>
              <w:t xml:space="preserve">met name over niet-renderende leningen) en dragen ertoe bij dat het scorebord indicatoren weerspiegelt die reeds op </w:t>
            </w:r>
            <w:r>
              <w:rPr>
                <w:noProof/>
                <w:lang w:val="nl-NL"/>
              </w:rPr>
              <w:lastRenderedPageBreak/>
              <w:t>grote schaal bij de AMR- en IDR-analyse worden gebruikt. Zoals bij eerdere bijstellingen van het scorebord zijn het Europees Parlement en de</w:t>
            </w:r>
            <w:r>
              <w:rPr>
                <w:noProof/>
                <w:lang w:val="nl-NL"/>
              </w:rPr>
              <w:t xml:space="preserve"> Raad (met inbegrip van zijn comités van deskundigen) naar behoren geraadpleegd en is het ESRB op de hoogte gebracht. </w:t>
            </w:r>
            <w:r>
              <w:rPr>
                <w:noProof/>
              </w:rPr>
              <w:t>Deze bijstellingen kunnen als volgt worden samengevat</w:t>
            </w:r>
            <w:r>
              <w:rPr>
                <w:rStyle w:val="FootnoteReference"/>
                <w:noProof/>
              </w:rPr>
              <w:footnoteReference w:id="12"/>
            </w:r>
            <w:r>
              <w:rPr>
                <w:noProof/>
              </w:rPr>
              <w:t>:</w:t>
            </w:r>
          </w:p>
          <w:p w:rsidR="00222D78" w:rsidRDefault="00E65635">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nl-NL"/>
              </w:rPr>
            </w:pPr>
            <w:r>
              <w:rPr>
                <w:noProof/>
              </w:rPr>
              <w:t xml:space="preserve">De </w:t>
            </w:r>
            <w:r>
              <w:rPr>
                <w:rFonts w:ascii="Times New Roman" w:hAnsi="Times New Roman"/>
                <w:i/>
                <w:noProof/>
              </w:rPr>
              <w:t>Netto externe schuld (NED)</w:t>
            </w:r>
            <w:r>
              <w:rPr>
                <w:rFonts w:ascii="Times New Roman" w:hAnsi="Times New Roman"/>
                <w:noProof/>
              </w:rPr>
              <w:t xml:space="preserve"> wordt vervangen door de </w:t>
            </w:r>
            <w:r>
              <w:rPr>
                <w:rFonts w:ascii="Times New Roman" w:hAnsi="Times New Roman"/>
                <w:i/>
                <w:noProof/>
              </w:rPr>
              <w:t xml:space="preserve">NIIP exclusief instrumenten </w:t>
            </w:r>
            <w:r>
              <w:rPr>
                <w:rFonts w:ascii="Times New Roman" w:hAnsi="Times New Roman"/>
                <w:i/>
                <w:noProof/>
              </w:rPr>
              <w:t>zonder wanbetalingsrisico</w:t>
            </w:r>
            <w:r>
              <w:rPr>
                <w:rFonts w:ascii="Times New Roman" w:hAnsi="Times New Roman"/>
                <w:noProof/>
              </w:rPr>
              <w:t xml:space="preserve"> (NENDI) zodat externe standen (zowel activa als passiva) met debiteurenrisico breder vertegenwoordigd zijn. </w:t>
            </w:r>
            <w:r>
              <w:rPr>
                <w:rFonts w:ascii="Times New Roman" w:hAnsi="Times New Roman"/>
                <w:noProof/>
                <w:lang w:val="nl-NL"/>
              </w:rPr>
              <w:t xml:space="preserve">Voor de nieuwe indicator wordt gebruik gemaakt van de bijgestelde methodologie voor betalingsbalansstatistieken (van BPM5 </w:t>
            </w:r>
            <w:r>
              <w:rPr>
                <w:rFonts w:ascii="Times New Roman" w:hAnsi="Times New Roman"/>
                <w:noProof/>
                <w:lang w:val="nl-NL"/>
              </w:rPr>
              <w:t xml:space="preserve">naar BPM6), waardoor een fijnere uitsplitsing van buitenlandse activa en passiva mogelijk is. </w:t>
            </w:r>
            <w:r>
              <w:rPr>
                <w:noProof/>
                <w:lang w:val="nl-NL"/>
              </w:rPr>
              <w:t>In vergelijking met de NED is de NENDI: i) exclusief netto bedrijfsinterne schuld in verband met buitenlandse directe investeringen, die in sommige gevallen een g</w:t>
            </w:r>
            <w:r>
              <w:rPr>
                <w:noProof/>
                <w:lang w:val="nl-NL"/>
              </w:rPr>
              <w:t>root deel van de grensoverschrijdende schuld uitmaakt zonder solvabiliteitsproblemen te vertegenwoordigen; ii) inclusief aandelen in beleggingsmaatschappijen, die soms een zeer grote post vormen en meestal worden gedekt door obligaties; en iii) inclusief n</w:t>
            </w:r>
            <w:r>
              <w:rPr>
                <w:noProof/>
                <w:lang w:val="nl-NL"/>
              </w:rPr>
              <w:t>etto financiële derivaten. Vanuit een ander perspectief gezien is de NENDI een subset van de NIIP exclusief deelnemingengerelateerde componenten, namelijk deelnemingen en gewone aandelen in verband met buitenlandse directe investeringen, en bedrijfsinterne</w:t>
            </w:r>
            <w:r>
              <w:rPr>
                <w:noProof/>
                <w:lang w:val="nl-NL"/>
              </w:rPr>
              <w:t xml:space="preserve"> grensoverschrijdende schuld in verband met buitenlandse directe investeringen. </w:t>
            </w:r>
          </w:p>
          <w:p w:rsidR="00222D78" w:rsidRDefault="00E65635">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nl-NL"/>
              </w:rPr>
            </w:pPr>
            <w:r>
              <w:rPr>
                <w:rFonts w:ascii="Times New Roman" w:hAnsi="Times New Roman"/>
                <w:noProof/>
                <w:lang w:val="nl-NL"/>
              </w:rPr>
              <w:t>De indicator van</w:t>
            </w:r>
            <w:r>
              <w:rPr>
                <w:rFonts w:ascii="Times New Roman" w:hAnsi="Times New Roman"/>
                <w:i/>
                <w:noProof/>
                <w:lang w:val="nl-NL"/>
              </w:rPr>
              <w:t xml:space="preserve"> de niet-geconsolideerde hefboom van de</w:t>
            </w:r>
            <w:r>
              <w:rPr>
                <w:rFonts w:ascii="Times New Roman" w:hAnsi="Times New Roman"/>
                <w:noProof/>
                <w:lang w:val="nl-NL"/>
              </w:rPr>
              <w:t xml:space="preserve"> </w:t>
            </w:r>
            <w:r>
              <w:rPr>
                <w:rFonts w:ascii="Times New Roman" w:hAnsi="Times New Roman"/>
                <w:i/>
                <w:noProof/>
                <w:lang w:val="nl-NL"/>
              </w:rPr>
              <w:t xml:space="preserve"> financiële sector</w:t>
            </w:r>
            <w:r>
              <w:rPr>
                <w:rFonts w:ascii="Times New Roman" w:hAnsi="Times New Roman"/>
                <w:noProof/>
                <w:lang w:val="nl-NL"/>
              </w:rPr>
              <w:t xml:space="preserve"> die afkomstig is uit de nationale rekeningen wordt vervangen door </w:t>
            </w:r>
            <w:r>
              <w:rPr>
                <w:rFonts w:ascii="Times New Roman" w:hAnsi="Times New Roman"/>
                <w:i/>
                <w:noProof/>
                <w:lang w:val="nl-NL"/>
              </w:rPr>
              <w:t xml:space="preserve">de geconsolideerde bankenhefboom, </w:t>
            </w:r>
            <w:r>
              <w:rPr>
                <w:rFonts w:ascii="Times New Roman" w:hAnsi="Times New Roman"/>
                <w:i/>
                <w:noProof/>
                <w:lang w:val="nl-NL"/>
              </w:rPr>
              <w:t>binnenlandse en buitenlandse entiteiten</w:t>
            </w:r>
            <w:r>
              <w:rPr>
                <w:rFonts w:ascii="Times New Roman" w:hAnsi="Times New Roman"/>
                <w:noProof/>
                <w:lang w:val="nl-NL"/>
              </w:rPr>
              <w:t xml:space="preserve"> die afkomstig is uit de geconsolideerde bankgegevens van de ECB, die duidelĳker economisch te interpreteren is, vergelijking van landen mogelijk maakt en consequent gebaseerd is op boekwaarden, ook al heeft hij uitsl</w:t>
            </w:r>
            <w:r>
              <w:rPr>
                <w:rFonts w:ascii="Times New Roman" w:hAnsi="Times New Roman"/>
                <w:noProof/>
                <w:lang w:val="nl-NL"/>
              </w:rPr>
              <w:t xml:space="preserve">uitend op de banksector betrekking. </w:t>
            </w:r>
          </w:p>
          <w:p w:rsidR="00222D78" w:rsidRDefault="00E65635">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nl-NL"/>
              </w:rPr>
            </w:pPr>
            <w:r>
              <w:rPr>
                <w:rFonts w:ascii="Times New Roman" w:hAnsi="Times New Roman"/>
                <w:noProof/>
                <w:lang w:val="nl-NL"/>
              </w:rPr>
              <w:t xml:space="preserve">Er worden twee indicatoren toegevoegd die regelmatig worden gebruikt bij de MIP-analyse: allereerst </w:t>
            </w:r>
            <w:r>
              <w:rPr>
                <w:rFonts w:ascii="Times New Roman" w:hAnsi="Times New Roman"/>
                <w:i/>
                <w:noProof/>
                <w:lang w:val="nl-NL"/>
              </w:rPr>
              <w:t>de schuld van de huishoudens (geconsolideerd)</w:t>
            </w:r>
            <w:r>
              <w:rPr>
                <w:rFonts w:ascii="Times New Roman" w:hAnsi="Times New Roman"/>
                <w:noProof/>
                <w:lang w:val="nl-NL"/>
              </w:rPr>
              <w:t xml:space="preserve"> ter aanvulling van de kernindicator voor de schuld van de private sector;</w:t>
            </w:r>
            <w:r>
              <w:rPr>
                <w:rFonts w:ascii="Times New Roman" w:hAnsi="Times New Roman"/>
                <w:noProof/>
                <w:lang w:val="nl-NL"/>
              </w:rPr>
              <w:t xml:space="preserve"> en, in de tweede plaats, </w:t>
            </w:r>
            <w:r>
              <w:rPr>
                <w:rFonts w:ascii="Times New Roman" w:hAnsi="Times New Roman"/>
                <w:i/>
                <w:noProof/>
                <w:lang w:val="nl-NL"/>
              </w:rPr>
              <w:t>de bruto niet-renderende leningen</w:t>
            </w:r>
            <w:r>
              <w:rPr>
                <w:rFonts w:ascii="Times New Roman" w:hAnsi="Times New Roman"/>
                <w:noProof/>
                <w:lang w:val="nl-NL"/>
              </w:rPr>
              <w:t>, waarmee aanvullende informatie wordt verkregen voor de beoordeling van de schuld van de private sector. Die kon worden toegevoegd dankzij het feit dat grensoverschrijdend vergelijkbare gegevens in de geconsolideerde bankstatistieken van de ECB vanaf 2015</w:t>
            </w:r>
            <w:r>
              <w:rPr>
                <w:rFonts w:ascii="Times New Roman" w:hAnsi="Times New Roman"/>
                <w:noProof/>
                <w:lang w:val="nl-NL"/>
              </w:rPr>
              <w:t xml:space="preserve"> beschikbaar kwamen. </w:t>
            </w:r>
          </w:p>
          <w:p w:rsidR="00222D78" w:rsidRDefault="00E65635">
            <w:pPr>
              <w:pStyle w:val="ListParagraph"/>
              <w:numPr>
                <w:ilvl w:val="0"/>
                <w:numId w:val="21"/>
              </w:numPr>
              <w:spacing w:before="120" w:after="60" w:line="240" w:lineRule="auto"/>
              <w:ind w:left="284" w:hanging="284"/>
              <w:contextualSpacing w:val="0"/>
              <w:jc w:val="both"/>
              <w:rPr>
                <w:rFonts w:ascii="Times New Roman" w:hAnsi="Times New Roman" w:cs="Times New Roman"/>
                <w:b/>
                <w:noProof/>
                <w:lang w:val="nl-NL"/>
              </w:rPr>
            </w:pPr>
            <w:r>
              <w:rPr>
                <w:rFonts w:ascii="Times New Roman" w:hAnsi="Times New Roman"/>
                <w:noProof/>
                <w:lang w:val="nl-NL"/>
              </w:rPr>
              <w:t>Om het scorebord relevant en beperkt te houden, blijft het totale aantal indicatoren ongewijzigd op 28. Twee eerder opgenomen aanvullende indicatoren vervallen: i) de mutatie over tien jaar in nominale ULC (aangezien deze overlapt met</w:t>
            </w:r>
            <w:r>
              <w:rPr>
                <w:rFonts w:ascii="Times New Roman" w:hAnsi="Times New Roman"/>
                <w:noProof/>
                <w:lang w:val="nl-NL"/>
              </w:rPr>
              <w:t xml:space="preserve"> gegevens over de mutatie over drie jaar in de ULC bij de kernindicatoren en over de mutatie over tien jaar in de ULC met betrekking tot de eurozone, eveneens één van de aanvullende indicatoren); ii) de niet-geconsolideerde schuld van de private sector (di</w:t>
            </w:r>
            <w:r>
              <w:rPr>
                <w:rFonts w:ascii="Times New Roman" w:hAnsi="Times New Roman"/>
                <w:noProof/>
                <w:lang w:val="nl-NL"/>
              </w:rPr>
              <w:t>e is vervangen door de kernindicator voor de geconsolideerde schuld van de private sector).</w:t>
            </w:r>
          </w:p>
        </w:tc>
      </w:tr>
    </w:tbl>
    <w:p w:rsidR="00222D78" w:rsidRDefault="00222D78">
      <w:pPr>
        <w:rPr>
          <w:rFonts w:ascii="Times New Roman Bold" w:eastAsia="MS Gothic" w:hAnsi="Times New Roman Bold" w:cs="Times New Roman" w:hint="eastAsia"/>
          <w:b/>
          <w:bCs/>
          <w:smallCaps/>
          <w:noProof/>
          <w:lang w:val="nl-NL"/>
        </w:rPr>
      </w:pPr>
    </w:p>
    <w:p w:rsidR="00222D78" w:rsidRDefault="00E65635">
      <w:pPr>
        <w:rPr>
          <w:rFonts w:ascii="Times New Roman Bold" w:eastAsia="MS Gothic" w:hAnsi="Times New Roman Bold" w:cs="Times New Roman" w:hint="eastAsia"/>
          <w:b/>
          <w:bCs/>
          <w:smallCaps/>
          <w:noProof/>
          <w:lang w:val="nl-NL"/>
        </w:rPr>
      </w:pPr>
      <w:r>
        <w:rPr>
          <w:rFonts w:ascii="Times New Roman Bold" w:hAnsi="Times New Roman Bold"/>
          <w:b/>
          <w:smallCaps/>
          <w:noProof/>
          <w:lang w:val="nl-NL"/>
        </w:rPr>
        <w:t>2.</w:t>
      </w:r>
      <w:r>
        <w:rPr>
          <w:noProof/>
          <w:lang w:val="nl-NL"/>
        </w:rPr>
        <w:tab/>
      </w:r>
      <w:r>
        <w:rPr>
          <w:rFonts w:ascii="Times New Roman Bold" w:hAnsi="Times New Roman Bold"/>
          <w:b/>
          <w:smallCaps/>
          <w:noProof/>
          <w:lang w:val="nl-NL"/>
        </w:rPr>
        <w:t>Onevenwichtigheden, risico's en aanpassing: belangrijkste ontwikkelingen in de landen</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lastRenderedPageBreak/>
        <w:t>Het AMR steunt op een economische interpretatie van het MIP-scorebord van</w:t>
      </w:r>
      <w:r>
        <w:rPr>
          <w:rFonts w:ascii="Times New Roman" w:hAnsi="Times New Roman"/>
          <w:b/>
          <w:noProof/>
          <w:lang w:val="nl-NL"/>
        </w:rPr>
        <w:t xml:space="preserve"> indicatoren</w:t>
      </w:r>
      <w:r>
        <w:rPr>
          <w:rFonts w:ascii="Times New Roman" w:hAnsi="Times New Roman"/>
          <w:noProof/>
          <w:lang w:val="nl-NL"/>
        </w:rPr>
        <w:t xml:space="preserve">, </w:t>
      </w:r>
      <w:r>
        <w:rPr>
          <w:rFonts w:ascii="Times New Roman" w:hAnsi="Times New Roman"/>
          <w:b/>
          <w:noProof/>
          <w:lang w:val="nl-NL"/>
        </w:rPr>
        <w:t>dat een mechanisme biedt om voor de hand liggend bewijsmateriaal uit te filteren met betrekking tot mogelijke risico’s en kwetsbaarheden</w:t>
      </w:r>
      <w:r>
        <w:rPr>
          <w:rFonts w:ascii="Times New Roman" w:hAnsi="Times New Roman"/>
          <w:noProof/>
          <w:lang w:val="nl-NL"/>
        </w:rPr>
        <w:t>. Het scorebord omvat een reeks van 14 indicatoren met indicatieve drempels voor een aantal terreinen, waa</w:t>
      </w:r>
      <w:r>
        <w:rPr>
          <w:rFonts w:ascii="Times New Roman" w:hAnsi="Times New Roman"/>
          <w:noProof/>
          <w:lang w:val="nl-NL"/>
        </w:rPr>
        <w:t xml:space="preserve">ronder externe posities, concurrentievermogen, schuldpositie van de private sector, woningmarkt, banksector en werkgelegenheid. Het steunt op actuele gegevens van goede statistische kwaliteit waarmee stabiliteit en grensoverschrijdende consistentie tussen </w:t>
      </w:r>
      <w:r>
        <w:rPr>
          <w:rFonts w:ascii="Times New Roman" w:hAnsi="Times New Roman"/>
          <w:noProof/>
          <w:lang w:val="nl-NL"/>
        </w:rPr>
        <w:t>landen kunnen worden verzekerd. Het scorebord dat voor voorliggend verslag is gebruikt, geeft dus gegevens weer tot en met 2017. Overeenkomstig de MIP-verordening (Verordening (EU) nr. 1176/2011) worden scorebordwaarden niet mechanisch gelezen bij de beoor</w:t>
      </w:r>
      <w:r>
        <w:rPr>
          <w:rFonts w:ascii="Times New Roman" w:hAnsi="Times New Roman"/>
          <w:noProof/>
          <w:lang w:val="nl-NL"/>
        </w:rPr>
        <w:t>delingen in de AMR, maar worden zij economisch geïnterpreteerd waardoor een beter inzicht in de algemene economische context mogelijk wordt en rekening wordt gehouden met landspecifieke overwegingen.</w:t>
      </w:r>
      <w:r>
        <w:rPr>
          <w:rFonts w:ascii="Times New Roman" w:hAnsi="Times New Roman"/>
          <w:noProof/>
          <w:vertAlign w:val="superscript"/>
        </w:rPr>
        <w:footnoteReference w:id="13"/>
      </w:r>
      <w:r>
        <w:rPr>
          <w:rFonts w:ascii="Times New Roman" w:hAnsi="Times New Roman"/>
          <w:noProof/>
          <w:lang w:val="nl-NL"/>
        </w:rPr>
        <w:t xml:space="preserve"> Een reeks aanvullende indicatoren vervolledigt de inter</w:t>
      </w:r>
      <w:r>
        <w:rPr>
          <w:rFonts w:ascii="Times New Roman" w:hAnsi="Times New Roman"/>
          <w:noProof/>
          <w:lang w:val="nl-NL"/>
        </w:rPr>
        <w:t>pretatie van het scorebord. Bij de AMR-beoordeling wordt ook rekening gehouden met recentere gegevens en extra informatie, inzichten uit beoordelingskaders, bevindingen in bestaande IDR's en relevante analyses, en de najaarsprognoses 2018 van de diensten v</w:t>
      </w:r>
      <w:r>
        <w:rPr>
          <w:rFonts w:ascii="Times New Roman" w:hAnsi="Times New Roman"/>
          <w:noProof/>
          <w:lang w:val="nl-NL"/>
        </w:rPr>
        <w:t>an de Commissie.</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 xml:space="preserve">Uit de variabelen van het scorebord voor 2017 blijken aanhoudende standonevenwichtigheden, die echter geleidelijk afnemen. </w:t>
      </w:r>
      <w:r>
        <w:rPr>
          <w:rFonts w:ascii="Times New Roman" w:hAnsi="Times New Roman"/>
          <w:noProof/>
          <w:lang w:val="nl-NL"/>
        </w:rPr>
        <w:t>Op het vlak van overheidsschuld, netto internationale investeringposities en private schuld worden de drempels van h</w:t>
      </w:r>
      <w:r>
        <w:rPr>
          <w:rFonts w:ascii="Times New Roman" w:hAnsi="Times New Roman"/>
          <w:noProof/>
          <w:lang w:val="nl-NL"/>
        </w:rPr>
        <w:t>et AMR-scorebord nog steeds frequent overschreden (grafiek 1).</w:t>
      </w:r>
      <w:r>
        <w:rPr>
          <w:rFonts w:ascii="Times New Roman" w:hAnsi="Times New Roman"/>
          <w:noProof/>
          <w:vertAlign w:val="superscript"/>
        </w:rPr>
        <w:footnoteReference w:id="14"/>
      </w:r>
      <w:r>
        <w:rPr>
          <w:rFonts w:ascii="Times New Roman" w:hAnsi="Times New Roman"/>
          <w:noProof/>
          <w:lang w:val="nl-NL"/>
        </w:rPr>
        <w:t xml:space="preserve"> Het aantal lidstaten met resultaten boven de drempels voor deze drie indicatoren ligt marginaal onder de frequentie van de vorige scorebordjaargangen en bevestigt dat deze standonevenwichtighe</w:t>
      </w:r>
      <w:r>
        <w:rPr>
          <w:rFonts w:ascii="Times New Roman" w:hAnsi="Times New Roman"/>
          <w:noProof/>
          <w:lang w:val="nl-NL"/>
        </w:rPr>
        <w:t xml:space="preserve">den van langdurige aard zijn en dat er slechts geleidelijk een aanpassing plaatsvindt. In de meerderheid van de gevallen houden de saldi op de lopende rekening boven de drempel verband met aanhoudend grote overschotten; de toename van de frequentie van de </w:t>
      </w:r>
      <w:r>
        <w:rPr>
          <w:rFonts w:ascii="Times New Roman" w:hAnsi="Times New Roman"/>
          <w:noProof/>
          <w:lang w:val="nl-NL"/>
        </w:rPr>
        <w:t>waarden boven de drempel in 2017 is toe te schrijven aan een groter aantal grote tekorten. Het aan de gang zijnde herstel van de werkgelegenheid komt tot uitdrukking in een verdere daling van het aantal EU-landen met resultaten die boven de werkloosheidsdr</w:t>
      </w:r>
      <w:r>
        <w:rPr>
          <w:rFonts w:ascii="Times New Roman" w:hAnsi="Times New Roman"/>
          <w:noProof/>
          <w:lang w:val="nl-NL"/>
        </w:rPr>
        <w:t xml:space="preserve">empel liggen, en talrijker zijn de dalingen die betrekking hebben op de indicatoren voor jeugdwerkloosheid en langdurige werkloosheid in het licht van hun gebruikelijke grotere gevoeligheid voor de situatie op de arbeidsmarkt. Ondanks het wijdverbreide en </w:t>
      </w:r>
      <w:r>
        <w:rPr>
          <w:rFonts w:ascii="Times New Roman" w:hAnsi="Times New Roman"/>
          <w:noProof/>
          <w:lang w:val="nl-NL"/>
        </w:rPr>
        <w:t>krachtige herstel van de huizenprijzen in heel Europa laat het scorebord zien dat er minder lidstaten zijn die de drempels voor de groei van de huizenprijzen overschrijden, aangezien sommige landen met meetwaarden die iets boven de drempels liggen, er inmi</w:t>
      </w:r>
      <w:r>
        <w:rPr>
          <w:rFonts w:ascii="Times New Roman" w:hAnsi="Times New Roman"/>
          <w:noProof/>
          <w:lang w:val="nl-NL"/>
        </w:rPr>
        <w:t xml:space="preserve">ddels onder zijn gezakt. Het aantal landen met een groei van de ULC boven de drempels is over het algemeen stabiel gebleven, terwijl een kleiner aantal landen de drempels voor de reële effectieve wisselkoers overschrijdt, en </w:t>
      </w:r>
      <w:r>
        <w:rPr>
          <w:rFonts w:ascii="Times New Roman" w:hAnsi="Times New Roman"/>
          <w:noProof/>
          <w:lang w:val="nl-NL"/>
        </w:rPr>
        <w:lastRenderedPageBreak/>
        <w:t>alleen in gevallen waarin de re</w:t>
      </w:r>
      <w:r>
        <w:rPr>
          <w:rFonts w:ascii="Times New Roman" w:hAnsi="Times New Roman"/>
          <w:noProof/>
          <w:lang w:val="nl-NL"/>
        </w:rPr>
        <w:t xml:space="preserve">ële wisselkoers onder de lagere drempels daalt. Het aantal lidstaten die een verlies aan exportmarktaandeel boven de drempels vertonen, is verder gedaald. </w:t>
      </w:r>
    </w:p>
    <w:p w:rsidR="00222D78" w:rsidRDefault="00E65635">
      <w:pPr>
        <w:keepNext/>
        <w:spacing w:before="120" w:after="120" w:line="240" w:lineRule="auto"/>
        <w:jc w:val="center"/>
        <w:rPr>
          <w:rFonts w:ascii="Times New Roman" w:eastAsia="MS Mincho" w:hAnsi="Times New Roman" w:cs="Times New Roman"/>
          <w:b/>
          <w:bCs/>
          <w:noProof/>
          <w:sz w:val="24"/>
          <w:szCs w:val="20"/>
          <w:lang w:val="nl-NL"/>
        </w:rPr>
      </w:pPr>
      <w:r>
        <w:rPr>
          <w:rFonts w:ascii="Times New Roman" w:hAnsi="Times New Roman"/>
          <w:b/>
          <w:noProof/>
          <w:sz w:val="24"/>
          <w:lang w:val="nl-NL"/>
        </w:rPr>
        <w:t xml:space="preserve">Grafiek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lang w:val="nl-NL"/>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lang w:val="nl-NL"/>
        </w:rPr>
        <w:t>1</w:t>
      </w:r>
      <w:r>
        <w:rPr>
          <w:rFonts w:ascii="Times New Roman" w:eastAsia="MS Mincho" w:hAnsi="Times New Roman" w:cs="Times New Roman"/>
          <w:b/>
          <w:bCs/>
          <w:noProof/>
          <w:sz w:val="24"/>
          <w:szCs w:val="20"/>
        </w:rPr>
        <w:fldChar w:fldCharType="end"/>
      </w:r>
      <w:r>
        <w:rPr>
          <w:rFonts w:ascii="Times New Roman" w:hAnsi="Times New Roman"/>
          <w:b/>
          <w:noProof/>
          <w:sz w:val="24"/>
          <w:lang w:val="nl-NL"/>
        </w:rPr>
        <w:t>: Aantal landen die scorebordvariabelen boven de drempel vertonen</w:t>
      </w:r>
    </w:p>
    <w:p w:rsidR="00222D78" w:rsidRDefault="00E65635">
      <w:pPr>
        <w:keepNext/>
        <w:spacing w:before="120" w:after="120" w:line="240" w:lineRule="auto"/>
        <w:jc w:val="center"/>
        <w:rPr>
          <w:rFonts w:ascii="Times New Roman" w:eastAsia="MS Mincho" w:hAnsi="Times New Roman" w:cs="Times New Roman"/>
          <w:b/>
          <w:bCs/>
          <w:noProof/>
          <w:sz w:val="24"/>
          <w:szCs w:val="20"/>
        </w:rPr>
      </w:pPr>
      <w:r>
        <w:rPr>
          <w:noProof/>
          <w:lang w:eastAsia="en-GB"/>
        </w:rPr>
        <w:drawing>
          <wp:inline distT="0" distB="0" distL="0" distR="0">
            <wp:extent cx="5760720" cy="288908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89088"/>
                    </a:xfrm>
                    <a:prstGeom prst="rect">
                      <a:avLst/>
                    </a:prstGeom>
                    <a:noFill/>
                    <a:ln>
                      <a:noFill/>
                    </a:ln>
                  </pic:spPr>
                </pic:pic>
              </a:graphicData>
            </a:graphic>
          </wp:inline>
        </w:drawing>
      </w:r>
    </w:p>
    <w:p w:rsidR="00222D78" w:rsidRDefault="00E65635">
      <w:pPr>
        <w:spacing w:before="120" w:after="0" w:line="240" w:lineRule="auto"/>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Eurostat.</w:t>
      </w:r>
    </w:p>
    <w:p w:rsidR="00222D78" w:rsidRDefault="00E65635">
      <w:pPr>
        <w:spacing w:after="0" w:line="240" w:lineRule="auto"/>
        <w:jc w:val="both"/>
        <w:rPr>
          <w:rFonts w:ascii="Times New Roman" w:eastAsia="Times New Roman" w:hAnsi="Times New Roman" w:cs="Times New Roman"/>
          <w:noProof/>
          <w:sz w:val="20"/>
          <w:szCs w:val="20"/>
          <w:lang w:val="nl-NL"/>
        </w:rPr>
      </w:pPr>
      <w:r>
        <w:rPr>
          <w:rFonts w:ascii="Times New Roman" w:hAnsi="Times New Roman"/>
          <w:i/>
          <w:noProof/>
          <w:sz w:val="20"/>
          <w:lang w:val="nl-NL"/>
        </w:rPr>
        <w:t xml:space="preserve">Noot: </w:t>
      </w:r>
      <w:r>
        <w:rPr>
          <w:rFonts w:ascii="Times New Roman" w:hAnsi="Times New Roman"/>
          <w:noProof/>
          <w:sz w:val="20"/>
          <w:lang w:val="nl-NL"/>
        </w:rPr>
        <w:t>Het aantal landen met scorebordvariabelen die de drempel overschrijden, is gebaseerd op de jaargang van het scorebord dat samen met het desbetreffende AMR is gepubliceerd. Eventuele ex-post bijstellingen van de gegevens kunnen result</w:t>
      </w:r>
      <w:r>
        <w:rPr>
          <w:rFonts w:ascii="Times New Roman" w:hAnsi="Times New Roman"/>
          <w:noProof/>
          <w:sz w:val="20"/>
          <w:lang w:val="nl-NL"/>
        </w:rPr>
        <w:t>eren in een verschil van het aantal waarden dat de drempels overschrijdt berekend door gebruik te maken van de recentste cijfers voor de scorebordvariabelen ten opzichte van het aantal dat in de bovenstaande grafiek wordt vermeld.</w:t>
      </w:r>
    </w:p>
    <w:p w:rsidR="00222D78" w:rsidRDefault="00222D78">
      <w:pPr>
        <w:spacing w:after="0" w:line="240" w:lineRule="auto"/>
        <w:jc w:val="both"/>
        <w:rPr>
          <w:rFonts w:ascii="Times New Roman" w:eastAsia="Times New Roman" w:hAnsi="Times New Roman" w:cs="Times New Roman"/>
          <w:noProof/>
          <w:szCs w:val="24"/>
          <w:lang w:val="nl-NL"/>
        </w:rPr>
      </w:pPr>
    </w:p>
    <w:p w:rsidR="00222D78" w:rsidRDefault="00222D78">
      <w:pPr>
        <w:spacing w:after="0" w:line="240" w:lineRule="auto"/>
        <w:jc w:val="both"/>
        <w:rPr>
          <w:rFonts w:ascii="Times New Roman" w:eastAsia="Times New Roman" w:hAnsi="Times New Roman" w:cs="Times New Roman"/>
          <w:noProof/>
          <w:szCs w:val="24"/>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meeste EU-landen heb</w:t>
      </w:r>
      <w:r>
        <w:rPr>
          <w:rFonts w:ascii="Times New Roman" w:hAnsi="Times New Roman"/>
          <w:b/>
          <w:noProof/>
          <w:lang w:val="nl-NL"/>
        </w:rPr>
        <w:t>ben nog steeds een lopende rekening in evenwicht of met een overschot en de grote overschotten op de lopende rekening in sommige landen houden aan en dalen in het beste geval marginaal.</w:t>
      </w:r>
      <w:r>
        <w:rPr>
          <w:rFonts w:ascii="Times New Roman" w:hAnsi="Times New Roman"/>
          <w:noProof/>
          <w:lang w:val="nl-NL"/>
        </w:rPr>
        <w:t xml:space="preserve"> Over het algemeen zijn de recente wijzigingen in de saldi op de lopend</w:t>
      </w:r>
      <w:r>
        <w:rPr>
          <w:rFonts w:ascii="Times New Roman" w:hAnsi="Times New Roman"/>
          <w:noProof/>
          <w:lang w:val="nl-NL"/>
        </w:rPr>
        <w:t>e rekening relatief beperkt gebleven (</w:t>
      </w:r>
      <w:r>
        <w:rPr>
          <w:rFonts w:ascii="Times New Roman" w:eastAsia="Times New Roman" w:hAnsi="Times New Roman" w:cs="Times New Roman"/>
          <w:noProof/>
        </w:rPr>
        <w:fldChar w:fldCharType="begin" w:fldLock="1"/>
      </w:r>
      <w:r>
        <w:rPr>
          <w:rFonts w:ascii="Times New Roman" w:eastAsia="Times New Roman" w:hAnsi="Times New Roman" w:cs="Times New Roman"/>
          <w:noProof/>
          <w:lang w:val="nl-NL"/>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lang w:val="nl-NL"/>
        </w:rPr>
        <w:t>Grafiek 3</w:t>
      </w:r>
      <w:r>
        <w:rPr>
          <w:rFonts w:ascii="Times New Roman" w:eastAsia="Times New Roman" w:hAnsi="Times New Roman" w:cs="Times New Roman"/>
          <w:noProof/>
        </w:rPr>
        <w:fldChar w:fldCharType="end"/>
      </w:r>
      <w:r>
        <w:rPr>
          <w:rFonts w:ascii="Times New Roman" w:hAnsi="Times New Roman"/>
          <w:noProof/>
          <w:lang w:val="nl-NL"/>
        </w:rPr>
        <w:t xml:space="preserve">). De meeste grote en onhoudbare tekorten op de lopende rekening waren al in de eerste jaren van het </w:t>
      </w:r>
      <w:r>
        <w:rPr>
          <w:rFonts w:ascii="Times New Roman" w:hAnsi="Times New Roman"/>
          <w:noProof/>
          <w:lang w:val="nl-NL"/>
        </w:rPr>
        <w:t>decennium gecorrigeerd en omgezet in overschotten of evenwichtsposities, die in de afgelopen jaren zijn behouden en vaak marginaal zijn toegenomen. De grote overschotten in de nettocrediteurlanden zijn over het algemeen weinig veranderd of zelfs toegenomen</w:t>
      </w:r>
      <w:r>
        <w:rPr>
          <w:rFonts w:ascii="Times New Roman" w:hAnsi="Times New Roman"/>
          <w:noProof/>
          <w:lang w:val="nl-NL"/>
        </w:rPr>
        <w:t>. De saldi op de lopende rekening worden slechts in beperkte mate door cyclische factoren aangejaagd: het verschil tussen de feitelijke en de conjunctuurgezuiverde lopende rekeningen is over het algemeen klein en neemt af tegen een achtergrond van afnemend</w:t>
      </w:r>
      <w:r>
        <w:rPr>
          <w:rFonts w:ascii="Times New Roman" w:hAnsi="Times New Roman"/>
          <w:noProof/>
          <w:lang w:val="nl-NL"/>
        </w:rPr>
        <w:t>e outputkloven (grafiek 2)</w:t>
      </w:r>
      <w:r>
        <w:rPr>
          <w:rStyle w:val="FootnoteReference"/>
          <w:noProof/>
        </w:rPr>
        <w:footnoteReference w:id="15"/>
      </w:r>
      <w:r>
        <w:rPr>
          <w:noProof/>
          <w:lang w:val="nl-NL"/>
        </w:rPr>
        <w:t xml:space="preserve">. </w:t>
      </w:r>
      <w:r>
        <w:rPr>
          <w:rFonts w:ascii="Times New Roman" w:hAnsi="Times New Roman"/>
          <w:noProof/>
          <w:lang w:val="nl-NL"/>
        </w:rPr>
        <w:t xml:space="preserve">Voor de meeste EU-landen overschrijden de recente resultaten van de lopende rekening hetgeen op basis </w:t>
      </w:r>
      <w:r>
        <w:rPr>
          <w:rFonts w:ascii="Times New Roman" w:hAnsi="Times New Roman"/>
          <w:noProof/>
          <w:lang w:val="nl-NL"/>
        </w:rPr>
        <w:lastRenderedPageBreak/>
        <w:t>van de fundamentals (bv. vergrijzing en inkomen per capita) kon worden verwacht.</w:t>
      </w:r>
      <w:r>
        <w:rPr>
          <w:rFonts w:ascii="Times New Roman" w:hAnsi="Times New Roman"/>
          <w:noProof/>
          <w:vertAlign w:val="superscript"/>
        </w:rPr>
        <w:footnoteReference w:id="16"/>
      </w:r>
      <w:r>
        <w:rPr>
          <w:rFonts w:ascii="Times New Roman" w:hAnsi="Times New Roman"/>
          <w:noProof/>
          <w:lang w:val="nl-NL"/>
        </w:rPr>
        <w:t xml:space="preserve"> In sommige gevallen bestaat echter het risi</w:t>
      </w:r>
      <w:r>
        <w:rPr>
          <w:rFonts w:ascii="Times New Roman" w:hAnsi="Times New Roman"/>
          <w:noProof/>
          <w:lang w:val="nl-NL"/>
        </w:rPr>
        <w:t>co dat de recente resultaten nog steeds onvoldoende zijn om de stand van netto buitenlandse passiva in een passend tempo te doen dalen. Over het algemeen evenwichtige posities op de lopende rekening in 2017 waren minder dan voorheen te danken aan de conjun</w:t>
      </w:r>
      <w:r>
        <w:rPr>
          <w:rFonts w:ascii="Times New Roman" w:hAnsi="Times New Roman"/>
          <w:noProof/>
          <w:lang w:val="nl-NL"/>
        </w:rPr>
        <w:t xml:space="preserve">cturele omstandigheden, aangezien de negatieve outputkloven in de lidstaten kleiner worden of positief worden. Aangejaagd door de stijgende olieprijzen weken de ontwikkelingen in het energiesaldo bijna overal, maar vaak slechts licht, van het totale saldo </w:t>
      </w:r>
      <w:r>
        <w:rPr>
          <w:rFonts w:ascii="Times New Roman" w:hAnsi="Times New Roman"/>
          <w:noProof/>
          <w:lang w:val="nl-NL"/>
        </w:rPr>
        <w:t>af (zie tabel 2.1 in de bijlage voor gegevens over het energiesaldo).</w:t>
      </w:r>
    </w:p>
    <w:p w:rsidR="00222D78" w:rsidRDefault="00E65635">
      <w:pPr>
        <w:numPr>
          <w:ilvl w:val="0"/>
          <w:numId w:val="8"/>
        </w:numPr>
        <w:spacing w:before="120" w:after="120"/>
        <w:ind w:left="567" w:hanging="425"/>
        <w:jc w:val="both"/>
        <w:rPr>
          <w:rFonts w:ascii="Times New Roman" w:eastAsia="Times New Roman" w:hAnsi="Times New Roman" w:cs="Times New Roman"/>
          <w:noProof/>
          <w:lang w:val="nl-NL"/>
        </w:rPr>
      </w:pPr>
      <w:r>
        <w:rPr>
          <w:rFonts w:ascii="Times New Roman" w:hAnsi="Times New Roman"/>
          <w:b/>
          <w:noProof/>
          <w:lang w:val="nl-NL"/>
        </w:rPr>
        <w:t>Cyprus is de lidstaat die het grootste tekort op de lopende rekening boven de MIP-drempel</w:t>
      </w:r>
      <w:r>
        <w:rPr>
          <w:rFonts w:ascii="Times New Roman" w:hAnsi="Times New Roman"/>
          <w:noProof/>
          <w:lang w:val="nl-NL"/>
        </w:rPr>
        <w:t xml:space="preserve"> vertoont (gebaseerd op het gemiddelde van de 3 jaar tot 2017). De jaarlijkse gegevens zijn de la</w:t>
      </w:r>
      <w:r>
        <w:rPr>
          <w:rFonts w:ascii="Times New Roman" w:hAnsi="Times New Roman"/>
          <w:noProof/>
          <w:lang w:val="nl-NL"/>
        </w:rPr>
        <w:t xml:space="preserve">atste jaren alleen voor Cyprus verslechterd. De resultaten liggen </w:t>
      </w:r>
      <w:r>
        <w:rPr>
          <w:rFonts w:ascii="Times New Roman" w:hAnsi="Times New Roman"/>
          <w:b/>
          <w:noProof/>
          <w:lang w:val="nl-NL"/>
        </w:rPr>
        <w:t>onder</w:t>
      </w:r>
      <w:r>
        <w:rPr>
          <w:rFonts w:ascii="Times New Roman" w:hAnsi="Times New Roman"/>
          <w:noProof/>
          <w:lang w:val="nl-NL"/>
        </w:rPr>
        <w:t xml:space="preserve"> </w:t>
      </w:r>
      <w:r>
        <w:rPr>
          <w:rFonts w:ascii="Times New Roman" w:hAnsi="Times New Roman"/>
          <w:b/>
          <w:noProof/>
          <w:lang w:val="nl-NL"/>
        </w:rPr>
        <w:t>hetgeen de fundamentals aangeven</w:t>
      </w:r>
      <w:r>
        <w:rPr>
          <w:rFonts w:ascii="Times New Roman" w:hAnsi="Times New Roman"/>
          <w:noProof/>
          <w:lang w:val="nl-NL"/>
        </w:rPr>
        <w:t xml:space="preserve"> </w:t>
      </w:r>
      <w:r>
        <w:rPr>
          <w:rFonts w:ascii="Times New Roman" w:hAnsi="Times New Roman"/>
          <w:b/>
          <w:noProof/>
          <w:lang w:val="nl-NL"/>
        </w:rPr>
        <w:t>en hetgeen vereist is om de NIIP in een passend tempo te verbeteren</w:t>
      </w:r>
      <w:r>
        <w:rPr>
          <w:rFonts w:ascii="Times New Roman" w:hAnsi="Times New Roman"/>
          <w:noProof/>
          <w:lang w:val="nl-NL"/>
        </w:rPr>
        <w:t>, en de verslechtering van de lopende rekening in 2017 kan niet worden verklaard doo</w:t>
      </w:r>
      <w:r>
        <w:rPr>
          <w:rFonts w:ascii="Times New Roman" w:hAnsi="Times New Roman"/>
          <w:noProof/>
          <w:lang w:val="nl-NL"/>
        </w:rPr>
        <w:t>r de impact van de cyclus. Buiten de eurozone ligt de lopende rekening van het Verenigd Koninkrijk eveneens onder de drempel van het MIP-scorebord.</w:t>
      </w:r>
    </w:p>
    <w:p w:rsidR="00222D78" w:rsidRDefault="00E65635">
      <w:pPr>
        <w:numPr>
          <w:ilvl w:val="0"/>
          <w:numId w:val="8"/>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In 2017 hadden slechts </w:t>
      </w:r>
      <w:r>
        <w:rPr>
          <w:rFonts w:ascii="Times New Roman" w:hAnsi="Times New Roman"/>
          <w:b/>
          <w:noProof/>
          <w:lang w:val="nl-NL"/>
        </w:rPr>
        <w:t>vijf andere lidstaten een tekort op de lopende rekening</w:t>
      </w:r>
      <w:r>
        <w:rPr>
          <w:rFonts w:ascii="Times New Roman" w:hAnsi="Times New Roman"/>
          <w:noProof/>
          <w:lang w:val="nl-NL"/>
        </w:rPr>
        <w:t>: Finland, Frankrijk, Griekenl</w:t>
      </w:r>
      <w:r>
        <w:rPr>
          <w:rFonts w:ascii="Times New Roman" w:hAnsi="Times New Roman"/>
          <w:noProof/>
          <w:lang w:val="nl-NL"/>
        </w:rPr>
        <w:t xml:space="preserve">and, Roemenië en Slowakije, waarbij alleen de laatste twee een tekort slechter dan 1% van het bbp vertoonden. Het </w:t>
      </w:r>
      <w:r>
        <w:rPr>
          <w:rFonts w:ascii="Times New Roman" w:hAnsi="Times New Roman"/>
          <w:b/>
          <w:noProof/>
          <w:lang w:val="nl-NL"/>
        </w:rPr>
        <w:t>tekort op de lopende rekening van Roemenië vertoonde in 2017 een verslechtering</w:t>
      </w:r>
      <w:r>
        <w:rPr>
          <w:rFonts w:ascii="Times New Roman" w:hAnsi="Times New Roman"/>
          <w:noProof/>
          <w:lang w:val="nl-NL"/>
        </w:rPr>
        <w:t xml:space="preserve"> tot onder het niveau van de fundamentals. </w:t>
      </w:r>
      <w:r>
        <w:rPr>
          <w:rFonts w:ascii="Times New Roman" w:hAnsi="Times New Roman"/>
          <w:b/>
          <w:noProof/>
          <w:lang w:val="nl-NL"/>
        </w:rPr>
        <w:t>Griekenland ondersch</w:t>
      </w:r>
      <w:r>
        <w:rPr>
          <w:rFonts w:ascii="Times New Roman" w:hAnsi="Times New Roman"/>
          <w:b/>
          <w:noProof/>
          <w:lang w:val="nl-NL"/>
        </w:rPr>
        <w:t>eidt zich door de grote bijdrage van de negatieve outputkloof</w:t>
      </w:r>
      <w:r>
        <w:rPr>
          <w:rFonts w:ascii="Times New Roman" w:hAnsi="Times New Roman"/>
          <w:noProof/>
          <w:lang w:val="nl-NL"/>
        </w:rPr>
        <w:t xml:space="preserve"> aan het lage nominale tekort op de lopende rekening; gecorrigeerd voor de cyclus, komt de lopende rekening uit onder het niveau dat vereist is om de NIIP in hoog tempo te doen dalen en onder de </w:t>
      </w:r>
      <w:r>
        <w:rPr>
          <w:rFonts w:ascii="Times New Roman" w:hAnsi="Times New Roman"/>
          <w:noProof/>
          <w:lang w:val="nl-NL"/>
        </w:rPr>
        <w:t xml:space="preserve">lopenderekeningnorm. </w:t>
      </w:r>
    </w:p>
    <w:p w:rsidR="00222D78" w:rsidRDefault="00E65635">
      <w:pPr>
        <w:numPr>
          <w:ilvl w:val="0"/>
          <w:numId w:val="8"/>
        </w:numPr>
        <w:spacing w:before="120" w:after="120"/>
        <w:ind w:left="567" w:hanging="425"/>
        <w:jc w:val="both"/>
        <w:rPr>
          <w:rFonts w:ascii="Times New Roman" w:eastAsia="Times New Roman" w:hAnsi="Times New Roman" w:cs="Times New Roman"/>
          <w:noProof/>
          <w:lang w:val="nl-NL"/>
        </w:rPr>
      </w:pPr>
      <w:r>
        <w:rPr>
          <w:rFonts w:ascii="Times New Roman" w:hAnsi="Times New Roman"/>
          <w:b/>
          <w:noProof/>
          <w:lang w:val="nl-NL"/>
        </w:rPr>
        <w:t>Landen met een ruim negatieve NIIP</w:t>
      </w:r>
      <w:r>
        <w:rPr>
          <w:rFonts w:ascii="Times New Roman" w:hAnsi="Times New Roman"/>
          <w:noProof/>
          <w:lang w:val="nl-NL"/>
        </w:rPr>
        <w:t xml:space="preserve"> zoals Portugal en Spanje hadden resultaten voor de lopende rekening die lagen boven hetgeen op basis van de fundamentals te verwachten was, maar in het geval van Portugal niet volstonden om een verbe</w:t>
      </w:r>
      <w:r>
        <w:rPr>
          <w:rFonts w:ascii="Times New Roman" w:hAnsi="Times New Roman"/>
          <w:noProof/>
          <w:lang w:val="nl-NL"/>
        </w:rPr>
        <w:t>tering van de NIIP in een passend tempo te waarborgen. Kroatië heeft een overschot bekendgemaakt dat bevorderlijk is voor een daling van de NIIP in een bevredigend tempo. Ierland vertoonde in 2017 een groot overschot op de lopende rekening na een tekort in</w:t>
      </w:r>
      <w:r>
        <w:rPr>
          <w:rFonts w:ascii="Times New Roman" w:hAnsi="Times New Roman"/>
          <w:noProof/>
          <w:lang w:val="nl-NL"/>
        </w:rPr>
        <w:t xml:space="preserve"> 2016, dit na recente substantiële neerwaartse retrospectieve bijstellingen. Bij Ierland zijn de cijfers voor de lopende rekening duidelijk beïnvloed door grensoverschrijdende transacties die verband houden met de activiteiten van multinationale ondernemin</w:t>
      </w:r>
      <w:r>
        <w:rPr>
          <w:rFonts w:ascii="Times New Roman" w:hAnsi="Times New Roman"/>
          <w:noProof/>
          <w:lang w:val="nl-NL"/>
        </w:rPr>
        <w:t>gen.</w:t>
      </w:r>
    </w:p>
    <w:p w:rsidR="00222D78" w:rsidRDefault="00E65635">
      <w:pPr>
        <w:numPr>
          <w:ilvl w:val="0"/>
          <w:numId w:val="8"/>
        </w:numPr>
        <w:spacing w:before="120" w:after="120"/>
        <w:ind w:left="567" w:hanging="425"/>
        <w:jc w:val="both"/>
        <w:rPr>
          <w:rFonts w:ascii="Times New Roman" w:eastAsia="Times New Roman" w:hAnsi="Times New Roman" w:cs="Times New Roman"/>
          <w:noProof/>
          <w:lang w:val="nl-NL"/>
        </w:rPr>
      </w:pPr>
      <w:r>
        <w:rPr>
          <w:rFonts w:ascii="Times New Roman" w:hAnsi="Times New Roman"/>
          <w:b/>
          <w:noProof/>
          <w:lang w:val="nl-NL"/>
        </w:rPr>
        <w:lastRenderedPageBreak/>
        <w:t>Vier EU-landen overschrijden momenteel de drempel van het MIP-scorebord als gevolg van overschotten</w:t>
      </w:r>
      <w:r>
        <w:rPr>
          <w:rFonts w:ascii="Times New Roman" w:hAnsi="Times New Roman"/>
          <w:noProof/>
          <w:lang w:val="nl-NL"/>
        </w:rPr>
        <w:t xml:space="preserve">. Denemarken, Duitsland en Nederland vertonen al enkele jaren waarden boven de drempels, en Malta meer recentelijk. In 2017 daalde het Duitse overschot </w:t>
      </w:r>
      <w:r>
        <w:rPr>
          <w:rFonts w:ascii="Times New Roman" w:hAnsi="Times New Roman"/>
          <w:noProof/>
          <w:lang w:val="nl-NL"/>
        </w:rPr>
        <w:t xml:space="preserve">met 0,5% van het bbp, terwijl het overschot in Nederland met 2,5% van het bbp toenam. In al deze vier gevallen liggen deze resultaten voor de overschotten altijd ten minste 5 ppt. van het bbp </w:t>
      </w:r>
      <w:r>
        <w:rPr>
          <w:rFonts w:ascii="Times New Roman" w:hAnsi="Times New Roman"/>
          <w:b/>
          <w:noProof/>
          <w:lang w:val="nl-NL"/>
        </w:rPr>
        <w:t>ruim boven hetgeen kan worden verklaard door de fundamentals</w:t>
      </w:r>
      <w:r>
        <w:rPr>
          <w:rFonts w:ascii="Times New Roman" w:hAnsi="Times New Roman"/>
          <w:noProof/>
          <w:lang w:val="nl-NL"/>
        </w:rPr>
        <w:t>. De</w:t>
      </w:r>
      <w:r>
        <w:rPr>
          <w:rFonts w:ascii="Times New Roman" w:hAnsi="Times New Roman"/>
          <w:noProof/>
          <w:lang w:val="nl-NL"/>
        </w:rPr>
        <w:t xml:space="preserve"> dynamiek van het overschot in Nederland en Malta werd in belangrijke mate aangejaagd door grensoverschrijdende transacties die verband hielden met de activiteiten van multinationale ondernemingen en van internationaal georiënteerde dienstensectoren die zo</w:t>
      </w:r>
      <w:r>
        <w:rPr>
          <w:rFonts w:ascii="Times New Roman" w:hAnsi="Times New Roman"/>
          <w:noProof/>
          <w:lang w:val="nl-NL"/>
        </w:rPr>
        <w:t>wel de handels- als de inkomenssaldi beïnvloeden. Een aantal andere landen heeft al enkele jaren een overschot op de lopende rekening, weliswaar onder de drempels, wat ook het geval is voor grote landen van de eurozone, met name Italië (zie ook kader 2 voo</w:t>
      </w:r>
      <w:r>
        <w:rPr>
          <w:rFonts w:ascii="Times New Roman" w:hAnsi="Times New Roman"/>
          <w:noProof/>
          <w:lang w:val="nl-NL"/>
        </w:rPr>
        <w:t>r meer over het overschot op de lopende rekening van de eurozone).</w:t>
      </w:r>
    </w:p>
    <w:p w:rsidR="00222D78" w:rsidRDefault="00E65635">
      <w:pPr>
        <w:rPr>
          <w:rFonts w:ascii="Times New Roman" w:eastAsia="MS Mincho" w:hAnsi="Times New Roman" w:cs="Times New Roman"/>
          <w:b/>
          <w:bCs/>
          <w:noProof/>
          <w:lang w:val="nl-NL"/>
        </w:rPr>
      </w:pPr>
      <w:r>
        <w:rPr>
          <w:noProof/>
          <w:lang w:val="nl-NL"/>
        </w:rPr>
        <w:br w:type="page"/>
      </w:r>
    </w:p>
    <w:p w:rsidR="00222D78" w:rsidRDefault="00E65635">
      <w:pPr>
        <w:keepNext/>
        <w:spacing w:before="120" w:after="120" w:line="240" w:lineRule="auto"/>
        <w:jc w:val="center"/>
        <w:rPr>
          <w:rFonts w:ascii="Times New Roman" w:eastAsia="MS Mincho" w:hAnsi="Times New Roman" w:cs="Times New Roman"/>
          <w:b/>
          <w:bCs/>
          <w:noProof/>
          <w:lang w:val="nl-NL"/>
        </w:rPr>
      </w:pPr>
      <w:r>
        <w:rPr>
          <w:rFonts w:ascii="Times New Roman" w:hAnsi="Times New Roman"/>
          <w:b/>
          <w:noProof/>
          <w:lang w:val="nl-NL"/>
        </w:rPr>
        <w:lastRenderedPageBreak/>
        <w:t xml:space="preserve">Grafiek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lang w:val="nl-NL"/>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lang w:val="nl-NL"/>
        </w:rPr>
        <w:t>2</w:t>
      </w:r>
      <w:r>
        <w:rPr>
          <w:rFonts w:ascii="Times New Roman" w:eastAsia="MS Mincho" w:hAnsi="Times New Roman" w:cs="Times New Roman"/>
          <w:b/>
          <w:bCs/>
          <w:noProof/>
        </w:rPr>
        <w:fldChar w:fldCharType="end"/>
      </w:r>
      <w:r>
        <w:rPr>
          <w:rFonts w:ascii="Times New Roman" w:hAnsi="Times New Roman"/>
          <w:b/>
          <w:noProof/>
          <w:lang w:val="nl-NL"/>
        </w:rPr>
        <w:t>: Saldi op de lopende rekening en benchmarks in 2017</w:t>
      </w:r>
    </w:p>
    <w:p w:rsidR="00222D78" w:rsidRDefault="00E65635">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5105400" cy="300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222D78" w:rsidRDefault="00E65635">
      <w:pPr>
        <w:spacing w:after="0" w:line="240" w:lineRule="auto"/>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Eurostat (BPM6-gegevens), berekeningen van de diensten van de Commissie.</w:t>
      </w:r>
    </w:p>
    <w:p w:rsidR="00222D78" w:rsidRDefault="00E65635">
      <w:pPr>
        <w:spacing w:after="0" w:line="240" w:lineRule="auto"/>
        <w:jc w:val="both"/>
        <w:rPr>
          <w:noProof/>
          <w:sz w:val="20"/>
          <w:lang w:val="nl-NL"/>
        </w:rPr>
      </w:pPr>
      <w:r>
        <w:rPr>
          <w:rFonts w:ascii="Times New Roman" w:hAnsi="Times New Roman"/>
          <w:i/>
          <w:noProof/>
          <w:sz w:val="20"/>
          <w:lang w:val="nl-NL"/>
        </w:rPr>
        <w:t>Noot:</w:t>
      </w:r>
      <w:r>
        <w:rPr>
          <w:rFonts w:ascii="Times New Roman" w:hAnsi="Times New Roman"/>
          <w:noProof/>
          <w:sz w:val="20"/>
          <w:lang w:val="nl-NL"/>
        </w:rPr>
        <w:t xml:space="preserve"> De landen zijn gerangschikt volgens het saldo op de lopende rekening in 2017. </w:t>
      </w:r>
      <w:r>
        <w:rPr>
          <w:i/>
          <w:noProof/>
          <w:sz w:val="20"/>
          <w:lang w:val="nl-NL"/>
        </w:rPr>
        <w:t>Conjunctuurgezuiverde saldi op de lopende rekening</w:t>
      </w:r>
      <w:r>
        <w:rPr>
          <w:noProof/>
          <w:sz w:val="20"/>
          <w:lang w:val="nl-NL"/>
        </w:rPr>
        <w:t xml:space="preserve">: zie voetnoot </w:t>
      </w:r>
      <w:r>
        <w:rPr>
          <w:noProof/>
          <w:sz w:val="20"/>
        </w:rPr>
        <w:fldChar w:fldCharType="begin" w:fldLock="1"/>
      </w:r>
      <w:r>
        <w:rPr>
          <w:noProof/>
          <w:sz w:val="20"/>
          <w:lang w:val="nl-NL"/>
        </w:rPr>
        <w:instrText xml:space="preserve"> NOTEREF _Ref526849001 \h  \* MERGEFORMAT </w:instrText>
      </w:r>
      <w:r>
        <w:rPr>
          <w:noProof/>
          <w:sz w:val="20"/>
        </w:rPr>
      </w:r>
      <w:r>
        <w:rPr>
          <w:noProof/>
          <w:sz w:val="20"/>
        </w:rPr>
        <w:fldChar w:fldCharType="separate"/>
      </w:r>
      <w:r>
        <w:rPr>
          <w:noProof/>
          <w:sz w:val="20"/>
          <w:lang w:val="nl-NL"/>
        </w:rPr>
        <w:t>15</w:t>
      </w:r>
      <w:r>
        <w:rPr>
          <w:noProof/>
          <w:sz w:val="20"/>
        </w:rPr>
        <w:fldChar w:fldCharType="end"/>
      </w:r>
      <w:r>
        <w:rPr>
          <w:noProof/>
          <w:sz w:val="20"/>
          <w:lang w:val="nl-NL"/>
        </w:rPr>
        <w:t xml:space="preserve">. </w:t>
      </w:r>
      <w:r>
        <w:rPr>
          <w:i/>
          <w:noProof/>
          <w:sz w:val="20"/>
          <w:lang w:val="nl-NL"/>
        </w:rPr>
        <w:t>Lopenderekeningnormen</w:t>
      </w:r>
      <w:r>
        <w:rPr>
          <w:noProof/>
          <w:sz w:val="20"/>
          <w:lang w:val="nl-NL"/>
        </w:rPr>
        <w:t xml:space="preserve">: zie voetnoot </w:t>
      </w:r>
      <w:r>
        <w:rPr>
          <w:noProof/>
          <w:sz w:val="20"/>
        </w:rPr>
        <w:fldChar w:fldCharType="begin" w:fldLock="1"/>
      </w:r>
      <w:r>
        <w:rPr>
          <w:noProof/>
          <w:sz w:val="20"/>
          <w:lang w:val="nl-NL"/>
        </w:rPr>
        <w:instrText xml:space="preserve"> NOTEREF _Ref526526513 \h  \* MERGEFORMAT </w:instrText>
      </w:r>
      <w:r>
        <w:rPr>
          <w:noProof/>
          <w:sz w:val="20"/>
        </w:rPr>
      </w:r>
      <w:r>
        <w:rPr>
          <w:noProof/>
          <w:sz w:val="20"/>
        </w:rPr>
        <w:fldChar w:fldCharType="separate"/>
      </w:r>
      <w:r>
        <w:rPr>
          <w:noProof/>
          <w:sz w:val="20"/>
          <w:lang w:val="nl-NL"/>
        </w:rPr>
        <w:t>16</w:t>
      </w:r>
      <w:r>
        <w:rPr>
          <w:noProof/>
          <w:sz w:val="20"/>
        </w:rPr>
        <w:fldChar w:fldCharType="end"/>
      </w:r>
      <w:r>
        <w:rPr>
          <w:noProof/>
          <w:sz w:val="20"/>
          <w:lang w:val="nl-NL"/>
        </w:rPr>
        <w:t xml:space="preserve">. Onder de </w:t>
      </w:r>
      <w:r>
        <w:rPr>
          <w:i/>
          <w:noProof/>
          <w:sz w:val="20"/>
          <w:lang w:val="nl-NL"/>
        </w:rPr>
        <w:t>benchmark voor de lopende rekening die de NIIP stabiliseert</w:t>
      </w:r>
      <w:r>
        <w:rPr>
          <w:noProof/>
          <w:sz w:val="20"/>
          <w:lang w:val="nl-NL"/>
        </w:rPr>
        <w:t xml:space="preserve"> wordt verstaan de lopende rekening </w:t>
      </w:r>
      <w:r>
        <w:rPr>
          <w:noProof/>
          <w:sz w:val="20"/>
          <w:lang w:val="nl-NL"/>
        </w:rPr>
        <w:t>die vereist is om de NIIP in de komende 10 jaar op het huidige niveau te stabiliseren of, als de actuele NIIP onder de landspecifieke prudentiële drempels ligt, de lopende rekening die vereist is om in de komende 10 jaar de prudentiële drempel voor de NIIP</w:t>
      </w:r>
      <w:r>
        <w:rPr>
          <w:noProof/>
          <w:sz w:val="20"/>
          <w:lang w:val="nl-NL"/>
        </w:rPr>
        <w:t xml:space="preserve"> te bereiken.</w:t>
      </w:r>
      <w:r>
        <w:rPr>
          <w:rFonts w:ascii="Times New Roman" w:hAnsi="Times New Roman"/>
          <w:noProof/>
          <w:sz w:val="20"/>
          <w:vertAlign w:val="superscript"/>
        </w:rPr>
        <w:footnoteReference w:id="17"/>
      </w:r>
      <w:r>
        <w:rPr>
          <w:noProof/>
          <w:sz w:val="20"/>
          <w:lang w:val="nl-NL"/>
        </w:rPr>
        <w:t xml:space="preserve"> </w:t>
      </w:r>
    </w:p>
    <w:p w:rsidR="00222D78" w:rsidRDefault="00222D78">
      <w:pPr>
        <w:spacing w:before="120" w:after="0" w:line="240" w:lineRule="auto"/>
        <w:jc w:val="both"/>
        <w:rPr>
          <w:rFonts w:ascii="Times New Roman" w:eastAsia="Times New Roman" w:hAnsi="Times New Roman" w:cs="Times New Roman"/>
          <w:noProof/>
          <w:szCs w:val="24"/>
          <w:lang w:val="nl-NL"/>
        </w:rPr>
      </w:pPr>
    </w:p>
    <w:p w:rsidR="00222D78" w:rsidRDefault="00E65635">
      <w:pPr>
        <w:keepNext/>
        <w:spacing w:before="120" w:after="120" w:line="240" w:lineRule="auto"/>
        <w:jc w:val="center"/>
        <w:rPr>
          <w:rFonts w:ascii="Times New Roman" w:eastAsia="MS Mincho" w:hAnsi="Times New Roman" w:cs="Times New Roman"/>
          <w:b/>
          <w:bCs/>
          <w:noProof/>
          <w:lang w:val="nl-NL"/>
        </w:rPr>
      </w:pPr>
      <w:r>
        <w:rPr>
          <w:rFonts w:ascii="Times New Roman" w:hAnsi="Times New Roman"/>
          <w:b/>
          <w:noProof/>
          <w:lang w:val="nl-NL"/>
        </w:rPr>
        <w:lastRenderedPageBreak/>
        <w:t xml:space="preserve">Grafiek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lang w:val="nl-NL"/>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lang w:val="nl-NL"/>
        </w:rPr>
        <w:t>3</w:t>
      </w:r>
      <w:r>
        <w:rPr>
          <w:rFonts w:ascii="Times New Roman" w:eastAsia="MS Mincho" w:hAnsi="Times New Roman" w:cs="Times New Roman"/>
          <w:b/>
          <w:bCs/>
          <w:noProof/>
        </w:rPr>
        <w:fldChar w:fldCharType="end"/>
      </w:r>
      <w:r>
        <w:rPr>
          <w:rFonts w:ascii="Times New Roman" w:hAnsi="Times New Roman"/>
          <w:b/>
          <w:noProof/>
          <w:lang w:val="nl-NL"/>
        </w:rPr>
        <w:t>: Ontwikkeling van de saldi op de lopende rekening</w:t>
      </w:r>
    </w:p>
    <w:p w:rsidR="00222D78" w:rsidRDefault="00E65635">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5245100" cy="3044825"/>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100" cy="3044825"/>
                    </a:xfrm>
                    <a:prstGeom prst="rect">
                      <a:avLst/>
                    </a:prstGeom>
                    <a:noFill/>
                    <a:ln>
                      <a:noFill/>
                    </a:ln>
                  </pic:spPr>
                </pic:pic>
              </a:graphicData>
            </a:graphic>
          </wp:inline>
        </w:drawing>
      </w:r>
    </w:p>
    <w:p w:rsidR="00222D78" w:rsidRDefault="00E65635">
      <w:pPr>
        <w:spacing w:after="0" w:line="240" w:lineRule="auto"/>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Eurostat en berekeningen van de diensten van de Commissie.</w:t>
      </w:r>
    </w:p>
    <w:p w:rsidR="00222D78" w:rsidRDefault="00E65635">
      <w:pPr>
        <w:spacing w:after="0" w:line="240" w:lineRule="auto"/>
        <w:jc w:val="both"/>
        <w:rPr>
          <w:rFonts w:ascii="Times New Roman" w:eastAsia="Times New Roman" w:hAnsi="Times New Roman" w:cs="Times New Roman"/>
          <w:noProof/>
          <w:sz w:val="20"/>
          <w:szCs w:val="20"/>
          <w:lang w:val="nl-NL"/>
        </w:rPr>
      </w:pPr>
      <w:r>
        <w:rPr>
          <w:rFonts w:ascii="Times New Roman" w:hAnsi="Times New Roman"/>
          <w:noProof/>
          <w:sz w:val="20"/>
          <w:lang w:val="nl-NL"/>
        </w:rPr>
        <w:t xml:space="preserve">Noot: Landen worden gepresenteerd in oplopende volgorde van variatie van NIIP-quote </w:t>
      </w:r>
      <w:r>
        <w:rPr>
          <w:rFonts w:ascii="Times New Roman" w:hAnsi="Times New Roman"/>
          <w:noProof/>
          <w:sz w:val="20"/>
          <w:lang w:val="nl-NL"/>
        </w:rPr>
        <w:t>tussen 2007 en 2017. De aan de cyclus toe te schrijven variatie wordt berekend als de variatie van de lopende rekening die niet wordt verklaard door de variatie van het conjunctuurgezuiverde saldo van de lopende rekening; zie</w:t>
      </w:r>
      <w:r>
        <w:rPr>
          <w:noProof/>
          <w:sz w:val="20"/>
          <w:lang w:val="nl-NL"/>
        </w:rPr>
        <w:t xml:space="preserve"> voetnoot </w:t>
      </w:r>
      <w:r>
        <w:rPr>
          <w:noProof/>
          <w:sz w:val="20"/>
        </w:rPr>
        <w:fldChar w:fldCharType="begin" w:fldLock="1"/>
      </w:r>
      <w:r>
        <w:rPr>
          <w:noProof/>
          <w:sz w:val="20"/>
          <w:lang w:val="nl-NL"/>
        </w:rPr>
        <w:instrText xml:space="preserve"> NOTEREF _Ref52684900</w:instrText>
      </w:r>
      <w:r>
        <w:rPr>
          <w:noProof/>
          <w:sz w:val="20"/>
          <w:lang w:val="nl-NL"/>
        </w:rPr>
        <w:instrText xml:space="preserve">1 \h  \* MERGEFORMAT </w:instrText>
      </w:r>
      <w:r>
        <w:rPr>
          <w:noProof/>
          <w:sz w:val="20"/>
        </w:rPr>
      </w:r>
      <w:r>
        <w:rPr>
          <w:noProof/>
          <w:sz w:val="20"/>
        </w:rPr>
        <w:fldChar w:fldCharType="separate"/>
      </w:r>
      <w:r>
        <w:rPr>
          <w:noProof/>
          <w:sz w:val="20"/>
          <w:lang w:val="nl-NL"/>
        </w:rPr>
        <w:t>15</w:t>
      </w:r>
      <w:r>
        <w:rPr>
          <w:noProof/>
          <w:sz w:val="20"/>
        </w:rPr>
        <w:fldChar w:fldCharType="end"/>
      </w:r>
      <w:r>
        <w:rPr>
          <w:rFonts w:ascii="Times New Roman" w:hAnsi="Times New Roman"/>
          <w:noProof/>
          <w:sz w:val="20"/>
          <w:lang w:val="nl-NL"/>
        </w:rPr>
        <w:t>.</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netto internationale investeringsposities (NIIP's) zijn in bijna alle lidstaten verder verbeterd, maar in een aantal lidstaten blijven de zeer negatieve posities</w:t>
      </w:r>
      <w:r>
        <w:rPr>
          <w:rFonts w:ascii="Times New Roman" w:hAnsi="Times New Roman"/>
          <w:b/>
          <w:noProof/>
          <w:lang w:val="nl-NL"/>
        </w:rPr>
        <w:t xml:space="preserve"> een punt van zorg.</w:t>
      </w:r>
      <w:r>
        <w:rPr>
          <w:rFonts w:ascii="Times New Roman" w:hAnsi="Times New Roman"/>
          <w:noProof/>
          <w:lang w:val="nl-NL"/>
        </w:rPr>
        <w:t xml:space="preserve"> De NIIP-standen zijn voor veel EU-lidstaten nog steeds ruim negatief (</w:t>
      </w:r>
      <w:r>
        <w:rPr>
          <w:rFonts w:ascii="Times New Roman" w:eastAsia="Times New Roman" w:hAnsi="Times New Roman" w:cs="Times New Roman"/>
          <w:noProof/>
        </w:rPr>
        <w:fldChar w:fldCharType="begin" w:fldLock="1"/>
      </w:r>
      <w:r>
        <w:rPr>
          <w:rFonts w:ascii="Times New Roman" w:eastAsia="Times New Roman" w:hAnsi="Times New Roman" w:cs="Times New Roman"/>
          <w:noProof/>
          <w:lang w:val="nl-NL"/>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lang w:val="nl-NL"/>
        </w:rPr>
        <w:t>Grafiek 4</w:t>
      </w:r>
      <w:r>
        <w:rPr>
          <w:rFonts w:ascii="Times New Roman" w:eastAsia="Times New Roman" w:hAnsi="Times New Roman" w:cs="Times New Roman"/>
          <w:noProof/>
        </w:rPr>
        <w:fldChar w:fldCharType="end"/>
      </w:r>
      <w:r>
        <w:rPr>
          <w:rFonts w:ascii="Times New Roman" w:hAnsi="Times New Roman"/>
          <w:noProof/>
          <w:lang w:val="nl-NL"/>
        </w:rPr>
        <w:t>). In een meerderheid van EU-landen die een negatieve NIIP vertonen, is de stand van buitenlandse passiva groter dan de NIIP die op basis van economische fundamentals te rechtvaardigen zou zij</w:t>
      </w:r>
      <w:r>
        <w:rPr>
          <w:rFonts w:ascii="Times New Roman" w:hAnsi="Times New Roman"/>
          <w:noProof/>
          <w:lang w:val="nl-NL"/>
        </w:rPr>
        <w:t>n, terwijl deze slechts in een minderheid van de gevallen onder de prudentiële drempels lijkt te liggen.</w:t>
      </w:r>
      <w:r>
        <w:rPr>
          <w:rFonts w:ascii="Times New Roman" w:hAnsi="Times New Roman"/>
          <w:noProof/>
          <w:vertAlign w:val="superscript"/>
        </w:rPr>
        <w:footnoteReference w:id="18"/>
      </w:r>
      <w:r>
        <w:rPr>
          <w:rFonts w:ascii="Times New Roman" w:hAnsi="Times New Roman"/>
          <w:noProof/>
          <w:lang w:val="nl-NL"/>
        </w:rPr>
        <w:t xml:space="preserve"> In sommige landen is de stand van de buitenlandse passiva groot, ook wanneer deze wordt berekend exclusief minder risicovolle financiële instrumenten </w:t>
      </w:r>
      <w:r>
        <w:rPr>
          <w:rFonts w:ascii="Times New Roman" w:hAnsi="Times New Roman"/>
          <w:noProof/>
          <w:lang w:val="nl-NL"/>
        </w:rPr>
        <w:t>(NENDI). De verbeteringen in de NIIP's hebben zich in 2017 voortgezet dankzij de resultaten van de lopende rekening, die vaak positief waren, en dankzij het herstel van de nominale bbp-groei (grafiek 5). De verbeteringen waren meestal iets gematigder dan i</w:t>
      </w:r>
      <w:r>
        <w:rPr>
          <w:rFonts w:ascii="Times New Roman" w:hAnsi="Times New Roman"/>
          <w:noProof/>
          <w:lang w:val="nl-NL"/>
        </w:rPr>
        <w:t>n eerdere jaren, waarbij de waarderingseffecten vaak minder bijdroegen tot de verbetering van de NIIP of zelfs marginaal afweken van de NIIP. Het teken en de sterkte van de NIIP-variaties hadden geen sterk verband met de beginniveaus van de NIIP, maar in d</w:t>
      </w:r>
      <w:r>
        <w:rPr>
          <w:rFonts w:ascii="Times New Roman" w:hAnsi="Times New Roman"/>
          <w:noProof/>
          <w:lang w:val="nl-NL"/>
        </w:rPr>
        <w:t>e meerderheid van de gevallen hebben de nettodebiteurlanden hun meetwaarden in 2017 verbeterd of gestabiliseerd.</w:t>
      </w:r>
    </w:p>
    <w:p w:rsidR="00222D78" w:rsidRDefault="00E65635">
      <w:pPr>
        <w:numPr>
          <w:ilvl w:val="0"/>
          <w:numId w:val="4"/>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lastRenderedPageBreak/>
        <w:t xml:space="preserve">In 2017 </w:t>
      </w:r>
      <w:r>
        <w:rPr>
          <w:rFonts w:ascii="Times New Roman" w:hAnsi="Times New Roman"/>
          <w:b/>
          <w:noProof/>
          <w:lang w:val="nl-NL"/>
        </w:rPr>
        <w:t>vertoonde bijna de helft van de lidstaten een NIIP die slechter was dan de scoreborddrempel</w:t>
      </w:r>
      <w:r>
        <w:rPr>
          <w:rFonts w:ascii="Times New Roman" w:hAnsi="Times New Roman"/>
          <w:noProof/>
          <w:lang w:val="nl-NL"/>
        </w:rPr>
        <w:t xml:space="preserve"> van -35% van het bbp. Sommige lidstaten (Cy</w:t>
      </w:r>
      <w:r>
        <w:rPr>
          <w:rFonts w:ascii="Times New Roman" w:hAnsi="Times New Roman"/>
          <w:noProof/>
          <w:lang w:val="nl-NL"/>
        </w:rPr>
        <w:t xml:space="preserve">prus, Griekenland, Ierland en Portugal) bleven de -100% van het bbp en Spanje de -80% van het bbp overschrijden; Bulgarije, Kroatië, Hongarije, Letland, Litouwen, Polen, Roemenië en Slowakije bleven eveneens onder de grens van -35% van het bbp. </w:t>
      </w:r>
    </w:p>
    <w:p w:rsidR="00222D78" w:rsidRDefault="00E65635">
      <w:pPr>
        <w:pStyle w:val="ListParagraph"/>
        <w:numPr>
          <w:ilvl w:val="0"/>
          <w:numId w:val="4"/>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noProof/>
          <w:lang w:val="nl-NL"/>
        </w:rPr>
        <w:t xml:space="preserve">In landen </w:t>
      </w:r>
      <w:r>
        <w:rPr>
          <w:rFonts w:ascii="Times New Roman" w:hAnsi="Times New Roman"/>
          <w:noProof/>
          <w:lang w:val="nl-NL"/>
        </w:rPr>
        <w:t xml:space="preserve">met </w:t>
      </w:r>
      <w:r>
        <w:rPr>
          <w:rFonts w:ascii="Times New Roman" w:hAnsi="Times New Roman"/>
          <w:b/>
          <w:noProof/>
          <w:lang w:val="nl-NL"/>
        </w:rPr>
        <w:t>een ruim negatieve NIIP</w:t>
      </w:r>
      <w:r>
        <w:rPr>
          <w:rFonts w:ascii="Times New Roman" w:hAnsi="Times New Roman"/>
          <w:noProof/>
          <w:lang w:val="nl-NL"/>
        </w:rPr>
        <w:t xml:space="preserve"> liggen de meetwaarden over het algemeen </w:t>
      </w:r>
      <w:r>
        <w:rPr>
          <w:rFonts w:ascii="Times New Roman" w:hAnsi="Times New Roman"/>
          <w:b/>
          <w:noProof/>
          <w:lang w:val="nl-NL"/>
        </w:rPr>
        <w:t>onder landspecifieke benchmarks,</w:t>
      </w:r>
      <w:r>
        <w:rPr>
          <w:rFonts w:ascii="Times New Roman" w:hAnsi="Times New Roman"/>
          <w:noProof/>
          <w:lang w:val="nl-NL"/>
        </w:rPr>
        <w:t xml:space="preserve"> zowel de NIIP-normen als de prudentiële drempels voor de NIIP. Dit is het geval in Ierland, Griekenland, Cyprus, Portugal en ook Spanje. Griekenland vertoo</w:t>
      </w:r>
      <w:r>
        <w:rPr>
          <w:rFonts w:ascii="Times New Roman" w:hAnsi="Times New Roman"/>
          <w:noProof/>
          <w:lang w:val="nl-NL"/>
        </w:rPr>
        <w:t>nde een marginale verslechtering van de NIIP en Portugal maakte ongewijzigde meetwaarden bekend, waarbij in beide gevallen waarderingseffecten de NIIP in 2017 iets temperden; alle andere lidstaten verbeterden hun resultaten. Deze meest negatieve NIIP's wor</w:t>
      </w:r>
      <w:r>
        <w:rPr>
          <w:rFonts w:ascii="Times New Roman" w:hAnsi="Times New Roman"/>
          <w:noProof/>
          <w:lang w:val="nl-NL"/>
        </w:rPr>
        <w:t xml:space="preserve">den gekenmerkt door een </w:t>
      </w:r>
      <w:r>
        <w:rPr>
          <w:rFonts w:ascii="Times New Roman" w:hAnsi="Times New Roman"/>
          <w:b/>
          <w:noProof/>
          <w:lang w:val="nl-NL"/>
        </w:rPr>
        <w:t>sterke incidentie van nettoschuldpassiva</w:t>
      </w:r>
      <w:r>
        <w:rPr>
          <w:rStyle w:val="FootnoteReference"/>
          <w:rFonts w:ascii="Times New Roman" w:hAnsi="Times New Roman"/>
          <w:noProof/>
        </w:rPr>
        <w:footnoteReference w:id="19"/>
      </w:r>
      <w:r>
        <w:rPr>
          <w:noProof/>
          <w:lang w:val="nl-NL"/>
        </w:rPr>
        <w:t>.</w:t>
      </w:r>
      <w:r>
        <w:rPr>
          <w:rFonts w:ascii="Times New Roman" w:hAnsi="Times New Roman"/>
          <w:noProof/>
          <w:lang w:val="nl-NL"/>
        </w:rPr>
        <w:t xml:space="preserve"> De cijfers voor Cyprus en Ierland moeten ook worden bekeken in het licht van de relevantie voor hen van de activiteiten van multinationale ondernemingen en van internationaal georiënteerde </w:t>
      </w:r>
      <w:r>
        <w:rPr>
          <w:rFonts w:ascii="Times New Roman" w:hAnsi="Times New Roman"/>
          <w:noProof/>
          <w:lang w:val="nl-NL"/>
        </w:rPr>
        <w:t xml:space="preserve">dienstensectoren; en in Griekenland in het licht van de grote externe publieke schuld tegen zeer gereduceerde tarieven. </w:t>
      </w:r>
    </w:p>
    <w:p w:rsidR="00222D78" w:rsidRDefault="00E65635">
      <w:pPr>
        <w:numPr>
          <w:ilvl w:val="0"/>
          <w:numId w:val="4"/>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In landen met </w:t>
      </w:r>
      <w:r>
        <w:rPr>
          <w:rFonts w:ascii="Times New Roman" w:hAnsi="Times New Roman"/>
          <w:b/>
          <w:noProof/>
          <w:lang w:val="nl-NL"/>
        </w:rPr>
        <w:t>een tussentijdse negatieve NIIP</w:t>
      </w:r>
      <w:r>
        <w:rPr>
          <w:rFonts w:ascii="Times New Roman" w:hAnsi="Times New Roman"/>
          <w:noProof/>
          <w:lang w:val="nl-NL"/>
        </w:rPr>
        <w:t xml:space="preserve">, die echter onder de </w:t>
      </w:r>
      <w:r>
        <w:rPr>
          <w:rFonts w:ascii="Times New Roman" w:hAnsi="Times New Roman"/>
          <w:noProof/>
          <w:color w:val="000000"/>
          <w:lang w:val="nl-NL"/>
        </w:rPr>
        <w:t>scoreborddrempel van -35% van het bbp bleef</w:t>
      </w:r>
      <w:r>
        <w:rPr>
          <w:rFonts w:ascii="Times New Roman" w:hAnsi="Times New Roman"/>
          <w:noProof/>
          <w:lang w:val="nl-NL"/>
        </w:rPr>
        <w:t xml:space="preserve">, </w:t>
      </w:r>
      <w:r>
        <w:rPr>
          <w:rFonts w:ascii="Times New Roman" w:hAnsi="Times New Roman"/>
          <w:b/>
          <w:noProof/>
          <w:lang w:val="nl-NL"/>
        </w:rPr>
        <w:t>ligt de NIIP vaak onder</w:t>
      </w:r>
      <w:r>
        <w:rPr>
          <w:rFonts w:ascii="Times New Roman" w:hAnsi="Times New Roman"/>
          <w:b/>
          <w:noProof/>
          <w:lang w:val="nl-NL"/>
        </w:rPr>
        <w:t xml:space="preserve"> de norm en in sommige gevallen iets onder de prudentiële drempels</w:t>
      </w:r>
      <w:r>
        <w:rPr>
          <w:rFonts w:ascii="Times New Roman" w:hAnsi="Times New Roman"/>
          <w:noProof/>
          <w:lang w:val="nl-NL"/>
        </w:rPr>
        <w:t>. In deze landen hebben de deelnemingen een grote weerslag</w:t>
      </w:r>
      <w:r>
        <w:rPr>
          <w:rFonts w:ascii="Times New Roman" w:hAnsi="Times New Roman"/>
          <w:noProof/>
          <w:color w:val="000000"/>
          <w:lang w:val="nl-NL"/>
        </w:rPr>
        <w:t xml:space="preserve"> op de negatieve NIIP, inclusief in het licht van de standen van de inkomende netto BDI. </w:t>
      </w:r>
      <w:r>
        <w:rPr>
          <w:rFonts w:ascii="Times New Roman" w:hAnsi="Times New Roman"/>
          <w:noProof/>
          <w:lang w:val="nl-NL"/>
        </w:rPr>
        <w:t>In landen met</w:t>
      </w:r>
      <w:r>
        <w:rPr>
          <w:rFonts w:ascii="Times New Roman" w:hAnsi="Times New Roman"/>
          <w:b/>
          <w:noProof/>
          <w:lang w:val="nl-NL"/>
        </w:rPr>
        <w:t xml:space="preserve"> een gematigde positie van de </w:t>
      </w:r>
      <w:r>
        <w:rPr>
          <w:rFonts w:ascii="Times New Roman" w:hAnsi="Times New Roman"/>
          <w:b/>
          <w:noProof/>
          <w:lang w:val="nl-NL"/>
        </w:rPr>
        <w:t>externe standen</w:t>
      </w:r>
      <w:r>
        <w:rPr>
          <w:rFonts w:ascii="Times New Roman" w:hAnsi="Times New Roman"/>
          <w:noProof/>
          <w:lang w:val="nl-NL"/>
        </w:rPr>
        <w:t xml:space="preserve"> ligt de NIIP vaak boven de respectieve normen, behalve in Frankrijk en Slovenië, waar deze onder de normen ligt.</w:t>
      </w:r>
    </w:p>
    <w:p w:rsidR="00222D78" w:rsidRDefault="00E65635">
      <w:pPr>
        <w:numPr>
          <w:ilvl w:val="0"/>
          <w:numId w:val="4"/>
        </w:numPr>
        <w:tabs>
          <w:tab w:val="left" w:pos="720"/>
        </w:tabs>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In de meeste landen met </w:t>
      </w:r>
      <w:r>
        <w:rPr>
          <w:rFonts w:ascii="Times New Roman" w:hAnsi="Times New Roman"/>
          <w:b/>
          <w:noProof/>
          <w:lang w:val="nl-NL"/>
        </w:rPr>
        <w:t>hoge en positieve NIIP-standen</w:t>
      </w:r>
      <w:r>
        <w:rPr>
          <w:rFonts w:ascii="Times New Roman" w:hAnsi="Times New Roman"/>
          <w:noProof/>
          <w:lang w:val="nl-NL"/>
        </w:rPr>
        <w:t xml:space="preserve"> liggen de NIIP's boven de norm en zijn ze in 2017 toegenomen</w:t>
      </w:r>
      <w:r>
        <w:rPr>
          <w:rFonts w:ascii="Times New Roman" w:hAnsi="Times New Roman"/>
          <w:b/>
          <w:noProof/>
          <w:lang w:val="nl-NL"/>
        </w:rPr>
        <w:t xml:space="preserve"> </w:t>
      </w:r>
      <w:r>
        <w:rPr>
          <w:rFonts w:ascii="Times New Roman" w:hAnsi="Times New Roman"/>
          <w:noProof/>
          <w:lang w:val="nl-NL"/>
        </w:rPr>
        <w:t xml:space="preserve"> als gevolg</w:t>
      </w:r>
      <w:r>
        <w:rPr>
          <w:rFonts w:ascii="Times New Roman" w:hAnsi="Times New Roman"/>
          <w:noProof/>
          <w:lang w:val="nl-NL"/>
        </w:rPr>
        <w:t xml:space="preserve"> van grote overschotten op de lopende rekening. In Nederland en Denemarken daalde de NIIP marginaal als gevolg van negatieve waarderingseffecten. Voor Malta en Nederland bedroeg de NIIP eind 2017 ongeveer 60% van het bbp, voor België, Denemarken en Duitsla</w:t>
      </w:r>
      <w:r>
        <w:rPr>
          <w:rFonts w:ascii="Times New Roman" w:hAnsi="Times New Roman"/>
          <w:noProof/>
          <w:lang w:val="nl-NL"/>
        </w:rPr>
        <w:t>nd meer dan 50%</w:t>
      </w:r>
      <w:r>
        <w:rPr>
          <w:rStyle w:val="FootnoteReference"/>
          <w:rFonts w:ascii="Times New Roman" w:hAnsi="Times New Roman"/>
          <w:noProof/>
        </w:rPr>
        <w:footnoteReference w:id="20"/>
      </w:r>
      <w:r>
        <w:rPr>
          <w:noProof/>
          <w:lang w:val="nl-NL"/>
        </w:rPr>
        <w:t>.</w:t>
      </w:r>
      <w:r>
        <w:rPr>
          <w:rFonts w:ascii="Times New Roman" w:hAnsi="Times New Roman"/>
          <w:noProof/>
          <w:lang w:val="nl-NL"/>
        </w:rPr>
        <w:t xml:space="preserve"> </w:t>
      </w:r>
    </w:p>
    <w:p w:rsidR="00222D78" w:rsidRDefault="00E65635">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Grafiek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Netto internationale investeringsposities (NIIP’s) en benchmarks in 2017</w:t>
      </w:r>
    </w:p>
    <w:p w:rsidR="00222D78" w:rsidRDefault="00E65635">
      <w:pPr>
        <w:keepNext/>
        <w:spacing w:before="120" w:after="120"/>
        <w:jc w:val="center"/>
        <w:rPr>
          <w:rFonts w:ascii="Times New Roman" w:eastAsia="MS Mincho" w:hAnsi="Times New Roman" w:cs="Times New Roman"/>
          <w:b/>
          <w:bCs/>
          <w:noProof/>
          <w:sz w:val="24"/>
          <w:szCs w:val="20"/>
        </w:rPr>
      </w:pPr>
      <w:r>
        <w:rPr>
          <w:noProof/>
          <w:lang w:eastAsia="en-GB"/>
        </w:rPr>
        <w:drawing>
          <wp:inline distT="0" distB="0" distL="0" distR="0">
            <wp:extent cx="5219700" cy="3133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133725"/>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Eurostat (BPM6 en ESR10), berekeningen van de diensten van de Commissie. </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Landen worden gepresenteerd in aflopende volgorde van NIIP-quote in 2017. De NENDI is de NIIP exclusief instrumenten zonder wanbetalingsrisico, zie kader 1 voor meer informatie. Voor de begrippen NIIP-norm en prudentiële drempels voor de NIIP, zie voetno</w:t>
      </w:r>
      <w:r>
        <w:rPr>
          <w:rFonts w:ascii="Times New Roman" w:hAnsi="Times New Roman"/>
          <w:noProof/>
          <w:sz w:val="20"/>
          <w:lang w:val="nl-NL"/>
        </w:rPr>
        <w:t xml:space="preserve">ot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lang w:val="nl-NL"/>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lang w:val="nl-NL"/>
        </w:rPr>
        <w:t>18</w:t>
      </w:r>
      <w:r>
        <w:rPr>
          <w:rFonts w:ascii="Times New Roman" w:eastAsia="Times New Roman" w:hAnsi="Times New Roman" w:cs="Times New Roman"/>
          <w:noProof/>
          <w:sz w:val="20"/>
          <w:szCs w:val="20"/>
        </w:rPr>
        <w:fldChar w:fldCharType="end"/>
      </w:r>
      <w:r>
        <w:rPr>
          <w:rFonts w:ascii="Times New Roman" w:hAnsi="Times New Roman"/>
          <w:noProof/>
          <w:sz w:val="20"/>
          <w:lang w:val="nl-NL"/>
        </w:rPr>
        <w:t xml:space="preserve">. </w:t>
      </w:r>
    </w:p>
    <w:p w:rsidR="00222D78" w:rsidRDefault="00222D78">
      <w:pPr>
        <w:keepNext/>
        <w:spacing w:after="0"/>
        <w:jc w:val="center"/>
        <w:rPr>
          <w:rFonts w:ascii="Times New Roman" w:eastAsia="MS Mincho" w:hAnsi="Times New Roman" w:cs="Times New Roman"/>
          <w:b/>
          <w:bCs/>
          <w:noProof/>
          <w:lang w:val="nl-NL"/>
        </w:rPr>
      </w:pPr>
    </w:p>
    <w:p w:rsidR="00222D78" w:rsidRDefault="00E65635">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Grafiek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Dynamiek van de netto internationale investeringsposities (NIIP’s)</w:t>
      </w:r>
    </w:p>
    <w:p w:rsidR="00222D78" w:rsidRDefault="00E65635">
      <w:pPr>
        <w:tabs>
          <w:tab w:val="left" w:pos="720"/>
        </w:tabs>
        <w:spacing w:before="120" w:after="120"/>
        <w:ind w:left="425"/>
        <w:jc w:val="both"/>
        <w:rPr>
          <w:rFonts w:ascii="Times New Roman" w:eastAsia="Times New Roman" w:hAnsi="Times New Roman" w:cs="Times New Roman"/>
          <w:noProof/>
          <w:sz w:val="24"/>
          <w:szCs w:val="20"/>
        </w:rPr>
      </w:pPr>
      <w:r>
        <w:rPr>
          <w:noProof/>
          <w:lang w:eastAsia="en-GB"/>
        </w:rPr>
        <w:drawing>
          <wp:inline distT="0" distB="0" distL="0" distR="0">
            <wp:extent cx="4972050" cy="3162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2050" cy="3162300"/>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 xml:space="preserve">Bron: </w:t>
      </w:r>
      <w:r>
        <w:rPr>
          <w:rFonts w:ascii="Times New Roman" w:hAnsi="Times New Roman"/>
          <w:noProof/>
          <w:sz w:val="20"/>
          <w:lang w:val="nl-NL"/>
        </w:rPr>
        <w:t>Eurostat</w:t>
      </w:r>
    </w:p>
    <w:p w:rsidR="00222D78" w:rsidRDefault="00E65635">
      <w:pPr>
        <w:spacing w:after="0"/>
        <w:jc w:val="both"/>
        <w:rPr>
          <w:rFonts w:ascii="Times New Roman" w:eastAsia="Times New Roman" w:hAnsi="Times New Roman" w:cs="Times New Roman"/>
          <w:i/>
          <w:noProof/>
          <w:sz w:val="20"/>
          <w:szCs w:val="20"/>
          <w:lang w:val="nl-NL"/>
        </w:rPr>
      </w:pPr>
      <w:r>
        <w:rPr>
          <w:rFonts w:ascii="Times New Roman" w:hAnsi="Times New Roman"/>
          <w:noProof/>
          <w:sz w:val="20"/>
          <w:lang w:val="nl-NL"/>
        </w:rPr>
        <w:t>Noot: Landen worden</w:t>
      </w:r>
      <w:r>
        <w:rPr>
          <w:rFonts w:ascii="Times New Roman" w:hAnsi="Times New Roman"/>
          <w:noProof/>
          <w:sz w:val="20"/>
          <w:lang w:val="nl-NL"/>
        </w:rPr>
        <w:t xml:space="preserve"> gepresenteerd in aflopende volgorde van variatie van NIIP-quote in 2017.</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 xml:space="preserve">De ontwikkelingen op het gebied van kostenconcurrentievermogen zijn minder ondersteunend geworden voor herbalancering. </w:t>
      </w:r>
      <w:r>
        <w:rPr>
          <w:rFonts w:ascii="Times New Roman" w:hAnsi="Times New Roman"/>
          <w:noProof/>
          <w:lang w:val="nl-NL"/>
        </w:rPr>
        <w:t xml:space="preserve">De patronen van de ULC na de crisis werden gekenmerkt door een relatief getemperde dynamiek in landen waar de vraag na het wegwerken van de grote tekorten op de lopende rekening is gekrompen. De groei van de ULC begon zich te herstellen met het economisch </w:t>
      </w:r>
      <w:r>
        <w:rPr>
          <w:rFonts w:ascii="Times New Roman" w:hAnsi="Times New Roman"/>
          <w:noProof/>
          <w:lang w:val="nl-NL"/>
        </w:rPr>
        <w:t>herstel, maar bleef ondanks de verkrapping van de arbeidsmarkt relatief getemperd. Een aantal Centraal- en Oost-Europese landen vertoonden een uitgesproken versnelling van de ULC: sinds 2012 Bulgarije en Estland, 2013 Letland en Litouwen, 2016 Tsjechië, Ho</w:t>
      </w:r>
      <w:r>
        <w:rPr>
          <w:rFonts w:ascii="Times New Roman" w:hAnsi="Times New Roman"/>
          <w:noProof/>
          <w:lang w:val="nl-NL"/>
        </w:rPr>
        <w:t>ngarije en Roemenië. De ULC zijn in 2017 in de meeste lidstaten verder versneld als gevolg van de consolidatie van de economische expansie, zonder dat echter daarbij de arbeidskosten in grote nettocrediteurlanden significant zijn aangetrokken. De in 2016 i</w:t>
      </w:r>
      <w:r>
        <w:rPr>
          <w:rFonts w:ascii="Times New Roman" w:hAnsi="Times New Roman"/>
          <w:noProof/>
          <w:lang w:val="nl-NL"/>
        </w:rPr>
        <w:t xml:space="preserve">ngezette tendens naar een patroon van ontwikkelingen voor kostenconcurrentievermogen dat minder ondersteunend lijkt voor een herbalancering, blijft dus bevestigd (zie ook kader 2). </w:t>
      </w:r>
    </w:p>
    <w:p w:rsidR="00222D78" w:rsidRDefault="00E65635">
      <w:pPr>
        <w:numPr>
          <w:ilvl w:val="0"/>
          <w:numId w:val="5"/>
        </w:numPr>
        <w:spacing w:before="120" w:after="120"/>
        <w:ind w:left="567" w:hanging="425"/>
        <w:jc w:val="both"/>
        <w:rPr>
          <w:rFonts w:ascii="Times New Roman" w:eastAsia="Calibri" w:hAnsi="Times New Roman" w:cs="Times New Roman"/>
          <w:noProof/>
          <w:lang w:val="nl-NL"/>
        </w:rPr>
      </w:pPr>
      <w:r>
        <w:rPr>
          <w:rFonts w:ascii="Times New Roman" w:hAnsi="Times New Roman"/>
          <w:b/>
          <w:noProof/>
          <w:lang w:val="nl-NL"/>
        </w:rPr>
        <w:t>De ULC zijn in de meeste lidstaten versneld</w:t>
      </w:r>
      <w:r>
        <w:rPr>
          <w:rFonts w:ascii="Times New Roman" w:hAnsi="Times New Roman"/>
          <w:noProof/>
          <w:lang w:val="nl-NL"/>
        </w:rPr>
        <w:t>. De groei van de ULC in de afg</w:t>
      </w:r>
      <w:r>
        <w:rPr>
          <w:rFonts w:ascii="Times New Roman" w:hAnsi="Times New Roman"/>
          <w:noProof/>
          <w:lang w:val="nl-NL"/>
        </w:rPr>
        <w:t xml:space="preserve">elopen jaren was bijzonder sterk in Bulgarije, Estland, Letland en Litouwen (grafiek </w:t>
      </w:r>
      <w:r>
        <w:rPr>
          <w:rFonts w:ascii="Times New Roman" w:eastAsia="MS Mincho" w:hAnsi="Times New Roman" w:cs="Times New Roman"/>
          <w:bCs/>
          <w:noProof/>
        </w:rPr>
        <w:fldChar w:fldCharType="begin" w:fldLock="1"/>
      </w:r>
      <w:r>
        <w:rPr>
          <w:rFonts w:ascii="Times New Roman" w:eastAsia="MS Mincho" w:hAnsi="Times New Roman" w:cs="Times New Roman"/>
          <w:bCs/>
          <w:noProof/>
          <w:lang w:val="nl-NL"/>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lang w:val="nl-NL"/>
        </w:rPr>
        <w:t>6</w:t>
      </w:r>
      <w:r>
        <w:rPr>
          <w:rFonts w:ascii="Times New Roman" w:eastAsia="MS Mincho" w:hAnsi="Times New Roman" w:cs="Times New Roman"/>
          <w:bCs/>
          <w:noProof/>
        </w:rPr>
        <w:fldChar w:fldCharType="end"/>
      </w:r>
      <w:r>
        <w:rPr>
          <w:rFonts w:ascii="Times New Roman" w:hAnsi="Times New Roman"/>
          <w:b/>
          <w:noProof/>
          <w:lang w:val="nl-NL"/>
        </w:rPr>
        <w:t>)</w:t>
      </w:r>
      <w:r>
        <w:rPr>
          <w:rFonts w:ascii="Times New Roman" w:hAnsi="Times New Roman"/>
          <w:noProof/>
          <w:lang w:val="nl-NL"/>
        </w:rPr>
        <w:t xml:space="preserve">; voor al deze landen is de drempel van het scorebord overschreden. In 2017 waren de versnellingen voor ULC uit eerdere jaren duidelijk merkbaar </w:t>
      </w:r>
      <w:r>
        <w:rPr>
          <w:rFonts w:ascii="Times New Roman" w:hAnsi="Times New Roman"/>
          <w:noProof/>
          <w:lang w:val="nl-NL"/>
        </w:rPr>
        <w:t xml:space="preserve">in Bulgarije en Roemenië en, in mindere mate, ook in Tsjechië, Luxemburg en Slowakije. Ramingen voor 2018 wijzen op scenario's waarin de dynamiek voor ULC in veel van deze landen aanhoudt: in Tsjechië, Hongarije, Letland, Litouwen en Roemenië versnelt hij </w:t>
      </w:r>
      <w:r>
        <w:rPr>
          <w:rFonts w:ascii="Times New Roman" w:hAnsi="Times New Roman"/>
          <w:noProof/>
          <w:lang w:val="nl-NL"/>
        </w:rPr>
        <w:t>meer uitgesproken, in Bulgarije vertraagt hij weliswaar, maar blijft hij toch hoog.</w:t>
      </w:r>
    </w:p>
    <w:p w:rsidR="00222D78" w:rsidRDefault="00E65635">
      <w:pPr>
        <w:numPr>
          <w:ilvl w:val="0"/>
          <w:numId w:val="5"/>
        </w:numPr>
        <w:spacing w:before="120" w:after="120"/>
        <w:ind w:left="567" w:hanging="425"/>
        <w:jc w:val="both"/>
        <w:rPr>
          <w:rFonts w:ascii="Times New Roman" w:eastAsia="Calibri" w:hAnsi="Times New Roman" w:cs="Times New Roman"/>
          <w:noProof/>
          <w:lang w:val="nl-NL"/>
        </w:rPr>
      </w:pPr>
      <w:r>
        <w:rPr>
          <w:rFonts w:ascii="Times New Roman" w:hAnsi="Times New Roman"/>
          <w:b/>
          <w:noProof/>
          <w:lang w:val="nl-NL"/>
        </w:rPr>
        <w:t>Het grensoverschrijdende patroon van de groei voor ULC geeft over het algemeen verschillen in arbeidsmarktkrapte weer.</w:t>
      </w:r>
      <w:r>
        <w:rPr>
          <w:rFonts w:ascii="Times New Roman" w:hAnsi="Times New Roman"/>
          <w:noProof/>
          <w:lang w:val="nl-NL"/>
        </w:rPr>
        <w:t xml:space="preserve"> De landen waar de ULC het snelst zijn gegroeid, zijn </w:t>
      </w:r>
      <w:r>
        <w:rPr>
          <w:rFonts w:ascii="Times New Roman" w:hAnsi="Times New Roman"/>
          <w:noProof/>
          <w:lang w:val="nl-NL"/>
        </w:rPr>
        <w:t>over het algemeen de landen met een lagere werkloosheidsgraad (grafiek 8). Landen die de afgelopen jaren een snelle groei van het bbp hebben laten zien, met name de Baltische staten en een aantal Oost-Europese landen, vertonen zowel lage als matige werkloo</w:t>
      </w:r>
      <w:r>
        <w:rPr>
          <w:rFonts w:ascii="Times New Roman" w:hAnsi="Times New Roman"/>
          <w:noProof/>
          <w:lang w:val="nl-NL"/>
        </w:rPr>
        <w:t>sheid en hoge groeipercentages voor ULC, terwijl de dynamiek van de arbeidskosten in landen met een hogere werkloosheid over het algemeen beperkter is. Een dergelijke relatie wordt verwacht op basis van de dynamiek van de Phillips-curve , maar is slechts i</w:t>
      </w:r>
      <w:r>
        <w:rPr>
          <w:rFonts w:ascii="Times New Roman" w:hAnsi="Times New Roman"/>
          <w:noProof/>
          <w:lang w:val="nl-NL"/>
        </w:rPr>
        <w:t>n beperkte mate het geval, nu sommige landen, met name de Baltische staten, Bulgarije, Tsjechië, Hongarije of Roemenië groeipercentages voor ULC vertonen die veel hoger liggen dan de relatie zou impliceren. Tegelijk vertonen andere landen (bv. Kroatië, Fin</w:t>
      </w:r>
      <w:r>
        <w:rPr>
          <w:rFonts w:ascii="Times New Roman" w:hAnsi="Times New Roman"/>
          <w:noProof/>
          <w:lang w:val="nl-NL"/>
        </w:rPr>
        <w:t>land en Ierland) een lagere groei voor ULC dan verwacht. In de eerste groep kan een sterke loongroei ook verband houden met tekorten aan arbeidskrachten als gevolg van emigratie, tekorten aan vaardigheden, vaardighedenmismatch</w:t>
      </w:r>
      <w:r>
        <w:rPr>
          <w:rStyle w:val="FootnoteReference"/>
          <w:rFonts w:ascii="Times New Roman" w:hAnsi="Times New Roman"/>
          <w:noProof/>
        </w:rPr>
        <w:footnoteReference w:id="21"/>
      </w:r>
      <w:r>
        <w:rPr>
          <w:noProof/>
          <w:lang w:val="nl-NL"/>
        </w:rPr>
        <w:t>.</w:t>
      </w:r>
    </w:p>
    <w:p w:rsidR="00222D78" w:rsidRDefault="00E65635">
      <w:pPr>
        <w:numPr>
          <w:ilvl w:val="0"/>
          <w:numId w:val="5"/>
        </w:numPr>
        <w:spacing w:before="120" w:after="120"/>
        <w:ind w:left="567" w:hanging="425"/>
        <w:jc w:val="both"/>
        <w:rPr>
          <w:rFonts w:ascii="Times New Roman" w:eastAsia="Calibri" w:hAnsi="Times New Roman" w:cs="Times New Roman"/>
          <w:noProof/>
          <w:lang w:val="nl-NL"/>
        </w:rPr>
      </w:pPr>
      <w:r>
        <w:rPr>
          <w:rFonts w:ascii="Times New Roman" w:hAnsi="Times New Roman"/>
          <w:b/>
          <w:noProof/>
          <w:lang w:val="nl-NL"/>
        </w:rPr>
        <w:t xml:space="preserve">Nominale loongroei leverde </w:t>
      </w:r>
      <w:r>
        <w:rPr>
          <w:rFonts w:ascii="Times New Roman" w:hAnsi="Times New Roman"/>
          <w:b/>
          <w:noProof/>
          <w:lang w:val="nl-NL"/>
        </w:rPr>
        <w:t>de grootste bijdrage aan de groei voor ULC in 2017</w:t>
      </w:r>
      <w:r>
        <w:rPr>
          <w:rFonts w:ascii="Times New Roman" w:hAnsi="Times New Roman"/>
          <w:noProof/>
          <w:lang w:val="nl-NL"/>
        </w:rPr>
        <w:t>. In de meeste lidstaten werd de grootste bijdrage aan de groei voor ULC geleverd door de nominale loongroei en speelde arbeidsproductiviteit een relatief kleinere rol. Arbeidsproductiviteit droeg, zowel do</w:t>
      </w:r>
      <w:r>
        <w:rPr>
          <w:rFonts w:ascii="Times New Roman" w:hAnsi="Times New Roman"/>
          <w:noProof/>
          <w:lang w:val="nl-NL"/>
        </w:rPr>
        <w:t xml:space="preserve">or kapitaalverdieping als door TFP-groei, over het algemeen bij tot een vertraging van de groei voor ULC, terwijl een daling van het aantal gewerkte uren vaak een dalende productiviteit impliceerde (grafiek 7). </w:t>
      </w:r>
    </w:p>
    <w:p w:rsidR="00222D78" w:rsidRDefault="00E65635">
      <w:pPr>
        <w:numPr>
          <w:ilvl w:val="0"/>
          <w:numId w:val="5"/>
        </w:numPr>
        <w:spacing w:before="120" w:after="120"/>
        <w:ind w:left="567" w:hanging="425"/>
        <w:jc w:val="both"/>
        <w:rPr>
          <w:rFonts w:ascii="Times New Roman" w:eastAsia="Calibri" w:hAnsi="Times New Roman" w:cs="Times New Roman"/>
          <w:noProof/>
          <w:lang w:val="nl-NL"/>
        </w:rPr>
      </w:pPr>
      <w:r>
        <w:rPr>
          <w:rFonts w:ascii="Times New Roman" w:hAnsi="Times New Roman"/>
          <w:b/>
          <w:noProof/>
          <w:lang w:val="nl-NL"/>
        </w:rPr>
        <w:t>De patronen van de groei voor ULC koppelen z</w:t>
      </w:r>
      <w:r>
        <w:rPr>
          <w:rFonts w:ascii="Times New Roman" w:hAnsi="Times New Roman"/>
          <w:b/>
          <w:noProof/>
          <w:lang w:val="nl-NL"/>
        </w:rPr>
        <w:t xml:space="preserve">ich steeds meer los van externe herbalanceringsbehoeften. </w:t>
      </w:r>
      <w:r>
        <w:rPr>
          <w:rFonts w:ascii="Times New Roman" w:hAnsi="Times New Roman"/>
          <w:noProof/>
          <w:lang w:val="nl-NL"/>
        </w:rPr>
        <w:t xml:space="preserve">Terwijl de werkloosheidsgraad in de crisisperiode meestal hoger was in nettodebiteurlanden met een omkerende lopende rekening en daaruit voortvloeiende vraagkrimp, convergeert de werkloosheidsgraad </w:t>
      </w:r>
      <w:r>
        <w:rPr>
          <w:rFonts w:ascii="Times New Roman" w:hAnsi="Times New Roman"/>
          <w:noProof/>
          <w:lang w:val="nl-NL"/>
        </w:rPr>
        <w:t xml:space="preserve">sinds het begin van het economisch herstel, hetgeen impliceert dat de patronen van de groei voor ULC, die over het algemeen de verschillen in krapte op de arbeidsmarkt weergeeft, zich in toenemende mate van externe herbalanceringsbehoeften loskoppelen. In </w:t>
      </w:r>
      <w:r>
        <w:rPr>
          <w:rFonts w:ascii="Times New Roman" w:hAnsi="Times New Roman"/>
          <w:noProof/>
          <w:lang w:val="nl-NL"/>
        </w:rPr>
        <w:t>2017, en op de een of andere manier het patroon bevestigend dat reeds in 2016 werd gezien, vertoonden sommige nettodebiteurlanden opnieuw een groei voor ULC na jaren van daling of stagnatie, waarbij de versnellingen in Cyprus, Griekenland en Portugal opval</w:t>
      </w:r>
      <w:r>
        <w:rPr>
          <w:rFonts w:ascii="Times New Roman" w:hAnsi="Times New Roman"/>
          <w:noProof/>
          <w:lang w:val="nl-NL"/>
        </w:rPr>
        <w:t xml:space="preserve">lender waren. Tegelijkertijd hebben de aanhoudend krappe arbeidsmarkten in de nettocrediteurlanden zich tot dusver niet vertaald in significante loonsversnellingen. </w:t>
      </w:r>
    </w:p>
    <w:p w:rsidR="00222D78" w:rsidRDefault="00222D78">
      <w:pPr>
        <w:spacing w:before="120" w:after="120"/>
        <w:jc w:val="both"/>
        <w:rPr>
          <w:rFonts w:ascii="Times New Roman" w:eastAsia="Times New Roman" w:hAnsi="Times New Roman" w:cs="Times New Roman"/>
          <w:b/>
          <w:noProof/>
          <w:sz w:val="24"/>
          <w:szCs w:val="24"/>
          <w:lang w:val="nl-NL"/>
        </w:rPr>
      </w:pPr>
    </w:p>
    <w:p w:rsidR="00222D78" w:rsidRDefault="00E65635">
      <w:pPr>
        <w:keepNext/>
        <w:spacing w:after="120"/>
        <w:jc w:val="center"/>
        <w:rPr>
          <w:rFonts w:ascii="Times New Roman" w:eastAsia="MS Mincho" w:hAnsi="Times New Roman" w:cs="Times New Roman"/>
          <w:b/>
          <w:bCs/>
          <w:noProof/>
          <w:lang w:val="nl-NL"/>
        </w:rPr>
      </w:pPr>
      <w:r>
        <w:rPr>
          <w:rFonts w:ascii="Times New Roman" w:hAnsi="Times New Roman"/>
          <w:b/>
          <w:noProof/>
          <w:lang w:val="nl-NL"/>
        </w:rPr>
        <w:t>Grafiek 6: Groei van de ULC in de jongste jaren</w:t>
      </w:r>
    </w:p>
    <w:p w:rsidR="00222D78" w:rsidRDefault="00E65635">
      <w:pPr>
        <w:spacing w:after="120"/>
        <w:jc w:val="center"/>
        <w:rPr>
          <w:rFonts w:ascii="Times New Roman" w:eastAsia="Times New Roman" w:hAnsi="Times New Roman" w:cs="Times New Roman"/>
          <w:b/>
          <w:noProof/>
          <w:sz w:val="24"/>
          <w:szCs w:val="24"/>
        </w:rPr>
      </w:pPr>
      <w:r>
        <w:rPr>
          <w:noProof/>
          <w:lang w:eastAsia="en-GB"/>
        </w:rPr>
        <w:drawing>
          <wp:inline distT="0" distB="0" distL="0" distR="0">
            <wp:extent cx="5229225" cy="3000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AMECO; de gegevens over 2018 komen uit de economische najaarsprognoses 2018 van de Europese Commissie. </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xml:space="preserve"> De landen worden gepresenteerd in oplopende volgorde van groei van ULC in 2017.</w:t>
      </w:r>
    </w:p>
    <w:p w:rsidR="00222D78" w:rsidRDefault="00222D78">
      <w:pPr>
        <w:spacing w:after="0"/>
        <w:jc w:val="center"/>
        <w:rPr>
          <w:rFonts w:ascii="Times New Roman" w:eastAsia="Times New Roman" w:hAnsi="Times New Roman" w:cs="Times New Roman"/>
          <w:b/>
          <w:noProof/>
          <w:lang w:val="nl-NL"/>
        </w:rPr>
      </w:pPr>
    </w:p>
    <w:p w:rsidR="00222D78" w:rsidRDefault="00E65635">
      <w:pPr>
        <w:keepNext/>
        <w:spacing w:after="120"/>
        <w:jc w:val="center"/>
        <w:rPr>
          <w:rFonts w:ascii="Times New Roman" w:eastAsia="MS Mincho" w:hAnsi="Times New Roman" w:cs="Times New Roman"/>
          <w:b/>
          <w:bCs/>
          <w:noProof/>
          <w:sz w:val="24"/>
          <w:szCs w:val="20"/>
          <w:lang w:val="nl-NL"/>
        </w:rPr>
      </w:pPr>
      <w:r>
        <w:rPr>
          <w:rFonts w:ascii="Times New Roman" w:hAnsi="Times New Roman"/>
          <w:b/>
          <w:noProof/>
          <w:lang w:val="nl-NL"/>
        </w:rPr>
        <w:t>Grafiek 7: Groei van de ULC en de aanjagers daarvan, 2017</w:t>
      </w:r>
    </w:p>
    <w:p w:rsidR="00222D78" w:rsidRDefault="00E65635">
      <w:pPr>
        <w:spacing w:after="120"/>
        <w:jc w:val="center"/>
        <w:rPr>
          <w:rFonts w:ascii="Times New Roman" w:eastAsia="Times New Roman" w:hAnsi="Times New Roman" w:cs="Times New Roman"/>
          <w:b/>
          <w:i/>
          <w:noProof/>
          <w:sz w:val="16"/>
          <w:szCs w:val="20"/>
        </w:rPr>
      </w:pPr>
      <w:r>
        <w:rPr>
          <w:noProof/>
          <w:lang w:eastAsia="en-GB"/>
        </w:rPr>
        <w:drawing>
          <wp:inline distT="0" distB="0" distL="0" distR="0">
            <wp:extent cx="5610225" cy="3028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i/>
          <w:noProof/>
          <w:sz w:val="20"/>
          <w:lang w:val="nl-NL"/>
        </w:rPr>
        <w:t>:</w:t>
      </w:r>
      <w:r>
        <w:rPr>
          <w:rFonts w:ascii="Times New Roman" w:hAnsi="Times New Roman"/>
          <w:noProof/>
          <w:sz w:val="20"/>
          <w:lang w:val="nl-NL"/>
        </w:rPr>
        <w:t xml:space="preserve"> AMECO en berekeningen van de diensten van de Commissie.</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xml:space="preserve"> De landen worden gepresenteerd in oplopende volgorde van groei van ULC in 2017. De uitsplitsing is gebaseerd op de normale verdeling van de arbeidskostengroei per eenheid product in nominaal u</w:t>
      </w:r>
      <w:r>
        <w:rPr>
          <w:rFonts w:ascii="Times New Roman" w:hAnsi="Times New Roman"/>
          <w:noProof/>
          <w:sz w:val="20"/>
          <w:lang w:val="nl-NL"/>
        </w:rPr>
        <w:t xml:space="preserve">urloon en arbeidsproductiviteit, waarbij deze laatste verder wordt uitgesplitst in gewerkte uren, totale factorproductiviteit en kapitaalaccumulatie met behulp van een kader voor "standard growth accounting". </w:t>
      </w:r>
    </w:p>
    <w:p w:rsidR="00222D78" w:rsidRDefault="00222D78">
      <w:pPr>
        <w:spacing w:before="120" w:after="120"/>
        <w:jc w:val="both"/>
        <w:rPr>
          <w:rFonts w:ascii="Times New Roman" w:eastAsia="Times New Roman" w:hAnsi="Times New Roman" w:cs="Times New Roman"/>
          <w:noProof/>
          <w:sz w:val="20"/>
          <w:szCs w:val="20"/>
          <w:lang w:val="nl-NL"/>
        </w:rPr>
      </w:pPr>
    </w:p>
    <w:p w:rsidR="00222D78" w:rsidRDefault="00E65635">
      <w:pPr>
        <w:keepNext/>
        <w:spacing w:before="120" w:after="120"/>
        <w:jc w:val="center"/>
        <w:rPr>
          <w:rFonts w:ascii="Times New Roman" w:eastAsia="MS Mincho" w:hAnsi="Times New Roman" w:cs="Times New Roman"/>
          <w:b/>
          <w:bCs/>
          <w:noProof/>
          <w:lang w:val="nl-NL"/>
        </w:rPr>
      </w:pPr>
      <w:r>
        <w:rPr>
          <w:rFonts w:ascii="Times New Roman" w:hAnsi="Times New Roman"/>
          <w:b/>
          <w:noProof/>
          <w:lang w:val="nl-NL"/>
        </w:rPr>
        <w:t>Grafiek 8: Groei van de ULC en werkloosheid</w:t>
      </w:r>
    </w:p>
    <w:p w:rsidR="00222D78" w:rsidRDefault="00E65635">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3048000" cy="3009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rsidR="00222D78" w:rsidRDefault="00E65635">
      <w:pPr>
        <w:spacing w:before="120" w:after="120"/>
        <w:jc w:val="both"/>
        <w:rPr>
          <w:rFonts w:ascii="Times New Roman" w:eastAsia="Times New Roman" w:hAnsi="Times New Roman" w:cs="Times New Roman"/>
          <w:i/>
          <w:noProof/>
          <w:sz w:val="20"/>
          <w:szCs w:val="24"/>
          <w:lang w:val="nl-NL"/>
        </w:rPr>
      </w:pPr>
      <w:r>
        <w:rPr>
          <w:rFonts w:ascii="Times New Roman" w:hAnsi="Times New Roman"/>
          <w:i/>
          <w:noProof/>
          <w:sz w:val="20"/>
          <w:lang w:val="nl-NL"/>
        </w:rPr>
        <w:t xml:space="preserve">Bron: </w:t>
      </w:r>
      <w:r>
        <w:rPr>
          <w:rFonts w:ascii="Times New Roman" w:hAnsi="Times New Roman"/>
          <w:noProof/>
          <w:sz w:val="20"/>
          <w:lang w:val="nl-NL"/>
        </w:rPr>
        <w:t>AMECO</w:t>
      </w:r>
    </w:p>
    <w:p w:rsidR="00222D78" w:rsidRDefault="00222D78">
      <w:pPr>
        <w:spacing w:before="120" w:after="120"/>
        <w:jc w:val="center"/>
        <w:rPr>
          <w:rFonts w:ascii="Times New Roman" w:eastAsia="Times New Roman" w:hAnsi="Times New Roman" w:cs="Times New Roman"/>
          <w:b/>
          <w:noProof/>
          <w:sz w:val="24"/>
          <w:szCs w:val="24"/>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 xml:space="preserve">De ontwikkelingen van het prijsconcurrentievermogen, gemeten aan de hand van reële effectieve wisselkoersen (REER's), weerspiegelen slechts gedeeltelijk de mutaties in het kostenconcurrentievermogen op basis van ULC. </w:t>
      </w:r>
      <w:r>
        <w:rPr>
          <w:rFonts w:ascii="Times New Roman" w:hAnsi="Times New Roman"/>
          <w:noProof/>
          <w:lang w:val="nl-NL"/>
        </w:rPr>
        <w:t>Verschillen in de groei voor ULC hebben zich vertaald in stijgingen en dalingen van het kostenconcurrentievermogen voor de EU-lidstaten bij meting aan de hand van op ULC gebaseerde REER's, waarbij rekening wordt gehouden met zowel mutaties in de groei voor</w:t>
      </w:r>
      <w:r>
        <w:rPr>
          <w:rFonts w:ascii="Times New Roman" w:hAnsi="Times New Roman"/>
          <w:noProof/>
          <w:lang w:val="nl-NL"/>
        </w:rPr>
        <w:t xml:space="preserve"> ULC ten opzichte van concurrenten op binnenlandse en derde markten als met ontwikkelingen in nominale wisselkoersen (grafiek 9). </w:t>
      </w:r>
    </w:p>
    <w:p w:rsidR="00222D78" w:rsidRDefault="00E65635">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val="nl-NL"/>
        </w:rPr>
      </w:pPr>
      <w:r>
        <w:rPr>
          <w:rFonts w:ascii="Times New Roman" w:hAnsi="Times New Roman"/>
          <w:noProof/>
          <w:lang w:val="nl-NL"/>
        </w:rPr>
        <w:t xml:space="preserve">In de afgelopen jaren vertoonde </w:t>
      </w:r>
      <w:r>
        <w:rPr>
          <w:rFonts w:ascii="Times New Roman" w:hAnsi="Times New Roman"/>
          <w:b/>
          <w:noProof/>
          <w:lang w:val="nl-NL"/>
        </w:rPr>
        <w:t>een meerderheid van de lidstaten van de eurozone een daling van de op ULC gebaseerde REER</w:t>
      </w:r>
      <w:r>
        <w:rPr>
          <w:rFonts w:ascii="Times New Roman" w:hAnsi="Times New Roman"/>
          <w:noProof/>
          <w:lang w:val="nl-NL"/>
        </w:rPr>
        <w:t>, he</w:t>
      </w:r>
      <w:r>
        <w:rPr>
          <w:rFonts w:ascii="Times New Roman" w:hAnsi="Times New Roman"/>
          <w:noProof/>
          <w:lang w:val="nl-NL"/>
        </w:rPr>
        <w:t xml:space="preserve">tgeen betekent dat relatieve dalingen van de arbeidskosten volstonden om de appreciatie van de euro sinds 2016 in effectieve termen te compenseren. </w:t>
      </w:r>
      <w:r>
        <w:rPr>
          <w:rFonts w:ascii="Times New Roman" w:hAnsi="Times New Roman"/>
          <w:b/>
          <w:noProof/>
          <w:lang w:val="nl-NL"/>
        </w:rPr>
        <w:t>Enkele landen van de eurozone</w:t>
      </w:r>
      <w:r>
        <w:rPr>
          <w:rFonts w:ascii="Times New Roman" w:hAnsi="Times New Roman"/>
          <w:noProof/>
          <w:lang w:val="nl-NL"/>
        </w:rPr>
        <w:t xml:space="preserve">, en </w:t>
      </w:r>
      <w:r>
        <w:rPr>
          <w:rFonts w:ascii="Times New Roman" w:hAnsi="Times New Roman"/>
          <w:b/>
          <w:noProof/>
          <w:lang w:val="nl-NL"/>
        </w:rPr>
        <w:t>met name</w:t>
      </w:r>
      <w:r>
        <w:rPr>
          <w:rFonts w:ascii="Times New Roman" w:hAnsi="Times New Roman"/>
          <w:noProof/>
          <w:lang w:val="nl-NL"/>
        </w:rPr>
        <w:t xml:space="preserve"> </w:t>
      </w:r>
      <w:r>
        <w:rPr>
          <w:rFonts w:ascii="Times New Roman" w:hAnsi="Times New Roman"/>
          <w:b/>
          <w:noProof/>
          <w:lang w:val="nl-NL"/>
        </w:rPr>
        <w:t>de Baltische staten, vertoonden daarentegen echter een verlies aa</w:t>
      </w:r>
      <w:r>
        <w:rPr>
          <w:rFonts w:ascii="Times New Roman" w:hAnsi="Times New Roman"/>
          <w:b/>
          <w:noProof/>
          <w:lang w:val="nl-NL"/>
        </w:rPr>
        <w:t>n kostenconcurrentievermogen</w:t>
      </w:r>
      <w:r>
        <w:rPr>
          <w:rFonts w:ascii="Times New Roman" w:hAnsi="Times New Roman"/>
          <w:noProof/>
          <w:lang w:val="nl-NL"/>
        </w:rPr>
        <w:t xml:space="preserve"> gemeten aan de hand van de op ULC gebaseerde REER. Bij de landen buiten de eurozone hielden de mutaties in de op ULC gebaseerde REER meestal verband met nominale wisselkoersschommelingen, zoals gemeten aan de hand van nominale </w:t>
      </w:r>
      <w:r>
        <w:rPr>
          <w:rFonts w:ascii="Times New Roman" w:hAnsi="Times New Roman"/>
          <w:noProof/>
          <w:lang w:val="nl-NL"/>
        </w:rPr>
        <w:t>effectieve wisselkoersen (NEER's). Depreciaties impliceerden een verbetering van het concurrentievermogen in Polen, Roemenië, Zweden en het Verenigd Koninkrijk; appreciaties hadden vooral implicaties voor Bulgarije en Tsjechië. De jongste jaren was de stij</w:t>
      </w:r>
      <w:r>
        <w:rPr>
          <w:rFonts w:ascii="Times New Roman" w:hAnsi="Times New Roman"/>
          <w:noProof/>
          <w:lang w:val="nl-NL"/>
        </w:rPr>
        <w:t>ging van het kostenconcurrentievermogen, gemeten aan de hand van mutaties in de op ULC gebaseerde REER, over het algemeen groter in nettodebiteurlanden. Het bewĳs is in overeenstemming met het hierboven geëvalueerde bewĳs met betrekking tot de dynamiek van</w:t>
      </w:r>
      <w:r>
        <w:rPr>
          <w:rFonts w:ascii="Times New Roman" w:hAnsi="Times New Roman"/>
          <w:noProof/>
          <w:lang w:val="nl-NL"/>
        </w:rPr>
        <w:t xml:space="preserve"> de ULC.</w:t>
      </w:r>
    </w:p>
    <w:p w:rsidR="00222D78" w:rsidRDefault="00E65635">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b/>
          <w:noProof/>
          <w:lang w:val="nl-NL"/>
        </w:rPr>
        <w:t>De dynamiek van het prijsconcurrentievermogen</w:t>
      </w:r>
      <w:r>
        <w:rPr>
          <w:rFonts w:ascii="Times New Roman" w:hAnsi="Times New Roman"/>
          <w:noProof/>
          <w:lang w:val="nl-NL"/>
        </w:rPr>
        <w:t xml:space="preserve">, gemeten aan de hand van de op de bbp-deflator gebaseerde REER, </w:t>
      </w:r>
      <w:r>
        <w:rPr>
          <w:rFonts w:ascii="Times New Roman" w:hAnsi="Times New Roman"/>
          <w:b/>
          <w:noProof/>
          <w:lang w:val="nl-NL"/>
        </w:rPr>
        <w:t>was beperkter dan de dynamiek van het kostenconcurrentievermogen</w:t>
      </w:r>
      <w:r>
        <w:rPr>
          <w:rFonts w:ascii="Times New Roman" w:hAnsi="Times New Roman"/>
          <w:noProof/>
          <w:lang w:val="nl-NL"/>
        </w:rPr>
        <w:t>, gemeten volgens de op ULC gebaseerde REER. Dit houdt in dat een deel va</w:t>
      </w:r>
      <w:r>
        <w:rPr>
          <w:rFonts w:ascii="Times New Roman" w:hAnsi="Times New Roman"/>
          <w:noProof/>
          <w:lang w:val="nl-NL"/>
        </w:rPr>
        <w:t xml:space="preserve">n de variatie in de ULC van invloed was op de prijs-kostenmarges en niet in de prijzen doorwerkte (grafiek 9). Bewijs voor </w:t>
      </w:r>
      <w:r>
        <w:rPr>
          <w:rFonts w:ascii="Times New Roman" w:hAnsi="Times New Roman"/>
          <w:b/>
          <w:noProof/>
          <w:lang w:val="nl-NL"/>
        </w:rPr>
        <w:t>een zeer sterke krimp van de marges was er in de landen met een groot verlies aan kostenconcurrentievermogen</w:t>
      </w:r>
      <w:r>
        <w:rPr>
          <w:rFonts w:ascii="Times New Roman" w:hAnsi="Times New Roman"/>
          <w:noProof/>
          <w:lang w:val="nl-NL"/>
        </w:rPr>
        <w:t>, met name de Baltische l</w:t>
      </w:r>
      <w:r>
        <w:rPr>
          <w:rFonts w:ascii="Times New Roman" w:hAnsi="Times New Roman"/>
          <w:noProof/>
          <w:lang w:val="nl-NL"/>
        </w:rPr>
        <w:t>anden, Bulgarije en Roemenië</w:t>
      </w:r>
      <w:r>
        <w:rPr>
          <w:rStyle w:val="FootnoteReference"/>
          <w:rFonts w:ascii="Times New Roman" w:hAnsi="Times New Roman"/>
          <w:noProof/>
        </w:rPr>
        <w:footnoteReference w:id="22"/>
      </w:r>
      <w:r>
        <w:rPr>
          <w:noProof/>
          <w:lang w:val="nl-NL"/>
        </w:rPr>
        <w:t>.</w:t>
      </w:r>
      <w:r>
        <w:rPr>
          <w:rFonts w:ascii="Times New Roman" w:hAnsi="Times New Roman"/>
          <w:noProof/>
          <w:lang w:val="nl-NL"/>
        </w:rPr>
        <w:t xml:space="preserve"> </w:t>
      </w:r>
    </w:p>
    <w:p w:rsidR="00222D78" w:rsidRDefault="00E65635">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noProof/>
          <w:lang w:val="nl-NL"/>
        </w:rPr>
        <w:t xml:space="preserve">In een aantal landen kwam de zeer gematigde of </w:t>
      </w:r>
      <w:r>
        <w:rPr>
          <w:rFonts w:ascii="Times New Roman" w:hAnsi="Times New Roman"/>
          <w:b/>
          <w:noProof/>
          <w:lang w:val="nl-NL"/>
        </w:rPr>
        <w:t>negatieve inflatie van de consumentenprijzen</w:t>
      </w:r>
      <w:r>
        <w:rPr>
          <w:rFonts w:ascii="Times New Roman" w:hAnsi="Times New Roman"/>
          <w:noProof/>
          <w:lang w:val="nl-NL"/>
        </w:rPr>
        <w:t xml:space="preserve"> tot uiting in een sterke </w:t>
      </w:r>
      <w:r>
        <w:rPr>
          <w:rFonts w:ascii="Times New Roman" w:hAnsi="Times New Roman"/>
          <w:b/>
          <w:noProof/>
          <w:lang w:val="nl-NL"/>
        </w:rPr>
        <w:t>verbetering van het concurrentievermogen</w:t>
      </w:r>
      <w:r>
        <w:rPr>
          <w:rFonts w:ascii="Times New Roman" w:hAnsi="Times New Roman"/>
          <w:noProof/>
          <w:lang w:val="nl-NL"/>
        </w:rPr>
        <w:t>, zoals gemeten aan de hand van de op het HICP gebaseerde REER. Twe</w:t>
      </w:r>
      <w:r>
        <w:rPr>
          <w:rFonts w:ascii="Times New Roman" w:hAnsi="Times New Roman"/>
          <w:noProof/>
          <w:lang w:val="nl-NL"/>
        </w:rPr>
        <w:t xml:space="preserve">e landen, Cyprus en Ierland, zaten in 2017 zelfs onder de onderste scoreborddrempel. In de meeste landen is de </w:t>
      </w:r>
      <w:r>
        <w:rPr>
          <w:rFonts w:ascii="Times New Roman" w:hAnsi="Times New Roman"/>
          <w:b/>
          <w:noProof/>
          <w:lang w:val="nl-NL"/>
        </w:rPr>
        <w:t>huidige positie van het concurrentievermogen gunstiger dan vóór de crisis, aangezien de op de HICP gebaseerde REER</w:t>
      </w:r>
      <w:r>
        <w:rPr>
          <w:rFonts w:ascii="Times New Roman" w:hAnsi="Times New Roman"/>
          <w:noProof/>
          <w:lang w:val="nl-NL"/>
        </w:rPr>
        <w:t xml:space="preserve"> onder de positie van de vorige</w:t>
      </w:r>
      <w:r>
        <w:rPr>
          <w:rFonts w:ascii="Times New Roman" w:hAnsi="Times New Roman"/>
          <w:noProof/>
          <w:lang w:val="nl-NL"/>
        </w:rPr>
        <w:t xml:space="preserve"> pieken ligt. De reële depreciatie viel in de meeste gevallen samen met een daling van de relatieve prijs van niet-verhandelbare goederen en diensten en een groter aandeel van verhandelbare goederen en diensten in de economie, waardoor het potentieel voor </w:t>
      </w:r>
      <w:r>
        <w:rPr>
          <w:rFonts w:ascii="Times New Roman" w:hAnsi="Times New Roman"/>
          <w:noProof/>
          <w:lang w:val="nl-NL"/>
        </w:rPr>
        <w:t xml:space="preserve">exportgeleide groeidynamiek toenam. In enkele landen, met name Oostenrijk, Estland en Litouwen, liggen de huidige op de HICP gebaseerde REER-cijfers dichtbij of boven een eerdere piek. </w:t>
      </w:r>
    </w:p>
    <w:p w:rsidR="00222D78" w:rsidRDefault="00222D78">
      <w:pPr>
        <w:pStyle w:val="ListParagraph"/>
        <w:spacing w:before="120" w:after="120"/>
        <w:ind w:left="567"/>
        <w:contextualSpacing w:val="0"/>
        <w:jc w:val="both"/>
        <w:rPr>
          <w:rFonts w:ascii="Times New Roman" w:eastAsia="Times New Roman" w:hAnsi="Times New Roman" w:cs="Times New Roman"/>
          <w:b/>
          <w:noProof/>
          <w:lang w:val="nl-NL"/>
        </w:rPr>
      </w:pPr>
    </w:p>
    <w:p w:rsidR="00222D78" w:rsidRDefault="00E65635">
      <w:pPr>
        <w:keepNext/>
        <w:spacing w:before="120" w:after="120"/>
        <w:jc w:val="center"/>
        <w:rPr>
          <w:rFonts w:ascii="Times New Roman" w:eastAsia="MS Mincho" w:hAnsi="Times New Roman" w:cs="Times New Roman"/>
          <w:b/>
          <w:bCs/>
          <w:noProof/>
          <w:lang w:val="nl-NL"/>
        </w:rPr>
      </w:pPr>
      <w:r>
        <w:rPr>
          <w:rFonts w:ascii="Times New Roman" w:hAnsi="Times New Roman"/>
          <w:b/>
          <w:noProof/>
          <w:lang w:val="nl-NL"/>
        </w:rPr>
        <w:t>Grafiek 9: Nominale en reële effectieve wisselkoersen (NEER en REER)</w:t>
      </w:r>
    </w:p>
    <w:p w:rsidR="00222D78" w:rsidRDefault="00E65635">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219700" cy="2990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990850"/>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AMECO</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xml:space="preserve"> Landen worden gepresenteerd in oplopende volgorde van gemiddelde jaarlijkse variatie van de reële effectieve wisselkoers (REER) op basis van de groei van de ULC tussen 2015 en 2017. De REER's op basis van ULC en van de bbp-deflator en d</w:t>
      </w:r>
      <w:r>
        <w:rPr>
          <w:rFonts w:ascii="Times New Roman" w:hAnsi="Times New Roman"/>
          <w:noProof/>
          <w:sz w:val="20"/>
          <w:lang w:val="nl-NL"/>
        </w:rPr>
        <w:t>e nominale effectieve wisselkoers (NEER) worden berekend ten opzichte van 37 handelspartners; de op de HICP gebaseerde REER wordt berekend ten opzichte van 42 handelspartners zoals in het AMR-scorebord.</w:t>
      </w:r>
    </w:p>
    <w:p w:rsidR="00222D78" w:rsidRDefault="00222D78">
      <w:pPr>
        <w:spacing w:before="120" w:after="120"/>
        <w:jc w:val="both"/>
        <w:rPr>
          <w:rFonts w:ascii="Times New Roman" w:eastAsia="Times New Roman" w:hAnsi="Times New Roman" w:cs="Times New Roman"/>
          <w:noProof/>
          <w:sz w:val="20"/>
          <w:szCs w:val="20"/>
          <w:lang w:val="nl-NL"/>
        </w:rPr>
      </w:pPr>
    </w:p>
    <w:p w:rsidR="00222D78" w:rsidRDefault="00E65635">
      <w:pPr>
        <w:rPr>
          <w:rFonts w:ascii="Times New Roman" w:eastAsia="Times New Roman" w:hAnsi="Times New Roman" w:cs="Times New Roman"/>
          <w:b/>
          <w:noProof/>
          <w:lang w:val="nl-NL"/>
        </w:rPr>
      </w:pPr>
      <w:r>
        <w:rPr>
          <w:noProof/>
          <w:lang w:val="nl-NL"/>
        </w:rPr>
        <w:br w:type="page"/>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meerderheid van EU-lidstaten vertoont een toena</w:t>
      </w:r>
      <w:r>
        <w:rPr>
          <w:rFonts w:ascii="Times New Roman" w:hAnsi="Times New Roman"/>
          <w:b/>
          <w:noProof/>
          <w:lang w:val="nl-NL"/>
        </w:rPr>
        <w:t>me van het exportmarktaandeel, maar dit wordt kleiner</w:t>
      </w:r>
      <w:r>
        <w:rPr>
          <w:rFonts w:ascii="Times New Roman" w:hAnsi="Times New Roman"/>
          <w:noProof/>
          <w:lang w:val="nl-NL"/>
        </w:rPr>
        <w:t>. De gecumuleerde mutatie in exportmarktaandeel over 5 jaar in 2017 is in de meeste EU-lidstaten positief, en slechts in één land (Griekenland) lag de daling van de exportmarktaandelen boven de scorebord</w:t>
      </w:r>
      <w:r>
        <w:rPr>
          <w:rFonts w:ascii="Times New Roman" w:hAnsi="Times New Roman"/>
          <w:noProof/>
          <w:lang w:val="nl-NL"/>
        </w:rPr>
        <w:t>drempel. Uit recentere gegevens blijkt een gedifferentieerd beeld, waarbij de stijgingen in 2017 nog steeds overheersen, maar gematigder worden tegen de achtergrond van de appreciatie van de euro en een minder ondersteunende grondstoffenprijzendynamiek. Te</w:t>
      </w:r>
      <w:r>
        <w:rPr>
          <w:rFonts w:ascii="Times New Roman" w:hAnsi="Times New Roman"/>
          <w:noProof/>
          <w:lang w:val="nl-NL"/>
        </w:rPr>
        <w:t>gelijk herstelde de exportactiviteit van de EU-landen zich voort in 2017, maar kwam de exportgroei van andere economieën dicht in de buurt van die van de EU in 2017 en versnelde deze ten opzichte van de voorgaande jaren</w:t>
      </w:r>
      <w:r>
        <w:rPr>
          <w:rStyle w:val="FootnoteReference"/>
          <w:rFonts w:ascii="Times New Roman" w:hAnsi="Times New Roman"/>
          <w:noProof/>
        </w:rPr>
        <w:footnoteReference w:id="23"/>
      </w:r>
      <w:r>
        <w:rPr>
          <w:noProof/>
          <w:lang w:val="nl-NL"/>
        </w:rPr>
        <w:t>.</w:t>
      </w:r>
    </w:p>
    <w:p w:rsidR="00222D78" w:rsidRDefault="00E65635">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nl-NL"/>
        </w:rPr>
      </w:pPr>
      <w:r>
        <w:rPr>
          <w:rFonts w:ascii="Times New Roman" w:hAnsi="Times New Roman"/>
          <w:noProof/>
          <w:lang w:val="nl-NL"/>
        </w:rPr>
        <w:t>De algemene positieve trend van de</w:t>
      </w:r>
      <w:r>
        <w:rPr>
          <w:rFonts w:ascii="Times New Roman" w:hAnsi="Times New Roman"/>
          <w:noProof/>
          <w:lang w:val="nl-NL"/>
        </w:rPr>
        <w:t xml:space="preserve"> exportmarktaandelen voor de EU in het verleden werd in de hand gewerkt door een na inzinking herstellende exportvraag binnen de EU en stijgingen van het concurrentievermogen zoals hierboven geëvalueerd. </w:t>
      </w:r>
      <w:r>
        <w:rPr>
          <w:rFonts w:ascii="Times New Roman" w:hAnsi="Times New Roman"/>
          <w:b/>
          <w:noProof/>
          <w:lang w:val="nl-NL"/>
        </w:rPr>
        <w:t>De stijging van de marktaandelen was over het algeme</w:t>
      </w:r>
      <w:r>
        <w:rPr>
          <w:rFonts w:ascii="Times New Roman" w:hAnsi="Times New Roman"/>
          <w:b/>
          <w:noProof/>
          <w:lang w:val="nl-NL"/>
        </w:rPr>
        <w:t>en meer uitgesproken in de nettodebiteurlanden en in de landen van Midden- en sommige landen van Oost-Europa</w:t>
      </w:r>
      <w:r>
        <w:rPr>
          <w:rFonts w:ascii="Times New Roman" w:hAnsi="Times New Roman"/>
          <w:noProof/>
          <w:lang w:val="nl-NL"/>
        </w:rPr>
        <w:t>, hetgeen betekent dat een sterkere toename van het concurrentievermogen in deze landen zich meestal eveneens vertaalde in een voordeel in termen va</w:t>
      </w:r>
      <w:r>
        <w:rPr>
          <w:rFonts w:ascii="Times New Roman" w:hAnsi="Times New Roman"/>
          <w:noProof/>
          <w:lang w:val="nl-NL"/>
        </w:rPr>
        <w:t xml:space="preserve">n exportpenetratie. </w:t>
      </w:r>
    </w:p>
    <w:p w:rsidR="00222D78" w:rsidRDefault="00E65635">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nl-NL"/>
        </w:rPr>
      </w:pPr>
      <w:r>
        <w:rPr>
          <w:rFonts w:ascii="Times New Roman" w:hAnsi="Times New Roman"/>
          <w:noProof/>
          <w:lang w:val="nl-NL"/>
        </w:rPr>
        <w:t xml:space="preserve">Uit recentere gegevens over de jaarlijkse mutaties in marktaandelen blijkt dat deze in 2016 stegen en dat de resultaten voor 2017 over het algemeen gematigder waren (grafiek 10). </w:t>
      </w:r>
      <w:r>
        <w:rPr>
          <w:rFonts w:ascii="Times New Roman" w:hAnsi="Times New Roman"/>
          <w:b/>
          <w:noProof/>
          <w:lang w:val="nl-NL"/>
        </w:rPr>
        <w:t>In 2017 zijn de stijgingen in bijna alle EU-lidstaten ge</w:t>
      </w:r>
      <w:r>
        <w:rPr>
          <w:rFonts w:ascii="Times New Roman" w:hAnsi="Times New Roman"/>
          <w:b/>
          <w:noProof/>
          <w:lang w:val="nl-NL"/>
        </w:rPr>
        <w:t>matigder geworden</w:t>
      </w:r>
      <w:r>
        <w:rPr>
          <w:rFonts w:ascii="Times New Roman" w:hAnsi="Times New Roman"/>
          <w:noProof/>
          <w:lang w:val="nl-NL"/>
        </w:rPr>
        <w:t>, terwijl Griekenland en Litouwen sterkere stijgingen vertoonden, een afspiegeling van een ommekeer van eerdere grote verliezen.</w:t>
      </w:r>
    </w:p>
    <w:p w:rsidR="00222D78" w:rsidRDefault="00222D78">
      <w:pPr>
        <w:spacing w:before="120" w:after="120"/>
        <w:jc w:val="center"/>
        <w:rPr>
          <w:rFonts w:ascii="Times New Roman" w:eastAsia="Times New Roman" w:hAnsi="Times New Roman" w:cs="Times New Roman"/>
          <w:b/>
          <w:noProof/>
          <w:sz w:val="24"/>
          <w:szCs w:val="24"/>
          <w:lang w:val="nl-NL"/>
        </w:rPr>
      </w:pPr>
    </w:p>
    <w:p w:rsidR="00222D78" w:rsidRDefault="00E65635">
      <w:pPr>
        <w:keepNext/>
        <w:spacing w:before="120" w:after="120"/>
        <w:jc w:val="center"/>
        <w:rPr>
          <w:rFonts w:ascii="Times New Roman" w:eastAsia="MS Mincho" w:hAnsi="Times New Roman" w:cs="Times New Roman"/>
          <w:b/>
          <w:bCs/>
          <w:noProof/>
          <w:lang w:val="nl-NL"/>
        </w:rPr>
      </w:pPr>
      <w:r>
        <w:rPr>
          <w:rFonts w:ascii="Times New Roman" w:hAnsi="Times New Roman"/>
          <w:b/>
          <w:noProof/>
          <w:lang w:val="nl-NL"/>
        </w:rPr>
        <w:t>Grafiek 10: Mutatie in exportmarktaandelen, jongste jaren</w:t>
      </w:r>
    </w:p>
    <w:p w:rsidR="00222D78" w:rsidRDefault="00E65635">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5245100" cy="29762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100" cy="2976245"/>
                    </a:xfrm>
                    <a:prstGeom prst="rect">
                      <a:avLst/>
                    </a:prstGeom>
                    <a:noFill/>
                    <a:ln>
                      <a:noFill/>
                    </a:ln>
                  </pic:spPr>
                </pic:pic>
              </a:graphicData>
            </a:graphic>
          </wp:inline>
        </w:drawing>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Eurostat, berekeningen van de diensten van de Commissie.</w:t>
      </w:r>
    </w:p>
    <w:p w:rsidR="00222D78" w:rsidRDefault="00E65635">
      <w:pPr>
        <w:spacing w:after="0"/>
        <w:jc w:val="both"/>
        <w:rPr>
          <w:rFonts w:ascii="Times New Roman" w:eastAsia="Times New Roman" w:hAnsi="Times New Roman" w:cs="Times New Roman"/>
          <w:i/>
          <w:noProof/>
          <w:sz w:val="20"/>
          <w:szCs w:val="20"/>
          <w:lang w:val="nl-NL"/>
        </w:rPr>
      </w:pPr>
      <w:r>
        <w:rPr>
          <w:rFonts w:ascii="Times New Roman" w:hAnsi="Times New Roman"/>
          <w:i/>
          <w:noProof/>
          <w:sz w:val="20"/>
          <w:lang w:val="nl-NL"/>
        </w:rPr>
        <w:t xml:space="preserve">Noot: </w:t>
      </w:r>
      <w:r>
        <w:rPr>
          <w:rFonts w:ascii="Times New Roman" w:hAnsi="Times New Roman"/>
          <w:noProof/>
          <w:sz w:val="20"/>
          <w:lang w:val="nl-NL"/>
        </w:rPr>
        <w:t>Landen worden gepresenteerd in oplopende volgorde van jaarlijkse variatie van exportmarktaandelen in 2017.</w:t>
      </w:r>
    </w:p>
    <w:p w:rsidR="00222D78" w:rsidRDefault="00E65635">
      <w:pPr>
        <w:rPr>
          <w:rFonts w:ascii="Times New Roman" w:eastAsia="Times New Roman" w:hAnsi="Times New Roman" w:cs="Times New Roman"/>
          <w:i/>
          <w:noProof/>
          <w:sz w:val="20"/>
          <w:szCs w:val="20"/>
          <w:lang w:val="nl-NL"/>
        </w:rPr>
      </w:pPr>
      <w:r>
        <w:rPr>
          <w:noProof/>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222D78">
        <w:tc>
          <w:tcPr>
            <w:tcW w:w="9288" w:type="dxa"/>
            <w:shd w:val="clear" w:color="auto" w:fill="BFBFBF" w:themeFill="background1" w:themeFillShade="BF"/>
          </w:tcPr>
          <w:p w:rsidR="00222D78" w:rsidRDefault="00E65635">
            <w:pPr>
              <w:jc w:val="both"/>
              <w:rPr>
                <w:rFonts w:ascii="Times New Roman" w:hAnsi="Times New Roman" w:cs="Times New Roman"/>
                <w:b/>
                <w:i/>
                <w:noProof/>
                <w:lang w:val="nl-NL"/>
              </w:rPr>
            </w:pPr>
            <w:r>
              <w:rPr>
                <w:noProof/>
                <w:lang w:val="nl-NL"/>
              </w:rPr>
              <w:br w:type="page"/>
            </w:r>
            <w:r>
              <w:rPr>
                <w:noProof/>
                <w:lang w:val="nl-NL"/>
              </w:rPr>
              <w:br w:type="page"/>
            </w:r>
            <w:r>
              <w:rPr>
                <w:noProof/>
                <w:lang w:val="nl-NL"/>
              </w:rPr>
              <w:br w:type="page"/>
            </w:r>
            <w:r>
              <w:rPr>
                <w:rFonts w:ascii="Times New Roman" w:hAnsi="Times New Roman"/>
                <w:b/>
                <w:i/>
                <w:noProof/>
                <w:lang w:val="nl-NL"/>
              </w:rPr>
              <w:t>Kader 2: De eurozone-dimensie van macro-economische onevenwichtigheden</w:t>
            </w:r>
          </w:p>
          <w:p w:rsidR="00222D78" w:rsidRDefault="00E65635">
            <w:pPr>
              <w:jc w:val="both"/>
              <w:rPr>
                <w:rFonts w:ascii="Times New Roman" w:hAnsi="Times New Roman" w:cs="Times New Roman"/>
                <w:noProof/>
                <w:lang w:val="nl-NL"/>
              </w:rPr>
            </w:pPr>
            <w:r>
              <w:rPr>
                <w:rFonts w:ascii="Times New Roman" w:hAnsi="Times New Roman"/>
                <w:b/>
                <w:noProof/>
                <w:lang w:val="nl-NL"/>
              </w:rPr>
              <w:t xml:space="preserve">De lopende rekening van de eurozone heeft zich op zeer hoge niveaus gestabiliseerd. </w:t>
            </w:r>
            <w:r>
              <w:rPr>
                <w:rFonts w:ascii="Times New Roman" w:hAnsi="Times New Roman"/>
                <w:noProof/>
                <w:lang w:val="nl-NL"/>
              </w:rPr>
              <w:t>Het saldo op de lopende rekening van de eurozone is na de crisis van 2008 en tot 2016 zichtbaar toegenomen. Sindsdien is de waarde ervan gestabiliseerd op ongeveer 3,2 % va</w:t>
            </w:r>
            <w:r>
              <w:rPr>
                <w:rFonts w:ascii="Times New Roman" w:hAnsi="Times New Roman"/>
                <w:noProof/>
                <w:lang w:val="nl-NL"/>
              </w:rPr>
              <w:t>n het bbp in 2016 en 2017, dit op basis van betalingsbalansstatistieken</w:t>
            </w:r>
            <w:r>
              <w:rPr>
                <w:rStyle w:val="FootnoteReference"/>
                <w:rFonts w:ascii="Times New Roman" w:hAnsi="Times New Roman"/>
                <w:noProof/>
              </w:rPr>
              <w:footnoteReference w:id="24"/>
            </w:r>
            <w:r>
              <w:rPr>
                <w:noProof/>
                <w:lang w:val="nl-NL"/>
              </w:rPr>
              <w:t>.</w:t>
            </w:r>
            <w:r>
              <w:rPr>
                <w:rFonts w:ascii="Times New Roman" w:hAnsi="Times New Roman"/>
                <w:noProof/>
                <w:lang w:val="nl-NL"/>
              </w:rPr>
              <w:t xml:space="preserve"> Het overschot op de lopende rekening van de eurozone blijft het grootste ter wereld en ligt naar schatting boven de waarde die op basis van de economische fundamentals zou worden ver</w:t>
            </w:r>
            <w:r>
              <w:rPr>
                <w:rFonts w:ascii="Times New Roman" w:hAnsi="Times New Roman"/>
                <w:noProof/>
                <w:lang w:val="nl-NL"/>
              </w:rPr>
              <w:t>wacht (ongeveer 1,5% van het bbp van de eurozone)</w:t>
            </w:r>
            <w:r>
              <w:rPr>
                <w:rStyle w:val="FootnoteReference"/>
                <w:rFonts w:ascii="Times New Roman" w:hAnsi="Times New Roman"/>
                <w:noProof/>
              </w:rPr>
              <w:footnoteReference w:id="25"/>
            </w:r>
            <w:r>
              <w:rPr>
                <w:noProof/>
                <w:lang w:val="nl-NL"/>
              </w:rPr>
              <w:t>.</w:t>
            </w:r>
            <w:r>
              <w:rPr>
                <w:rFonts w:ascii="Times New Roman" w:hAnsi="Times New Roman"/>
                <w:noProof/>
                <w:lang w:val="nl-NL"/>
              </w:rPr>
              <w:t xml:space="preserve"> Bij ongewijzigd beleid zal het overschot op de lopende rekening van de eurozone volgens de najaarsprognoses 2018 van de Europese Commissie tegen 2020 naar verwachting iets teruglopen</w:t>
            </w:r>
            <w:r>
              <w:rPr>
                <w:rStyle w:val="FootnoteReference"/>
                <w:rFonts w:ascii="Times New Roman" w:hAnsi="Times New Roman"/>
                <w:noProof/>
              </w:rPr>
              <w:footnoteReference w:id="26"/>
            </w:r>
            <w:r>
              <w:rPr>
                <w:noProof/>
                <w:lang w:val="nl-NL"/>
              </w:rPr>
              <w:t>.</w:t>
            </w:r>
            <w:r>
              <w:rPr>
                <w:rFonts w:ascii="Times New Roman" w:hAnsi="Times New Roman"/>
                <w:noProof/>
                <w:lang w:val="nl-NL"/>
              </w:rPr>
              <w:t xml:space="preserve"> Factoren die zouden</w:t>
            </w:r>
            <w:r>
              <w:rPr>
                <w:rFonts w:ascii="Times New Roman" w:hAnsi="Times New Roman"/>
                <w:noProof/>
                <w:lang w:val="nl-NL"/>
              </w:rPr>
              <w:t xml:space="preserve"> kunnen bijdragen tot een daling van het overschot zijn onder meer een relatieve verzwakking van de conjuncturele omstandigheden in andere zones van de wereldeconomie, de ontwikkeling van de gevolgen van het restrictieve handelsbeleid en van de recente eff</w:t>
            </w:r>
            <w:r>
              <w:rPr>
                <w:rFonts w:ascii="Times New Roman" w:hAnsi="Times New Roman"/>
                <w:noProof/>
                <w:lang w:val="nl-NL"/>
              </w:rPr>
              <w:t>ectieve reële appreciatie van de euro, een mogelijke verdere appreciatie van de euro (onder meer in verband met de opwaartse marktdruk als gevolg van het aanhoudende grote externe overschot), of de voortzetting van de huidige trend naar hogere olieprijzen.</w:t>
            </w:r>
            <w:r>
              <w:rPr>
                <w:rFonts w:ascii="Times New Roman" w:hAnsi="Times New Roman"/>
                <w:noProof/>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222D78">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b/>
                      <w:noProof/>
                      <w:lang w:val="nl-NL"/>
                    </w:rPr>
                  </w:pPr>
                  <w:r>
                    <w:rPr>
                      <w:rFonts w:ascii="Times New Roman" w:hAnsi="Times New Roman"/>
                      <w:b/>
                      <w:noProof/>
                      <w:lang w:val="nl-NL"/>
                    </w:rPr>
                    <w:t xml:space="preserve">Grafiek B.1: Ontwikkeling van de lopende rekening van de eurozone: uitsplitsing naar land </w:t>
                  </w:r>
                </w:p>
              </w:tc>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b/>
                      <w:noProof/>
                      <w:lang w:val="nl-NL"/>
                    </w:rPr>
                  </w:pPr>
                  <w:r>
                    <w:rPr>
                      <w:rFonts w:ascii="Times New Roman" w:hAnsi="Times New Roman"/>
                      <w:b/>
                      <w:noProof/>
                      <w:lang w:val="nl-NL"/>
                    </w:rPr>
                    <w:t xml:space="preserve">Grafiek B.2: Ontwikkeling van de lopende rekening van de eurozone: uitsplitsing naar posten </w:t>
                  </w:r>
                </w:p>
              </w:tc>
            </w:tr>
            <w:tr w:rsidR="00222D78">
              <w:trPr>
                <w:trHeight w:val="3346"/>
              </w:trPr>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18440" cy="25336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8440" cy="25336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3675" cy="2533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533650"/>
                                </a:xfrm>
                                <a:prstGeom prst="rect">
                                  <a:avLst/>
                                </a:prstGeom>
                                <a:noFill/>
                                <a:ln>
                                  <a:noFill/>
                                </a:ln>
                              </pic:spPr>
                            </pic:pic>
                          </a:graphicData>
                        </a:graphic>
                      </wp:inline>
                    </w:drawing>
                  </w:r>
                </w:p>
              </w:tc>
            </w:tr>
            <w:tr w:rsidR="00222D78">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sz w:val="20"/>
                    </w:rPr>
                  </w:pPr>
                  <w:r>
                    <w:rPr>
                      <w:rFonts w:ascii="Times New Roman" w:hAnsi="Times New Roman"/>
                      <w:i/>
                      <w:noProof/>
                      <w:sz w:val="20"/>
                    </w:rPr>
                    <w:t>Bron:</w:t>
                  </w:r>
                  <w:r>
                    <w:rPr>
                      <w:rFonts w:ascii="Times New Roman" w:hAnsi="Times New Roman"/>
                      <w:noProof/>
                      <w:sz w:val="20"/>
                    </w:rPr>
                    <w:t xml:space="preserve"> AMECO, betalingsbalanscijfers.</w:t>
                  </w:r>
                </w:p>
              </w:tc>
              <w:tc>
                <w:tcPr>
                  <w:tcW w:w="4531" w:type="dxa"/>
                  <w:tcBorders>
                    <w:top w:val="nil"/>
                    <w:left w:val="nil"/>
                    <w:bottom w:val="nil"/>
                    <w:right w:val="nil"/>
                  </w:tcBorders>
                  <w:shd w:val="clear" w:color="auto" w:fill="auto"/>
                </w:tcPr>
                <w:p w:rsidR="00222D78" w:rsidRDefault="00E65635">
                  <w:pPr>
                    <w:spacing w:after="0"/>
                    <w:jc w:val="both"/>
                    <w:rPr>
                      <w:rFonts w:ascii="Times New Roman" w:hAnsi="Times New Roman" w:cs="Times New Roman"/>
                      <w:noProof/>
                      <w:sz w:val="20"/>
                      <w:lang w:val="nl-NL"/>
                    </w:rPr>
                  </w:pPr>
                  <w:r>
                    <w:rPr>
                      <w:rFonts w:ascii="Times New Roman" w:hAnsi="Times New Roman"/>
                      <w:i/>
                      <w:noProof/>
                      <w:sz w:val="20"/>
                      <w:lang w:val="nl-NL"/>
                    </w:rPr>
                    <w:t>Bron:</w:t>
                  </w:r>
                  <w:r>
                    <w:rPr>
                      <w:rFonts w:ascii="Times New Roman" w:hAnsi="Times New Roman"/>
                      <w:noProof/>
                      <w:sz w:val="20"/>
                      <w:lang w:val="nl-NL"/>
                    </w:rPr>
                    <w:t xml:space="preserve"> Eurostat, betalingsbalanscijfers. </w:t>
                  </w:r>
                </w:p>
                <w:p w:rsidR="00222D78" w:rsidRDefault="00E65635">
                  <w:pPr>
                    <w:spacing w:after="0"/>
                    <w:jc w:val="both"/>
                    <w:rPr>
                      <w:rFonts w:ascii="Times New Roman" w:hAnsi="Times New Roman" w:cs="Times New Roman"/>
                      <w:noProof/>
                      <w:sz w:val="20"/>
                      <w:lang w:val="nl-NL"/>
                    </w:rPr>
                  </w:pPr>
                  <w:r>
                    <w:rPr>
                      <w:rFonts w:ascii="Times New Roman" w:hAnsi="Times New Roman"/>
                      <w:i/>
                      <w:noProof/>
                      <w:sz w:val="20"/>
                      <w:lang w:val="nl-NL"/>
                    </w:rPr>
                    <w:t>Noot:</w:t>
                  </w:r>
                  <w:r>
                    <w:rPr>
                      <w:rFonts w:ascii="Times New Roman" w:hAnsi="Times New Roman"/>
                      <w:noProof/>
                      <w:sz w:val="20"/>
                      <w:lang w:val="nl-NL"/>
                    </w:rPr>
                    <w:t xml:space="preserve"> "18*" heeft betrekking op de gegevens over het voortschrijdend gemiddelde over de vier kwartalen tot 2018-KW2.</w:t>
                  </w:r>
                </w:p>
              </w:tc>
            </w:tr>
          </w:tbl>
          <w:p w:rsidR="00222D78" w:rsidRDefault="00222D78">
            <w:pPr>
              <w:spacing w:after="120"/>
              <w:jc w:val="both"/>
              <w:rPr>
                <w:rFonts w:ascii="Times New Roman" w:hAnsi="Times New Roman" w:cs="Times New Roman"/>
                <w:b/>
                <w:noProof/>
                <w:lang w:val="nl-NL"/>
              </w:rPr>
            </w:pPr>
          </w:p>
          <w:p w:rsidR="00222D78" w:rsidRDefault="00222D78">
            <w:pPr>
              <w:spacing w:after="120"/>
              <w:jc w:val="both"/>
              <w:rPr>
                <w:rFonts w:ascii="Times New Roman" w:hAnsi="Times New Roman" w:cs="Times New Roman"/>
                <w:b/>
                <w:noProof/>
                <w:lang w:val="nl-NL"/>
              </w:rPr>
            </w:pPr>
          </w:p>
          <w:p w:rsidR="00222D78" w:rsidRDefault="00E65635">
            <w:pPr>
              <w:spacing w:after="120"/>
              <w:jc w:val="both"/>
              <w:rPr>
                <w:rFonts w:ascii="Times New Roman" w:hAnsi="Times New Roman" w:cs="Times New Roman"/>
                <w:noProof/>
                <w:lang w:val="nl-NL"/>
              </w:rPr>
            </w:pPr>
            <w:r>
              <w:rPr>
                <w:rFonts w:ascii="Times New Roman" w:hAnsi="Times New Roman"/>
                <w:b/>
                <w:noProof/>
                <w:lang w:val="nl-NL"/>
              </w:rPr>
              <w:t xml:space="preserve">De opbouw van het overschot van de eurozone weerspiegelt de correctie van de lopende rekeningen die </w:t>
            </w:r>
            <w:r>
              <w:rPr>
                <w:rFonts w:ascii="Times New Roman" w:hAnsi="Times New Roman"/>
                <w:b/>
                <w:noProof/>
                <w:lang w:val="nl-NL"/>
              </w:rPr>
              <w:t>voorheen een tekort vertoonden, in combinatie met het aanhouden van grote overschotten</w:t>
            </w:r>
            <w:r>
              <w:rPr>
                <w:rFonts w:ascii="Times New Roman" w:hAnsi="Times New Roman"/>
                <w:noProof/>
                <w:lang w:val="nl-NL"/>
              </w:rPr>
              <w:t xml:space="preserve"> De positie van de lopende rekening van de eurozone was vóór 2008 over het algemeen in evenwicht, vertoonde in dat jaar een tekort tegen de achtergrond van een sterke dal</w:t>
            </w:r>
            <w:r>
              <w:rPr>
                <w:rFonts w:ascii="Times New Roman" w:hAnsi="Times New Roman"/>
                <w:noProof/>
                <w:lang w:val="nl-NL"/>
              </w:rPr>
              <w:t>ing van de mondiale exportvraag, en is na de financiële crisis van 2008 omgeslagen in een overschot, voornamelijk in het licht van de scherpe correctie van grote tekorten na een omslag in de private grensoverschrijdende financiële stromen (grafiek B.1). He</w:t>
            </w:r>
            <w:r>
              <w:rPr>
                <w:rFonts w:ascii="Times New Roman" w:hAnsi="Times New Roman"/>
                <w:noProof/>
                <w:lang w:val="nl-NL"/>
              </w:rPr>
              <w:t>t overschot nam na 2011 verder toe met de uitbreiding van de schuldencrisis naar Spanje en Italië en de daaruit voortvloeiende inkrimping van de binnenlandse vraag, waardoor het saldo op de lopende rekening van deze landen is omgeslagen in een overschot. S</w:t>
            </w:r>
            <w:r>
              <w:rPr>
                <w:rFonts w:ascii="Times New Roman" w:hAnsi="Times New Roman"/>
                <w:noProof/>
                <w:lang w:val="nl-NL"/>
              </w:rPr>
              <w:t>inds 2011 is ook het grote overschot op de lopende rekening van Duitsland geleidelijk toegenomen. Momenteel is het overschot op de lopende rekening van de eurozone vooral het resultaat van grote overschotten voor Duitsland en Nederland, waarvan de gecombin</w:t>
            </w:r>
            <w:r>
              <w:rPr>
                <w:rFonts w:ascii="Times New Roman" w:hAnsi="Times New Roman"/>
                <w:noProof/>
                <w:lang w:val="nl-NL"/>
              </w:rPr>
              <w:t xml:space="preserve">eerde externe posities het grootste deel van het eurozoneoverschot uitmaken (grafiek B.1). Sinds 2016 houdt de geleidelijke daling van het overschot op de Duitse lopende rekening verband met de stabilisatie van het overschot van de eurozone. </w:t>
            </w:r>
          </w:p>
          <w:p w:rsidR="00222D78" w:rsidRDefault="00E65635">
            <w:pPr>
              <w:spacing w:after="120"/>
              <w:jc w:val="both"/>
              <w:rPr>
                <w:rFonts w:ascii="Times New Roman" w:hAnsi="Times New Roman" w:cs="Times New Roman"/>
                <w:noProof/>
                <w:lang w:val="nl-NL"/>
              </w:rPr>
            </w:pPr>
            <w:r>
              <w:rPr>
                <w:rFonts w:ascii="Times New Roman" w:hAnsi="Times New Roman"/>
                <w:b/>
                <w:noProof/>
                <w:lang w:val="nl-NL"/>
              </w:rPr>
              <w:t>De recente on</w:t>
            </w:r>
            <w:r>
              <w:rPr>
                <w:rFonts w:ascii="Times New Roman" w:hAnsi="Times New Roman"/>
                <w:b/>
                <w:noProof/>
                <w:lang w:val="nl-NL"/>
              </w:rPr>
              <w:t xml:space="preserve">twikkeling van de lopende rekening van de eurozone hield voornamelijk verband met het energie-, inkomens- en dienstensaldo. </w:t>
            </w:r>
            <w:r>
              <w:rPr>
                <w:rFonts w:ascii="Times New Roman" w:hAnsi="Times New Roman"/>
                <w:noProof/>
                <w:lang w:val="nl-NL"/>
              </w:rPr>
              <w:t>Het saldo van de niet-energetische goederen vertoonde een verbetering in de nasleep van de financiële crisis, hetgeen een afspiegeli</w:t>
            </w:r>
            <w:r>
              <w:rPr>
                <w:rFonts w:ascii="Times New Roman" w:hAnsi="Times New Roman"/>
                <w:noProof/>
                <w:lang w:val="nl-NL"/>
              </w:rPr>
              <w:t>ng was van de relatief zwakke conjuncturele positie van de eurozone in vergelijking met andere zones in de wereld, en verantwoordelijk was voor het grootste deel van de verbetering van de lopende rekening (grafiek B.2). Consistent hiermee liet het conjunct</w:t>
            </w:r>
            <w:r>
              <w:rPr>
                <w:rFonts w:ascii="Times New Roman" w:hAnsi="Times New Roman"/>
                <w:noProof/>
                <w:lang w:val="nl-NL"/>
              </w:rPr>
              <w:t>uurgezuiverde saldo op de lopende rekening van de eurozone over dezelfde periode een lichtere verbetering zien. Vanaf 2013 heeft het overschot van het goederensaldo zich in het licht van het herstel van de eurozoneoutput gestabiliseerd en is het slechts ze</w:t>
            </w:r>
            <w:r>
              <w:rPr>
                <w:rFonts w:ascii="Times New Roman" w:hAnsi="Times New Roman"/>
                <w:noProof/>
                <w:lang w:val="nl-NL"/>
              </w:rPr>
              <w:t>er gematigd beginnen te krimpen bij een robuuste prestatie van de export in waarde en volume in vergelijking met andere ontwikkelde economieën</w:t>
            </w:r>
            <w:r>
              <w:rPr>
                <w:rStyle w:val="FootnoteReference"/>
                <w:rFonts w:ascii="Times New Roman" w:hAnsi="Times New Roman"/>
                <w:noProof/>
              </w:rPr>
              <w:footnoteReference w:id="27"/>
            </w:r>
            <w:r>
              <w:rPr>
                <w:noProof/>
                <w:lang w:val="nl-NL"/>
              </w:rPr>
              <w:t>.</w:t>
            </w:r>
            <w:r>
              <w:rPr>
                <w:rFonts w:ascii="Times New Roman" w:hAnsi="Times New Roman"/>
                <w:noProof/>
                <w:lang w:val="nl-NL"/>
              </w:rPr>
              <w:t xml:space="preserve"> Het gedrag van het energiesaldo na de crisis werd voornamelijk aangejaagd door schommelingen in de olieprijzen.</w:t>
            </w:r>
            <w:r>
              <w:rPr>
                <w:rFonts w:ascii="Times New Roman" w:hAnsi="Times New Roman"/>
                <w:noProof/>
                <w:lang w:val="nl-NL"/>
              </w:rPr>
              <w:t xml:space="preserve"> Na een sterke daling in 2008 herstelden de olieprijzen zich tussen 2009 en 2011 en daalden ze opnieuw tussen 2014 en 2016 en ondersteunden daarbij de variaties in de tegengestelde richting van het energiesaldo van de eurozone. Het herstel van de olieprijz</w:t>
            </w:r>
            <w:r>
              <w:rPr>
                <w:rFonts w:ascii="Times New Roman" w:hAnsi="Times New Roman"/>
                <w:noProof/>
                <w:lang w:val="nl-NL"/>
              </w:rPr>
              <w:t>en, dat medio 2016 is ingezet, ligt aan de basis van de verslechtering van het energiesaldo sedertdien</w:t>
            </w:r>
            <w:r>
              <w:rPr>
                <w:rStyle w:val="FootnoteReference"/>
                <w:rFonts w:ascii="Times New Roman" w:hAnsi="Times New Roman"/>
                <w:noProof/>
              </w:rPr>
              <w:footnoteReference w:id="28"/>
            </w:r>
            <w:r>
              <w:rPr>
                <w:noProof/>
                <w:lang w:val="nl-NL"/>
              </w:rPr>
              <w:t>.</w:t>
            </w:r>
            <w:r>
              <w:rPr>
                <w:rFonts w:ascii="Times New Roman" w:hAnsi="Times New Roman"/>
                <w:noProof/>
                <w:lang w:val="nl-NL"/>
              </w:rPr>
              <w:t xml:space="preserve"> De negatieve bijdrage van het energiesaldo aan het overschot van de eurozone sinds 2016 werd gecompenseerd door een verbetering van het dienstensaldo. </w:t>
            </w:r>
            <w:r>
              <w:rPr>
                <w:rFonts w:ascii="Times New Roman" w:hAnsi="Times New Roman"/>
                <w:noProof/>
                <w:lang w:val="nl-NL"/>
              </w:rPr>
              <w:t>Het inkomenssaldo blijft, ondanks de verbetering van het kapitaalinkomenssaldo in verband met een positieve en groeiende NIIP op het geaggregeerde eurozoneniveau, negatief en is in 2017 verslechterd in het licht van de dynamiek van het nettobedrijfsinkomen</w:t>
            </w:r>
            <w:r>
              <w:rPr>
                <w:rFonts w:ascii="Times New Roman" w:hAnsi="Times New Roman"/>
                <w:noProof/>
                <w:lang w:val="nl-NL"/>
              </w:rPr>
              <w:t xml:space="preserve">. </w:t>
            </w:r>
          </w:p>
          <w:p w:rsidR="00222D78" w:rsidRDefault="00E65635">
            <w:pPr>
              <w:spacing w:after="120"/>
              <w:jc w:val="both"/>
              <w:rPr>
                <w:rFonts w:ascii="Times New Roman" w:hAnsi="Times New Roman" w:cs="Times New Roman"/>
                <w:noProof/>
              </w:rPr>
            </w:pPr>
            <w:r>
              <w:rPr>
                <w:rFonts w:ascii="Times New Roman" w:hAnsi="Times New Roman"/>
                <w:b/>
                <w:noProof/>
                <w:lang w:val="nl-NL"/>
              </w:rPr>
              <w:t>De dynamiek van het eurozoneoverschot houdt verband met een binnenlandse vraag die achterblijft bij die van de economische activiteit, en een aanhoudende exportvraag die bouwt op een ondersteunende mondiale vraag naar Europese goederen en diensten en op</w:t>
            </w:r>
            <w:r>
              <w:rPr>
                <w:rFonts w:ascii="Times New Roman" w:hAnsi="Times New Roman"/>
                <w:b/>
                <w:noProof/>
                <w:lang w:val="nl-NL"/>
              </w:rPr>
              <w:t xml:space="preserve"> een verbeterde concurrentiepositie. </w:t>
            </w:r>
            <w:r>
              <w:rPr>
                <w:rFonts w:ascii="Times New Roman" w:hAnsi="Times New Roman"/>
                <w:noProof/>
                <w:lang w:val="nl-NL"/>
              </w:rPr>
              <w:t>Het verschil tussen geaggregeerde inkomens en bestedingen, dat overeenkomt met de netto-uitvoer, is sinds de financiële crisis van 2008 tot 2016 groter geworden (zie grafiek B.3). Bij het uitbreken van de crisis weerspi</w:t>
            </w:r>
            <w:r>
              <w:rPr>
                <w:rFonts w:ascii="Times New Roman" w:hAnsi="Times New Roman"/>
                <w:noProof/>
                <w:lang w:val="nl-NL"/>
              </w:rPr>
              <w:t>egelde de getemperde vraagdynamiek een grootschalig proces van deleveraging door de private sector, met name in nettodebiteurlanden die te maken hebben met plotselinge onderbrekingen op de lopende rekening, terwijl het toegenomen vorderingentekort van de o</w:t>
            </w:r>
            <w:r>
              <w:rPr>
                <w:rFonts w:ascii="Times New Roman" w:hAnsi="Times New Roman"/>
                <w:noProof/>
                <w:lang w:val="nl-NL"/>
              </w:rPr>
              <w:t>verheidssector de impact van de crisis op de inkomens hielp op te vangen (grafiek B.4). Na de verergering van de schuldencrisis in de eurozone in 2011 is ook in de overheidssector een begin gemaakt met deleveraging, die sindsdien de grootste bijdrage heeft</w:t>
            </w:r>
            <w:r>
              <w:rPr>
                <w:rFonts w:ascii="Times New Roman" w:hAnsi="Times New Roman"/>
                <w:noProof/>
                <w:lang w:val="nl-NL"/>
              </w:rPr>
              <w:t xml:space="preserve"> geleverd aan de stijging van de totale vorderingenoverschotpositie van de eurozone. De vorderingenoverschotcijfers voor de sector huishoudens zijn momenteel twee keer zo hoog als vóór de crisis en niet-financiële vennootschappen, die normaal gesproken vor</w:t>
            </w:r>
            <w:r>
              <w:rPr>
                <w:rFonts w:ascii="Times New Roman" w:hAnsi="Times New Roman"/>
                <w:noProof/>
                <w:lang w:val="nl-NL"/>
              </w:rPr>
              <w:t>deringentekortbehoeften vertonen, vertonen sinds 2013 een positieve vorderingenoverschotpositie. Het vorderingenoverschot van de overheid blijft negatief en heeft pas onlangs niveaus bereikt die consistent zijn met dalende overheidsschuldratio's in de mees</w:t>
            </w:r>
            <w:r>
              <w:rPr>
                <w:rFonts w:ascii="Times New Roman" w:hAnsi="Times New Roman"/>
                <w:noProof/>
                <w:lang w:val="nl-NL"/>
              </w:rPr>
              <w:t xml:space="preserve">te landen van de eurozone. Ondanks actieve deleveraging impliceerde de aanhoudende stagnatie van het nominale bbp na de crisis dat de schuldquotes in een aantal landen van de eurozone historisch hoog bleven voor huishoudens, bedrijven en overheden. </w:t>
            </w:r>
            <w:r>
              <w:rPr>
                <w:rFonts w:ascii="Times New Roman" w:hAnsi="Times New Roman"/>
                <w:noProof/>
              </w:rPr>
              <w:t>Delever</w:t>
            </w:r>
            <w:r>
              <w:rPr>
                <w:rFonts w:ascii="Times New Roman" w:hAnsi="Times New Roman"/>
                <w:noProof/>
              </w:rPr>
              <w:t>aging vindt momenteel plaats onder gunstige economische omstandigheden.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222D78">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b/>
                      <w:noProof/>
                      <w:lang w:val="nl-NL"/>
                    </w:rPr>
                  </w:pPr>
                  <w:r>
                    <w:rPr>
                      <w:rFonts w:ascii="Times New Roman" w:hAnsi="Times New Roman"/>
                      <w:b/>
                      <w:noProof/>
                      <w:lang w:val="nl-NL"/>
                    </w:rPr>
                    <w:t>Grafiek B.3: Output, binnenlandse vraag, netto-uitvoer en kerninflatie in de eurozone</w:t>
                  </w:r>
                </w:p>
              </w:tc>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b/>
                      <w:noProof/>
                      <w:lang w:val="nl-NL"/>
                    </w:rPr>
                  </w:pPr>
                  <w:r>
                    <w:rPr>
                      <w:rFonts w:ascii="Times New Roman" w:hAnsi="Times New Roman"/>
                      <w:b/>
                      <w:noProof/>
                      <w:lang w:val="nl-NL"/>
                    </w:rPr>
                    <w:t xml:space="preserve">Grafiek B.4: Vorderingenoverschot c.q. -tekort per sector in de eurozone </w:t>
                  </w:r>
                </w:p>
              </w:tc>
            </w:tr>
            <w:tr w:rsidR="00222D78">
              <w:trPr>
                <w:trHeight w:val="3406"/>
              </w:trPr>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18800" cy="248602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800" cy="248602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43200" cy="2486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tc>
            </w:tr>
            <w:tr w:rsidR="00222D78">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Bron:</w:t>
                  </w:r>
                  <w:r>
                    <w:rPr>
                      <w:rFonts w:ascii="Times New Roman" w:hAnsi="Times New Roman"/>
                      <w:noProof/>
                      <w:sz w:val="20"/>
                      <w:lang w:val="nl-NL"/>
                    </w:rPr>
                    <w:t xml:space="preserve"> AMECO</w:t>
                  </w:r>
                </w:p>
              </w:tc>
              <w:tc>
                <w:tcPr>
                  <w:tcW w:w="4531" w:type="dxa"/>
                  <w:tcBorders>
                    <w:top w:val="nil"/>
                    <w:left w:val="nil"/>
                    <w:bottom w:val="nil"/>
                    <w:right w:val="nil"/>
                  </w:tcBorders>
                  <w:shd w:val="clear" w:color="auto" w:fill="auto"/>
                </w:tcPr>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Bron:</w:t>
                  </w:r>
                  <w:r>
                    <w:rPr>
                      <w:rFonts w:ascii="Times New Roman" w:hAnsi="Times New Roman"/>
                      <w:noProof/>
                      <w:sz w:val="20"/>
                      <w:lang w:val="nl-NL"/>
                    </w:rPr>
                    <w:t xml:space="preserve"> Eurostat</w:t>
                  </w:r>
                </w:p>
              </w:tc>
            </w:tr>
          </w:tbl>
          <w:p w:rsidR="00222D78" w:rsidRDefault="00222D78">
            <w:pPr>
              <w:spacing w:after="120"/>
              <w:jc w:val="both"/>
              <w:rPr>
                <w:rFonts w:ascii="Times New Roman" w:hAnsi="Times New Roman" w:cs="Times New Roman"/>
                <w:b/>
                <w:noProof/>
                <w:lang w:val="nl-NL"/>
              </w:rPr>
            </w:pPr>
          </w:p>
          <w:p w:rsidR="00222D78" w:rsidRDefault="00E65635">
            <w:pPr>
              <w:spacing w:after="120"/>
              <w:jc w:val="both"/>
              <w:rPr>
                <w:rFonts w:ascii="Times New Roman" w:hAnsi="Times New Roman" w:cs="Times New Roman"/>
                <w:noProof/>
                <w:lang w:val="nl-NL"/>
              </w:rPr>
            </w:pPr>
            <w:r>
              <w:rPr>
                <w:rFonts w:ascii="Times New Roman" w:hAnsi="Times New Roman"/>
                <w:b/>
                <w:noProof/>
                <w:lang w:val="nl-NL"/>
              </w:rPr>
              <w:t xml:space="preserve">Uitdagingen blijven verband houden met aanhoudende standonevenwichtigheden, de duurzaamheid van de actuele economische expansie en de beperkte ruimte voor het opvangen van negatieve schokken in landen met een hoge schuld. </w:t>
            </w:r>
            <w:r>
              <w:rPr>
                <w:rFonts w:ascii="Times New Roman" w:hAnsi="Times New Roman"/>
                <w:noProof/>
                <w:lang w:val="nl-NL"/>
              </w:rPr>
              <w:t>Na bijna een decennium</w:t>
            </w:r>
            <w:r>
              <w:rPr>
                <w:rFonts w:ascii="Times New Roman" w:hAnsi="Times New Roman"/>
                <w:noProof/>
                <w:lang w:val="nl-NL"/>
              </w:rPr>
              <w:t xml:space="preserve"> van zwakke dynamiek herstelt de binnenlandse vraag in de eurozone zich, wordt de outputkloof positief en zal de inflatie naar verwachting geleidelijk het streefcijfer van de monetaire autoriteiten bereiken (grafiek B.3). De aan de gang zijnde expansie ond</w:t>
            </w:r>
            <w:r>
              <w:rPr>
                <w:rFonts w:ascii="Times New Roman" w:hAnsi="Times New Roman"/>
                <w:noProof/>
                <w:lang w:val="nl-NL"/>
              </w:rPr>
              <w:t>ersteunt de correctie van de standonevenwichtigheden, maar er doemen nog een aantal uitdagingen op. In de eerste plaats is er onzekerheid over de houdbaarheid van de huidige expansie, omdat de omstandigheden voor een duurzame groei niet altijd aanwezig zij</w:t>
            </w:r>
            <w:r>
              <w:rPr>
                <w:rFonts w:ascii="Times New Roman" w:hAnsi="Times New Roman"/>
                <w:noProof/>
                <w:lang w:val="nl-NL"/>
              </w:rPr>
              <w:t>n, met name in verband met hardnekkige investeringskloven, ontoereikende randvoorwaarden om de productiviteitsgroei te stimuleren, en onbenut menselijkkapitaalpotentieel</w:t>
            </w:r>
            <w:r>
              <w:rPr>
                <w:rStyle w:val="FootnoteReference"/>
                <w:rFonts w:ascii="Times New Roman" w:hAnsi="Times New Roman"/>
                <w:noProof/>
              </w:rPr>
              <w:footnoteReference w:id="29"/>
            </w:r>
            <w:r>
              <w:rPr>
                <w:noProof/>
                <w:lang w:val="nl-NL"/>
              </w:rPr>
              <w:t>.</w:t>
            </w:r>
            <w:r>
              <w:rPr>
                <w:rFonts w:ascii="Times New Roman" w:hAnsi="Times New Roman"/>
                <w:noProof/>
                <w:lang w:val="nl-NL"/>
              </w:rPr>
              <w:t xml:space="preserve"> In de tweede plaats is de herbalancering binnen de eurozone nog steeds onvolledig. L</w:t>
            </w:r>
            <w:r>
              <w:rPr>
                <w:rFonts w:ascii="Times New Roman" w:hAnsi="Times New Roman"/>
                <w:noProof/>
                <w:lang w:val="nl-NL"/>
              </w:rPr>
              <w:t>anden met grote tekorten in het verleden worden nog steeds gekenmerkt door een grote negatieve netto internationale investeringspositie in combinatie met hoge standen van private of overheidsschulden die kwetsbaarheden vertegenwoordigen. Bovendien zijn dez</w:t>
            </w:r>
            <w:r>
              <w:rPr>
                <w:rFonts w:ascii="Times New Roman" w:hAnsi="Times New Roman"/>
                <w:noProof/>
                <w:lang w:val="nl-NL"/>
              </w:rPr>
              <w:t>elfde landen die onder de hoge schuldenlast gebukt gaan over het algemeen ook de landen met relatief minder ruimte om op potentiële outputgroei te rekenen voor een daling van de schuldratio's, hetgeen betekent dat de ruimte voor private en publieke bespari</w:t>
            </w:r>
            <w:r>
              <w:rPr>
                <w:rFonts w:ascii="Times New Roman" w:hAnsi="Times New Roman"/>
                <w:noProof/>
                <w:lang w:val="nl-NL"/>
              </w:rPr>
              <w:t xml:space="preserve">ngen om negatieve outputschokken op te vangen waarschijnlijk beperkt zal zijn (grafiek B.6). </w:t>
            </w:r>
          </w:p>
          <w:p w:rsidR="00222D78" w:rsidRDefault="00E65635">
            <w:pPr>
              <w:spacing w:after="120"/>
              <w:jc w:val="both"/>
              <w:rPr>
                <w:rFonts w:ascii="Times New Roman" w:hAnsi="Times New Roman" w:cs="Times New Roman"/>
                <w:noProof/>
                <w:lang w:val="nl-NL"/>
              </w:rPr>
            </w:pPr>
            <w:r>
              <w:rPr>
                <w:rFonts w:ascii="Times New Roman" w:hAnsi="Times New Roman"/>
                <w:b/>
                <w:noProof/>
                <w:lang w:val="nl-NL"/>
              </w:rPr>
              <w:t>Symmetrische herbalancering in de eurozone zou bijdragen tot het herstel van duurzame groei en tegelijkertijd zorgen voor macro-economische stabiliteit in de toek</w:t>
            </w:r>
            <w:r>
              <w:rPr>
                <w:rFonts w:ascii="Times New Roman" w:hAnsi="Times New Roman"/>
                <w:b/>
                <w:noProof/>
                <w:lang w:val="nl-NL"/>
              </w:rPr>
              <w:t>omst</w:t>
            </w:r>
            <w:r>
              <w:rPr>
                <w:rFonts w:ascii="Times New Roman" w:hAnsi="Times New Roman"/>
                <w:noProof/>
                <w:lang w:val="nl-NL"/>
              </w:rPr>
              <w:t>. Er is een passende combinatie van beleidsmaatregelen nodig om ervoor te zorgen dat de groei in de toekomst duurzaam is en verenigbaar is met de macro-economische stabiliteit. In nettodebiteurlanden vereist het doen dalen van de hoge standen van buite</w:t>
            </w:r>
            <w:r>
              <w:rPr>
                <w:rFonts w:ascii="Times New Roman" w:hAnsi="Times New Roman"/>
                <w:noProof/>
                <w:lang w:val="nl-NL"/>
              </w:rPr>
              <w:t>nlandse en binnenlandse schuld het aanhouden van prudente saldi op de lopende rekening en het waarborgen van een passend tempo van schuldreductie met behoud van de doelstelling om het groeipotentieel te verhogen door middel van passende investeringen en he</w:t>
            </w:r>
            <w:r>
              <w:rPr>
                <w:rFonts w:ascii="Times New Roman" w:hAnsi="Times New Roman"/>
                <w:noProof/>
                <w:lang w:val="nl-NL"/>
              </w:rPr>
              <w:t xml:space="preserve">rvormingen en het risico te vermijden van procyclische verkrapping wanneer het slecht gaat. Verbetering van de productiviteitsvooruitzichten is met name nodig in nettodebiteurlanden, zowel voor de houdbaarheid van de schuldstanden als om de ontwikkelingen </w:t>
            </w:r>
            <w:r>
              <w:rPr>
                <w:rFonts w:ascii="Times New Roman" w:hAnsi="Times New Roman"/>
                <w:noProof/>
                <w:lang w:val="nl-NL"/>
              </w:rPr>
              <w:t>op het gebied van relatief concurrentievermogen meer ondersteunend te maken voor een herbalancering, in een context waarin de stijgingen van het relatieve concurrentievermogen van nettodebiteurlanden die in 2012 begonnen onlangs zijn afgenomen (grafiek B.5</w:t>
            </w:r>
            <w:r>
              <w:rPr>
                <w:rFonts w:ascii="Times New Roman" w:hAnsi="Times New Roman"/>
                <w:noProof/>
                <w:lang w:val="nl-NL"/>
              </w:rPr>
              <w:t>). Daarentegen zou een beleid ter bevordering van investeringen en het wegwerken van looninertie bijdragen tot het aanpakken van aanhoudende grote overschotten in nettocrediteurlanden en tegelijkertijd bijdragen tot de ondersteuning van het groeipotentieel</w:t>
            </w:r>
            <w:r>
              <w:rPr>
                <w:rFonts w:ascii="Times New Roman" w:hAnsi="Times New Roman"/>
                <w:noProof/>
                <w:lang w:val="nl-NL"/>
              </w:rPr>
              <w:t xml:space="preserve"> en zou het de groeivooruitzichten minder afhankelijk maken van de buitenlandse vraag.</w:t>
            </w:r>
          </w:p>
          <w:tbl>
            <w:tblPr>
              <w:tblW w:w="9214" w:type="dxa"/>
              <w:tblLayout w:type="fixed"/>
              <w:tblLook w:val="04A0" w:firstRow="1" w:lastRow="0" w:firstColumn="1" w:lastColumn="0" w:noHBand="0" w:noVBand="1"/>
            </w:tblPr>
            <w:tblGrid>
              <w:gridCol w:w="4536"/>
              <w:gridCol w:w="4429"/>
              <w:gridCol w:w="249"/>
            </w:tblGrid>
            <w:tr w:rsidR="00222D78" w:rsidRPr="00E65635">
              <w:tc>
                <w:tcPr>
                  <w:tcW w:w="4536" w:type="dxa"/>
                </w:tcPr>
                <w:p w:rsidR="00222D78" w:rsidRDefault="00E65635">
                  <w:pPr>
                    <w:jc w:val="both"/>
                    <w:rPr>
                      <w:rFonts w:ascii="Times New Roman" w:hAnsi="Times New Roman" w:cs="Times New Roman"/>
                      <w:b/>
                      <w:noProof/>
                      <w:lang w:val="nl-NL"/>
                    </w:rPr>
                  </w:pPr>
                  <w:r>
                    <w:rPr>
                      <w:rFonts w:ascii="Times New Roman" w:hAnsi="Times New Roman"/>
                      <w:b/>
                      <w:noProof/>
                      <w:lang w:val="nl-NL"/>
                    </w:rPr>
                    <w:t>Grafiek B.5: Herbalancering binnen de EZ (werkloosheidsgraad, loongroei en groei van de ULC)</w:t>
                  </w:r>
                </w:p>
              </w:tc>
              <w:tc>
                <w:tcPr>
                  <w:tcW w:w="4429" w:type="dxa"/>
                </w:tcPr>
                <w:p w:rsidR="00222D78" w:rsidRDefault="00E65635">
                  <w:pPr>
                    <w:jc w:val="both"/>
                    <w:rPr>
                      <w:rFonts w:ascii="Times New Roman" w:hAnsi="Times New Roman" w:cs="Times New Roman"/>
                      <w:b/>
                      <w:noProof/>
                      <w:lang w:val="nl-NL"/>
                    </w:rPr>
                  </w:pPr>
                  <w:r>
                    <w:rPr>
                      <w:rFonts w:ascii="Times New Roman" w:hAnsi="Times New Roman"/>
                      <w:b/>
                      <w:noProof/>
                      <w:lang w:val="nl-NL"/>
                    </w:rPr>
                    <w:t xml:space="preserve">Grafiek B.6: Schuld- en potentiële groeivooruitzichten in de landen van de </w:t>
                  </w:r>
                  <w:r>
                    <w:rPr>
                      <w:rFonts w:ascii="Times New Roman" w:hAnsi="Times New Roman"/>
                      <w:b/>
                      <w:noProof/>
                      <w:lang w:val="nl-NL"/>
                    </w:rPr>
                    <w:t>eurozone</w:t>
                  </w:r>
                </w:p>
              </w:tc>
              <w:tc>
                <w:tcPr>
                  <w:tcW w:w="249" w:type="dxa"/>
                </w:tcPr>
                <w:p w:rsidR="00222D78" w:rsidRDefault="00222D78">
                  <w:pPr>
                    <w:jc w:val="both"/>
                    <w:rPr>
                      <w:rFonts w:ascii="Times New Roman" w:hAnsi="Times New Roman" w:cs="Times New Roman"/>
                      <w:b/>
                      <w:noProof/>
                      <w:lang w:val="nl-NL"/>
                    </w:rPr>
                  </w:pPr>
                </w:p>
              </w:tc>
            </w:tr>
            <w:tr w:rsidR="00222D78">
              <w:tc>
                <w:tcPr>
                  <w:tcW w:w="4536" w:type="dxa"/>
                </w:tcPr>
                <w:tbl>
                  <w:tblPr>
                    <w:tblW w:w="4423" w:type="dxa"/>
                    <w:tblLayout w:type="fixed"/>
                    <w:tblLook w:val="04A0" w:firstRow="1" w:lastRow="0" w:firstColumn="1" w:lastColumn="0" w:noHBand="0" w:noVBand="1"/>
                  </w:tblPr>
                  <w:tblGrid>
                    <w:gridCol w:w="4423"/>
                  </w:tblGrid>
                  <w:tr w:rsidR="00222D78">
                    <w:tc>
                      <w:tcPr>
                        <w:tcW w:w="4423" w:type="dxa"/>
                        <w:tcBorders>
                          <w:top w:val="nil"/>
                          <w:left w:val="nil"/>
                          <w:bottom w:val="nil"/>
                          <w:right w:val="nil"/>
                        </w:tcBorders>
                      </w:tcPr>
                      <w:p w:rsidR="00222D78" w:rsidRDefault="00E65635">
                        <w:pPr>
                          <w:ind w:right="113"/>
                          <w:rPr>
                            <w:noProof/>
                          </w:rPr>
                        </w:pPr>
                        <w:r>
                          <w:rPr>
                            <w:noProof/>
                            <w:lang w:eastAsia="en-GB"/>
                          </w:rPr>
                          <w:drawing>
                            <wp:inline distT="0" distB="0" distL="0" distR="0">
                              <wp:extent cx="2667000" cy="2466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rsidR="00222D78" w:rsidRDefault="00222D78">
                  <w:pPr>
                    <w:jc w:val="both"/>
                    <w:rPr>
                      <w:rFonts w:ascii="Times New Roman" w:hAnsi="Times New Roman" w:cs="Times New Roman"/>
                      <w:noProof/>
                    </w:rPr>
                  </w:pPr>
                </w:p>
              </w:tc>
              <w:tc>
                <w:tcPr>
                  <w:tcW w:w="4429" w:type="dxa"/>
                </w:tcPr>
                <w:p w:rsidR="00222D78" w:rsidRDefault="00E65635">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29469" cy="24669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9469" cy="2466975"/>
                                </a:xfrm>
                                <a:prstGeom prst="rect">
                                  <a:avLst/>
                                </a:prstGeom>
                                <a:noFill/>
                                <a:ln>
                                  <a:noFill/>
                                </a:ln>
                              </pic:spPr>
                            </pic:pic>
                          </a:graphicData>
                        </a:graphic>
                      </wp:inline>
                    </w:drawing>
                  </w:r>
                </w:p>
              </w:tc>
              <w:tc>
                <w:tcPr>
                  <w:tcW w:w="249" w:type="dxa"/>
                </w:tcPr>
                <w:p w:rsidR="00222D78" w:rsidRDefault="00222D78">
                  <w:pPr>
                    <w:jc w:val="both"/>
                    <w:rPr>
                      <w:rFonts w:ascii="Times New Roman" w:hAnsi="Times New Roman" w:cs="Times New Roman"/>
                      <w:noProof/>
                    </w:rPr>
                  </w:pPr>
                </w:p>
              </w:tc>
            </w:tr>
            <w:tr w:rsidR="00222D78">
              <w:trPr>
                <w:gridAfter w:val="1"/>
                <w:wAfter w:w="249" w:type="dxa"/>
              </w:trPr>
              <w:tc>
                <w:tcPr>
                  <w:tcW w:w="4536" w:type="dxa"/>
                </w:tcPr>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Bron:</w:t>
                  </w:r>
                  <w:r>
                    <w:rPr>
                      <w:rFonts w:ascii="Times New Roman" w:hAnsi="Times New Roman"/>
                      <w:noProof/>
                      <w:sz w:val="20"/>
                      <w:lang w:val="nl-NL"/>
                    </w:rPr>
                    <w:t xml:space="preserve"> AMECO</w:t>
                  </w:r>
                </w:p>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Noot:</w:t>
                  </w:r>
                  <w:r>
                    <w:rPr>
                      <w:rFonts w:ascii="Times New Roman" w:hAnsi="Times New Roman"/>
                      <w:noProof/>
                      <w:sz w:val="20"/>
                      <w:lang w:val="nl-NL"/>
                    </w:rPr>
                    <w:t xml:space="preserve"> "Overschotlanden" zijn onder meer Oostenrijk, België, Finland, Duitsland, Luxemburg en Nederland; alle andere huidige leden van de eurozone worden beschouwd als "tekortlanden". </w:t>
                  </w:r>
                </w:p>
              </w:tc>
              <w:tc>
                <w:tcPr>
                  <w:tcW w:w="4429" w:type="dxa"/>
                </w:tcPr>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Bron:</w:t>
                  </w:r>
                  <w:r>
                    <w:rPr>
                      <w:rFonts w:ascii="Times New Roman" w:hAnsi="Times New Roman"/>
                      <w:noProof/>
                      <w:sz w:val="20"/>
                      <w:lang w:val="nl-NL"/>
                    </w:rPr>
                    <w:t xml:space="preserve"> AMECO</w:t>
                  </w:r>
                  <w:r>
                    <w:rPr>
                      <w:rFonts w:ascii="Times New Roman" w:hAnsi="Times New Roman"/>
                      <w:noProof/>
                      <w:lang w:val="nl-NL"/>
                    </w:rPr>
                    <w:t xml:space="preserve"> </w:t>
                  </w:r>
                </w:p>
                <w:p w:rsidR="00222D78" w:rsidRDefault="00E65635">
                  <w:pPr>
                    <w:jc w:val="both"/>
                    <w:rPr>
                      <w:rFonts w:ascii="Times New Roman" w:hAnsi="Times New Roman" w:cs="Times New Roman"/>
                      <w:noProof/>
                      <w:sz w:val="20"/>
                      <w:lang w:val="nl-NL"/>
                    </w:rPr>
                  </w:pPr>
                  <w:r>
                    <w:rPr>
                      <w:rFonts w:ascii="Times New Roman" w:hAnsi="Times New Roman"/>
                      <w:i/>
                      <w:noProof/>
                      <w:sz w:val="20"/>
                      <w:lang w:val="nl-NL"/>
                    </w:rPr>
                    <w:t>Noot:</w:t>
                  </w:r>
                  <w:r>
                    <w:rPr>
                      <w:rFonts w:ascii="Times New Roman" w:hAnsi="Times New Roman"/>
                      <w:noProof/>
                      <w:sz w:val="20"/>
                      <w:lang w:val="nl-NL"/>
                    </w:rPr>
                    <w:t xml:space="preserve"> de omvang van de zeepb</w:t>
                  </w:r>
                  <w:r>
                    <w:rPr>
                      <w:rFonts w:ascii="Times New Roman" w:hAnsi="Times New Roman"/>
                      <w:noProof/>
                      <w:sz w:val="20"/>
                      <w:lang w:val="nl-NL"/>
                    </w:rPr>
                    <w:t>ellen vertegenwoordigt de waarde van de overheidsschuld (% bbp) in 2017</w:t>
                  </w:r>
                </w:p>
              </w:tc>
            </w:tr>
          </w:tbl>
          <w:p w:rsidR="00222D78" w:rsidRDefault="00222D78">
            <w:pPr>
              <w:jc w:val="both"/>
              <w:rPr>
                <w:rFonts w:ascii="Times New Roman" w:hAnsi="Times New Roman" w:cs="Times New Roman"/>
                <w:b/>
                <w:noProof/>
                <w:lang w:val="nl-NL"/>
              </w:rPr>
            </w:pPr>
          </w:p>
        </w:tc>
      </w:tr>
    </w:tbl>
    <w:p w:rsidR="00222D78" w:rsidRDefault="00222D78">
      <w:pPr>
        <w:rPr>
          <w:rFonts w:ascii="Times New Roman" w:eastAsia="Times New Roman" w:hAnsi="Times New Roman" w:cs="Times New Roman"/>
          <w:b/>
          <w:noProof/>
          <w:lang w:val="nl-NL"/>
        </w:rPr>
      </w:pPr>
    </w:p>
    <w:p w:rsidR="00222D78" w:rsidRDefault="00E65635">
      <w:pPr>
        <w:rPr>
          <w:rFonts w:ascii="Times New Roman" w:eastAsia="Times New Roman" w:hAnsi="Times New Roman" w:cs="Times New Roman"/>
          <w:b/>
          <w:noProof/>
          <w:lang w:val="nl-NL"/>
        </w:rPr>
      </w:pPr>
      <w:r>
        <w:rPr>
          <w:noProof/>
          <w:lang w:val="nl-NL"/>
        </w:rPr>
        <w:br w:type="page"/>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schuldratio's van de private sector dalen geleidelijk, maar blijven in een aantal lidstaten hoog.</w:t>
      </w:r>
      <w:r>
        <w:rPr>
          <w:rFonts w:ascii="Times New Roman" w:hAnsi="Times New Roman"/>
          <w:noProof/>
          <w:lang w:val="nl-NL"/>
        </w:rPr>
        <w:t xml:space="preserve"> Twaalf lidstaten overschreden in 2017 de drempels van het scorebord voor de schuldpositie van de private sector. Het gaat om dezelfde groep landen als in het AMR van vorig jaar. De private schuldratio's zijn het hoogst in Cyprus, Ierland, Luxemburg en Ned</w:t>
      </w:r>
      <w:r>
        <w:rPr>
          <w:rFonts w:ascii="Times New Roman" w:hAnsi="Times New Roman"/>
          <w:noProof/>
          <w:lang w:val="nl-NL"/>
        </w:rPr>
        <w:t>erland, hoewel hun cijfers worden beïnvloed door grensoverschrijdende transacties die verband houden met de activiteiten van multinationale ondernemingen. Bijzonder hoge niveaus van private schuld vertonen ook België, Denemarken, Portugal, Zweden en het Ve</w:t>
      </w:r>
      <w:r>
        <w:rPr>
          <w:rFonts w:ascii="Times New Roman" w:hAnsi="Times New Roman"/>
          <w:noProof/>
          <w:lang w:val="nl-NL"/>
        </w:rPr>
        <w:t>renigd Koninkrijk, met standen van private schuld van meer dan 160% van het bbp. De relatieve bijdrage van huishoudens en niet-financiële bedrijven aan de hoge private schuldniveaus verschilt van lidstaat tot lidstaat.</w:t>
      </w:r>
      <w:r>
        <w:rPr>
          <w:rFonts w:ascii="Times New Roman" w:hAnsi="Times New Roman"/>
          <w:b/>
          <w:noProof/>
          <w:lang w:val="nl-NL"/>
        </w:rPr>
        <w:t xml:space="preserve"> </w:t>
      </w:r>
      <w:r>
        <w:rPr>
          <w:rFonts w:ascii="Times New Roman" w:hAnsi="Times New Roman"/>
          <w:noProof/>
          <w:lang w:val="nl-NL"/>
        </w:rPr>
        <w:t>Bij België, Ierland en Luxemburg zijn</w:t>
      </w:r>
      <w:r>
        <w:rPr>
          <w:rFonts w:ascii="Times New Roman" w:hAnsi="Times New Roman"/>
          <w:noProof/>
          <w:lang w:val="nl-NL"/>
        </w:rPr>
        <w:t xml:space="preserve"> de hoge algemene private schuldratio's vooral te verklaren door de schuldenlast van niet-financiële vennootschappen. In Denemarken en het Verenigd Koninkrijk daarentegen is de huishoudelijke sector de aanjager van de hoge standen van private schuld. Cypru</w:t>
      </w:r>
      <w:r>
        <w:rPr>
          <w:rFonts w:ascii="Times New Roman" w:hAnsi="Times New Roman"/>
          <w:noProof/>
          <w:lang w:val="nl-NL"/>
        </w:rPr>
        <w:t xml:space="preserve">s, Nederland, Zweden en Portugal hebben relatief hoge schuldniveaus in de sectoren ondernemingen en huishoudens. </w:t>
      </w:r>
      <w:r>
        <w:rPr>
          <w:noProof/>
          <w:lang w:val="nl-NL"/>
        </w:rPr>
        <w:t>Verschillen in de stand van private schuld tussen landen kunnen grotendeels worden verklaard door verschillen in fundamentele factoren die de a</w:t>
      </w:r>
      <w:r>
        <w:rPr>
          <w:noProof/>
          <w:lang w:val="nl-NL"/>
        </w:rPr>
        <w:t>ccumulatie van schulden rechtvaardigen, met inbegrip van verwachtingen voor groei en investeringen, en financiële ontwikkeling. Bij de beoordeling van de schuldniveaus moet derhalve rekening worden gehouden met deze factoren, alsook met andere elementen di</w:t>
      </w:r>
      <w:r>
        <w:rPr>
          <w:noProof/>
          <w:lang w:val="nl-NL"/>
        </w:rPr>
        <w:t>e vanuit een prospectief perspectief van invloed zijn op de risico's van hoge schuld.</w:t>
      </w:r>
      <w:r>
        <w:rPr>
          <w:rStyle w:val="FootnoteReference"/>
          <w:noProof/>
        </w:rPr>
        <w:footnoteReference w:id="30"/>
      </w:r>
      <w:r>
        <w:rPr>
          <w:noProof/>
          <w:lang w:val="nl-NL"/>
        </w:rPr>
        <w:t>.</w:t>
      </w:r>
    </w:p>
    <w:p w:rsidR="00222D78" w:rsidRDefault="00222D78">
      <w:pPr>
        <w:keepNext/>
        <w:spacing w:before="120" w:after="120"/>
        <w:jc w:val="center"/>
        <w:rPr>
          <w:rFonts w:ascii="Times New Roman" w:eastAsia="MS Mincho" w:hAnsi="Times New Roman" w:cs="Times New Roman"/>
          <w:b/>
          <w:bCs/>
          <w:noProof/>
          <w:lang w:val="nl-NL"/>
        </w:rPr>
      </w:pPr>
    </w:p>
    <w:p w:rsidR="00222D78" w:rsidRDefault="00E65635">
      <w:pPr>
        <w:keepNext/>
        <w:spacing w:before="120" w:after="120"/>
        <w:jc w:val="center"/>
        <w:rPr>
          <w:rFonts w:ascii="Times New Roman" w:eastAsia="MS Mincho" w:hAnsi="Times New Roman" w:cs="Times New Roman"/>
          <w:b/>
          <w:bCs/>
          <w:noProof/>
          <w:lang w:val="nl-NL"/>
        </w:rPr>
      </w:pPr>
      <w:r>
        <w:rPr>
          <w:rFonts w:ascii="Times New Roman" w:hAnsi="Times New Roman"/>
          <w:b/>
          <w:noProof/>
          <w:lang w:val="nl-NL"/>
        </w:rPr>
        <w:t>Grafiek 11: Tempo van deleveraging door niet-financiële vennootschappen</w:t>
      </w:r>
    </w:p>
    <w:p w:rsidR="00222D78" w:rsidRDefault="00E65635">
      <w:pPr>
        <w:keepNext/>
        <w:spacing w:after="0"/>
        <w:jc w:val="center"/>
        <w:rPr>
          <w:rFonts w:ascii="Times New Roman" w:eastAsia="MS Mincho" w:hAnsi="Times New Roman" w:cs="Times New Roman"/>
          <w:b/>
          <w:bCs/>
          <w:noProof/>
        </w:rPr>
      </w:pPr>
      <w:r>
        <w:rPr>
          <w:noProof/>
          <w:lang w:eastAsia="en-GB"/>
        </w:rPr>
        <w:drawing>
          <wp:inline distT="0" distB="0" distL="0" distR="0">
            <wp:extent cx="5124450" cy="3124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124200"/>
                    </a:xfrm>
                    <a:prstGeom prst="rect">
                      <a:avLst/>
                    </a:prstGeom>
                    <a:noFill/>
                    <a:ln>
                      <a:noFill/>
                    </a:ln>
                  </pic:spPr>
                </pic:pic>
              </a:graphicData>
            </a:graphic>
          </wp:inline>
        </w:drawing>
      </w:r>
    </w:p>
    <w:p w:rsidR="00222D78" w:rsidRDefault="00E65635">
      <w:pPr>
        <w:keepNext/>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Geconsolideerde jaarlijkse sectorale rekeningen van Eurostat, berekeningen van de Commi</w:t>
      </w:r>
      <w:r>
        <w:rPr>
          <w:rFonts w:ascii="Times New Roman" w:hAnsi="Times New Roman"/>
          <w:noProof/>
          <w:sz w:val="20"/>
          <w:lang w:val="nl-NL"/>
        </w:rPr>
        <w:t>ssie.</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xml:space="preserve"> Landen worden gepresenteerd in aflopende volgorde van schuldquote in 2017. De nummers onder de landcodes vermelden het piekjaar. Voor Kroatië en Ierland (2001) en Cyprus (2006) is de stijging tot de piek berekend op basis van een ander startjaar dan 2000.</w:t>
      </w:r>
      <w:r>
        <w:rPr>
          <w:rFonts w:ascii="Times New Roman" w:hAnsi="Times New Roman"/>
          <w:noProof/>
          <w:sz w:val="20"/>
          <w:lang w:val="nl-NL"/>
        </w:rPr>
        <w:t xml:space="preserve"> Waarnemingen voor LU, IE, BE en BE zijn ingekort overeenkomstig de schaal.</w:t>
      </w:r>
    </w:p>
    <w:p w:rsidR="00222D78" w:rsidRDefault="00E65635">
      <w:pPr>
        <w:keepNext/>
        <w:spacing w:before="120" w:after="120"/>
        <w:jc w:val="center"/>
        <w:rPr>
          <w:rFonts w:ascii="Times New Roman" w:eastAsia="MS Mincho" w:hAnsi="Times New Roman" w:cs="Times New Roman"/>
          <w:b/>
          <w:bCs/>
          <w:noProof/>
          <w:lang w:val="nl-NL"/>
        </w:rPr>
      </w:pPr>
      <w:r>
        <w:rPr>
          <w:rFonts w:ascii="Times New Roman" w:hAnsi="Times New Roman"/>
          <w:b/>
          <w:noProof/>
          <w:lang w:val="nl-NL"/>
        </w:rPr>
        <w:t>Grafiek 12: Tempo van deleveraging door huishoudens</w:t>
      </w:r>
    </w:p>
    <w:p w:rsidR="00222D78" w:rsidRDefault="00E65635">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086350" cy="3143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350" cy="3143250"/>
                    </a:xfrm>
                    <a:prstGeom prst="rect">
                      <a:avLst/>
                    </a:prstGeom>
                    <a:noFill/>
                    <a:ln>
                      <a:noFill/>
                    </a:ln>
                  </pic:spPr>
                </pic:pic>
              </a:graphicData>
            </a:graphic>
          </wp:inline>
        </w:drawing>
      </w:r>
    </w:p>
    <w:p w:rsidR="00222D78" w:rsidRDefault="00E65635">
      <w:pPr>
        <w:keepNext/>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w:t>
      </w:r>
      <w:r>
        <w:rPr>
          <w:rFonts w:ascii="Times New Roman" w:hAnsi="Times New Roman"/>
          <w:noProof/>
          <w:sz w:val="20"/>
          <w:lang w:val="nl-NL"/>
        </w:rPr>
        <w:t xml:space="preserve"> Geconsolideerde jaarlijkse sectorale rekeningen van Eurostat, berekeningen van de Commissie.</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Noot:</w:t>
      </w:r>
      <w:r>
        <w:rPr>
          <w:rFonts w:ascii="Times New Roman" w:hAnsi="Times New Roman"/>
          <w:noProof/>
          <w:sz w:val="20"/>
          <w:lang w:val="nl-NL"/>
        </w:rPr>
        <w:t xml:space="preserve"> Landen worden gepresenteerd in aflopende volgorde van schuldquote in 2017. De nummers onder de landcodes vermelden het piekjaar. Voor Kroatië en Ierland (2001) is de stijging tot de piek berekend op basis van een ander startjaar dan 2000. </w:t>
      </w:r>
    </w:p>
    <w:p w:rsidR="00222D78" w:rsidRDefault="00222D78">
      <w:pPr>
        <w:spacing w:before="120" w:after="120"/>
        <w:jc w:val="both"/>
        <w:rPr>
          <w:rFonts w:ascii="Times New Roman" w:eastAsia="Times New Roman" w:hAnsi="Times New Roman" w:cs="Times New Roman"/>
          <w:b/>
          <w:noProof/>
          <w:sz w:val="24"/>
          <w:szCs w:val="24"/>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private sch</w:t>
      </w:r>
      <w:r>
        <w:rPr>
          <w:rFonts w:ascii="Times New Roman" w:hAnsi="Times New Roman"/>
          <w:b/>
          <w:noProof/>
          <w:lang w:val="nl-NL"/>
        </w:rPr>
        <w:t>uldquotes nemen af van de piek in de meeste lidstaten, in een tempo dat niet altijd in overeenstemming is met de deleveragingbehoeften</w:t>
      </w:r>
      <w:r>
        <w:rPr>
          <w:rFonts w:ascii="Times New Roman" w:hAnsi="Times New Roman"/>
          <w:noProof/>
          <w:lang w:val="nl-NL"/>
        </w:rPr>
        <w:t>. Deleveraging is eerst bij de niet-financiële vennootschappen begonnen en is sneller verlopen dan in de huishoudelijke se</w:t>
      </w:r>
      <w:r>
        <w:rPr>
          <w:rFonts w:ascii="Times New Roman" w:hAnsi="Times New Roman"/>
          <w:noProof/>
          <w:lang w:val="nl-NL"/>
        </w:rPr>
        <w:t>ctor, zowel vanwege de meer negatieve netto kredietstromen in de bedrijfssector als vanwege een sterker effect van de nominale groei bij de vermindering van de schuldquotes gezien de grotere omvang van de standen van bedrijfsschuld</w:t>
      </w:r>
      <w:r>
        <w:rPr>
          <w:noProof/>
          <w:lang w:val="nl-NL"/>
        </w:rPr>
        <w:t xml:space="preserve"> in vergelijking met de h</w:t>
      </w:r>
      <w:r>
        <w:rPr>
          <w:noProof/>
          <w:lang w:val="nl-NL"/>
        </w:rPr>
        <w:t>uishoudens</w:t>
      </w:r>
      <w:r>
        <w:rPr>
          <w:rFonts w:ascii="Times New Roman" w:hAnsi="Times New Roman"/>
          <w:noProof/>
          <w:lang w:val="nl-NL"/>
        </w:rPr>
        <w:t xml:space="preserve">. </w:t>
      </w:r>
    </w:p>
    <w:p w:rsidR="00222D78" w:rsidRDefault="00E65635">
      <w:pPr>
        <w:pStyle w:val="ListParagraph"/>
        <w:numPr>
          <w:ilvl w:val="0"/>
          <w:numId w:val="24"/>
        </w:numPr>
        <w:spacing w:before="120" w:after="120"/>
        <w:jc w:val="both"/>
        <w:rPr>
          <w:rFonts w:ascii="Times New Roman" w:eastAsia="Times New Roman" w:hAnsi="Times New Roman" w:cs="Times New Roman"/>
          <w:b/>
          <w:noProof/>
          <w:lang w:val="nl-NL"/>
        </w:rPr>
      </w:pPr>
      <w:r>
        <w:rPr>
          <w:rFonts w:ascii="Times New Roman" w:hAnsi="Times New Roman"/>
          <w:noProof/>
          <w:lang w:val="nl-NL"/>
        </w:rPr>
        <w:t xml:space="preserve">In een aantal landen (Kroatië, Denemarken, Estland, Hongarije, Italië, Letland, Litouwen, Portugal, Roemenië, Slovenië, Spanje, Zweden en het Verenigd Koninkrijk) zijn de </w:t>
      </w:r>
      <w:r>
        <w:rPr>
          <w:rFonts w:ascii="Times New Roman" w:hAnsi="Times New Roman"/>
          <w:b/>
          <w:noProof/>
          <w:lang w:val="nl-NL"/>
        </w:rPr>
        <w:t>niet-financiële vennootschappen</w:t>
      </w:r>
      <w:r>
        <w:rPr>
          <w:rFonts w:ascii="Times New Roman" w:hAnsi="Times New Roman"/>
          <w:noProof/>
          <w:lang w:val="nl-NL"/>
        </w:rPr>
        <w:t xml:space="preserve"> erin geslaagd ten minste de helft van de</w:t>
      </w:r>
      <w:r>
        <w:rPr>
          <w:rFonts w:ascii="Times New Roman" w:hAnsi="Times New Roman"/>
          <w:noProof/>
          <w:lang w:val="nl-NL"/>
        </w:rPr>
        <w:t xml:space="preserve"> tussen 2000 en het piekjaar van hun schuld geaccumuleerde schuldquote terug te dringen. Het tempo van de deleveraging was echter niet altijd in overeenstemming met de deleveragingbehoeften, aangezien in vier landen met enkele van de hoogste bedrijfsschuld</w:t>
      </w:r>
      <w:r>
        <w:rPr>
          <w:rFonts w:ascii="Times New Roman" w:hAnsi="Times New Roman"/>
          <w:noProof/>
          <w:lang w:val="nl-NL"/>
        </w:rPr>
        <w:t xml:space="preserve">ratio's (Luxemburg, Ierland, Cyprus, Nederland en België) de deleveraging door bedrijven bescheiden was in verhouding tot de schuldstanden, terwijl in Frankrijk de schuldniveaus van niet-financiële vennootschappen zijn blijven stijgen (grafiek 11). </w:t>
      </w:r>
    </w:p>
    <w:p w:rsidR="00222D78" w:rsidRDefault="00E65635">
      <w:pPr>
        <w:pStyle w:val="ListParagraph"/>
        <w:numPr>
          <w:ilvl w:val="0"/>
          <w:numId w:val="24"/>
        </w:numPr>
        <w:spacing w:before="120" w:after="120"/>
        <w:jc w:val="both"/>
        <w:rPr>
          <w:rFonts w:ascii="Times New Roman" w:eastAsia="Times New Roman" w:hAnsi="Times New Roman" w:cs="Times New Roman"/>
          <w:b/>
          <w:noProof/>
          <w:lang w:val="nl-NL"/>
        </w:rPr>
      </w:pPr>
      <w:r>
        <w:rPr>
          <w:rFonts w:ascii="Times New Roman" w:hAnsi="Times New Roman"/>
          <w:noProof/>
          <w:lang w:val="nl-NL"/>
        </w:rPr>
        <w:t>De hef</w:t>
      </w:r>
      <w:r>
        <w:rPr>
          <w:rFonts w:ascii="Times New Roman" w:hAnsi="Times New Roman"/>
          <w:noProof/>
          <w:lang w:val="nl-NL"/>
        </w:rPr>
        <w:t xml:space="preserve">boomratio's van </w:t>
      </w:r>
      <w:r>
        <w:rPr>
          <w:rFonts w:ascii="Times New Roman" w:hAnsi="Times New Roman"/>
          <w:b/>
          <w:noProof/>
          <w:lang w:val="nl-NL"/>
        </w:rPr>
        <w:t>de huishoudens</w:t>
      </w:r>
      <w:r>
        <w:rPr>
          <w:rFonts w:ascii="Times New Roman" w:hAnsi="Times New Roman"/>
          <w:noProof/>
          <w:lang w:val="nl-NL"/>
        </w:rPr>
        <w:t xml:space="preserve"> zijn in de voorbije twee jaar afgenomen in de drie lidstaten waar huishoudens de grootste schuldenlast hebben (Denemarken, Cyprus en Nederland). Dit is ook het geval in andere landen met een hoge schuldenlast zoals Portugal, </w:t>
      </w:r>
      <w:r>
        <w:rPr>
          <w:rFonts w:ascii="Times New Roman" w:hAnsi="Times New Roman"/>
          <w:noProof/>
          <w:lang w:val="nl-NL"/>
        </w:rPr>
        <w:t>Spanje en Griekenland (grafiek 12). Huishoudens deleveragen niet langer in het Verenigd Koninkrijk en de relatief hoge schuldratio's in Finland en Zweden bleven verder groeien.</w:t>
      </w:r>
    </w:p>
    <w:p w:rsidR="00222D78" w:rsidRDefault="00222D78">
      <w:pPr>
        <w:rPr>
          <w:noProof/>
          <w:lang w:val="nl-NL"/>
        </w:rPr>
      </w:pPr>
    </w:p>
    <w:tbl>
      <w:tblPr>
        <w:tblW w:w="0" w:type="auto"/>
        <w:tblLook w:val="04A0" w:firstRow="1" w:lastRow="0" w:firstColumn="1" w:lastColumn="0" w:noHBand="0" w:noVBand="1"/>
      </w:tblPr>
      <w:tblGrid>
        <w:gridCol w:w="4659"/>
        <w:gridCol w:w="4629"/>
      </w:tblGrid>
      <w:tr w:rsidR="00222D78">
        <w:tc>
          <w:tcPr>
            <w:tcW w:w="4644" w:type="dxa"/>
          </w:tcPr>
          <w:p w:rsidR="00222D78" w:rsidRDefault="00E65635">
            <w:pPr>
              <w:spacing w:before="120" w:after="120"/>
              <w:jc w:val="both"/>
              <w:rPr>
                <w:rFonts w:ascii="Times New Roman" w:eastAsia="Times New Roman" w:hAnsi="Times New Roman" w:cs="Times New Roman"/>
                <w:noProof/>
                <w:sz w:val="24"/>
                <w:szCs w:val="24"/>
                <w:lang w:val="nl-NL"/>
              </w:rPr>
            </w:pPr>
            <w:r>
              <w:rPr>
                <w:rFonts w:ascii="Times New Roman" w:hAnsi="Times New Roman"/>
                <w:b/>
                <w:noProof/>
                <w:lang w:val="nl-NL"/>
              </w:rPr>
              <w:t xml:space="preserve">Grafiek 13: Uitsplitsing van mutatie in schuldquote van niet-financiële </w:t>
            </w:r>
            <w:r>
              <w:rPr>
                <w:rFonts w:ascii="Times New Roman" w:hAnsi="Times New Roman"/>
                <w:b/>
                <w:noProof/>
                <w:lang w:val="nl-NL"/>
              </w:rPr>
              <w:t>vennootschappen (2018, eerste kwartaal)</w:t>
            </w:r>
          </w:p>
        </w:tc>
        <w:tc>
          <w:tcPr>
            <w:tcW w:w="4644" w:type="dxa"/>
          </w:tcPr>
          <w:p w:rsidR="00222D78" w:rsidRDefault="00E65635">
            <w:pPr>
              <w:keepNext/>
              <w:spacing w:before="120" w:after="120"/>
              <w:jc w:val="both"/>
              <w:rPr>
                <w:rFonts w:ascii="Times New Roman" w:eastAsia="MS Mincho" w:hAnsi="Times New Roman" w:cs="Times New Roman"/>
                <w:b/>
                <w:bCs/>
                <w:noProof/>
                <w:lang w:val="nl-NL"/>
              </w:rPr>
            </w:pPr>
            <w:r>
              <w:rPr>
                <w:rFonts w:ascii="Times New Roman" w:hAnsi="Times New Roman"/>
                <w:b/>
                <w:noProof/>
                <w:lang w:val="nl-NL"/>
              </w:rPr>
              <w:t>Grafiek 14: Uitsplitsing van mutatie in schuldquote van huishoudens (2018, eerste kwartaal)</w:t>
            </w:r>
          </w:p>
        </w:tc>
      </w:tr>
      <w:tr w:rsidR="00222D78">
        <w:tc>
          <w:tcPr>
            <w:tcW w:w="4644" w:type="dxa"/>
          </w:tcPr>
          <w:p w:rsidR="00222D78" w:rsidRDefault="00E65635">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2847975" cy="2990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222D78" w:rsidRDefault="00E65635">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2838450" cy="2981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81325"/>
                          </a:xfrm>
                          <a:prstGeom prst="rect">
                            <a:avLst/>
                          </a:prstGeom>
                          <a:noFill/>
                          <a:ln>
                            <a:noFill/>
                          </a:ln>
                        </pic:spPr>
                      </pic:pic>
                    </a:graphicData>
                  </a:graphic>
                </wp:inline>
              </w:drawing>
            </w:r>
          </w:p>
        </w:tc>
      </w:tr>
    </w:tbl>
    <w:p w:rsidR="00222D78" w:rsidRDefault="00E65635">
      <w:pPr>
        <w:keepNext/>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Bronnen:</w:t>
      </w:r>
      <w:r>
        <w:rPr>
          <w:rFonts w:ascii="Times New Roman" w:hAnsi="Times New Roman"/>
          <w:noProof/>
          <w:sz w:val="20"/>
          <w:lang w:val="nl-NL"/>
        </w:rPr>
        <w:t xml:space="preserve"> Niet-geconsolideerde sectorale kwartaalrekeningen van Eurostat, berekeningen van de Commissie.</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Noten:</w:t>
      </w:r>
      <w:r>
        <w:rPr>
          <w:rFonts w:ascii="Times New Roman" w:hAnsi="Times New Roman"/>
          <w:noProof/>
          <w:sz w:val="20"/>
          <w:lang w:val="nl-NL"/>
        </w:rPr>
        <w:t xml:space="preserve"> de grafieken tonen een uitsplitsing van de ontwikkeling op jaarbasis van de niet-geconsolideerde schuldquoten in vijf componenten: kredietstromen, potentiële en cyclische reële bbp-groei, inflatie en andere mutaties. De cyclische component van de bbp-groe</w:t>
      </w:r>
      <w:r>
        <w:rPr>
          <w:rFonts w:ascii="Times New Roman" w:hAnsi="Times New Roman"/>
          <w:noProof/>
          <w:sz w:val="20"/>
          <w:lang w:val="nl-NL"/>
        </w:rPr>
        <w:t>i wordt berekend als het verschil tussen de werkelijke en de potentiële groei. Actieve deleveraging heeft betrekking op de netto-aflossing van de schuld (negatieve netto kredietstromen), wat gewoonlijk leidt tot een nominale krimp van de balans van de sect</w:t>
      </w:r>
      <w:r>
        <w:rPr>
          <w:rFonts w:ascii="Times New Roman" w:hAnsi="Times New Roman"/>
          <w:noProof/>
          <w:sz w:val="20"/>
          <w:lang w:val="nl-NL"/>
        </w:rPr>
        <w:t xml:space="preserve">or. Passieve deleveraging vindt daarentegen plaats wanneer positieve netto kredietstromen worden gecompenseerd door een hogere nominale bbp-groei die de schuldquote doet dalen. </w:t>
      </w:r>
    </w:p>
    <w:p w:rsidR="00222D78" w:rsidRDefault="00222D78">
      <w:pPr>
        <w:spacing w:before="120" w:after="120"/>
        <w:jc w:val="center"/>
        <w:rPr>
          <w:rFonts w:ascii="Times New Roman" w:eastAsia="Times New Roman" w:hAnsi="Times New Roman" w:cs="Times New Roman"/>
          <w:i/>
          <w:noProof/>
          <w:sz w:val="20"/>
          <w:szCs w:val="20"/>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Deleveraging steunt in toenemende mate op hogere nominale bbp-groeipercentage</w:t>
      </w:r>
      <w:r>
        <w:rPr>
          <w:rFonts w:ascii="Times New Roman" w:hAnsi="Times New Roman"/>
          <w:b/>
          <w:noProof/>
          <w:lang w:val="nl-NL"/>
        </w:rPr>
        <w:t xml:space="preserve">s. </w:t>
      </w:r>
      <w:r>
        <w:rPr>
          <w:rFonts w:ascii="Times New Roman" w:hAnsi="Times New Roman"/>
          <w:noProof/>
          <w:lang w:val="nl-NL"/>
        </w:rPr>
        <w:t xml:space="preserve">De kredietstromen van de private sector herstellen zich, maar blijven gematigd, en in geen enkele lidstaat is de drempel van het scorebord in 2017 overschreden. Door de nominale bbp-groei is de druk om actief te deleveragen gedaald, hetgeen ertoe heeft </w:t>
      </w:r>
      <w:r>
        <w:rPr>
          <w:rFonts w:ascii="Times New Roman" w:hAnsi="Times New Roman"/>
          <w:noProof/>
          <w:lang w:val="nl-NL"/>
        </w:rPr>
        <w:t>geleid dat minder landen negatieve kredietstromen naar bedrijven of huishoudens en gemiddeld negatieve stromen met een lagere absolute waarde vertonen (grafieken 13 en 14). Bovendien zijn sommige landen die voorheen niet deleverageden "passief" gaan deleve</w:t>
      </w:r>
      <w:r>
        <w:rPr>
          <w:rFonts w:ascii="Times New Roman" w:hAnsi="Times New Roman"/>
          <w:noProof/>
          <w:lang w:val="nl-NL"/>
        </w:rPr>
        <w:t>ragen, d.w.z. alleen omdat de nominale bbp-groei de schuldquotes doet dalen en omdat nettokredietstromen de schuld doen toenemen. Dit is het geval voor Italië, Oostenrijk en Tsjechië wat de niet-financiële vennootschappen betreft, en Oostenrijk, Estland en</w:t>
      </w:r>
      <w:r>
        <w:rPr>
          <w:rFonts w:ascii="Times New Roman" w:hAnsi="Times New Roman"/>
          <w:noProof/>
          <w:lang w:val="nl-NL"/>
        </w:rPr>
        <w:t xml:space="preserve"> Polen wat de huishoudelijke sector betreft. Zoals blijkt uit de grafieken 13 en 14, worden de recente nominale groeipercentages voor een groot deel geacht cyclisch van aard te zijn (bv. in Cyprus, Griekenland, Spanje, Portugal en Kroatië). In de toekomst </w:t>
      </w:r>
      <w:r>
        <w:rPr>
          <w:rFonts w:ascii="Times New Roman" w:hAnsi="Times New Roman"/>
          <w:noProof/>
          <w:lang w:val="nl-NL"/>
        </w:rPr>
        <w:t>zullen de vooruitzichten voor verdere passieve deleveraging in toenemende mate afhangen van groeipotentieel, aangezien de cyclische groei zal gaan afnemen nu de outputkloven voor een groeiend aantal landen positief worden.</w:t>
      </w:r>
    </w:p>
    <w:p w:rsidR="00222D78" w:rsidRDefault="00222D78">
      <w:pPr>
        <w:rPr>
          <w:rFonts w:ascii="Times New Roman" w:eastAsia="Times New Roman" w:hAnsi="Times New Roman" w:cs="Times New Roman"/>
          <w:b/>
          <w:noProof/>
          <w:lang w:val="nl-NL"/>
        </w:rPr>
      </w:pPr>
    </w:p>
    <w:p w:rsidR="00222D78" w:rsidRDefault="00E65635">
      <w:pPr>
        <w:spacing w:before="120" w:after="120"/>
        <w:jc w:val="both"/>
        <w:rPr>
          <w:noProof/>
          <w:lang w:val="nl-NL"/>
        </w:rPr>
      </w:pPr>
      <w:r>
        <w:rPr>
          <w:rFonts w:ascii="Times New Roman" w:hAnsi="Times New Roman"/>
          <w:b/>
          <w:noProof/>
          <w:lang w:val="nl-NL"/>
        </w:rPr>
        <w:t xml:space="preserve">De omstandigheden in de banksector in de EU verbeteren, maar in sommige landen blijven lage rentabiliteitsniveaus en hoge standen van NPL's aanhouden. </w:t>
      </w:r>
      <w:r>
        <w:rPr>
          <w:noProof/>
          <w:lang w:val="nl-NL"/>
        </w:rPr>
        <w:t>Dit is met name het geval in Griekenland, Cyprus, Italië en Portugal (grafieken 15 en 16). Positief is da</w:t>
      </w:r>
      <w:r>
        <w:rPr>
          <w:noProof/>
          <w:lang w:val="nl-NL"/>
        </w:rPr>
        <w:t xml:space="preserve">t het herstel van de winstgevendheid van de banksector in 2017 bijzonder sterk was in deze landen en dat de NPL's vaak vrij fors zijn gedaald. </w:t>
      </w:r>
    </w:p>
    <w:p w:rsidR="00222D78" w:rsidRDefault="00E65635">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b/>
          <w:noProof/>
          <w:lang w:val="nl-NL"/>
        </w:rPr>
        <w:t>De groei van de passiva van de financiële sector is in 2017 in de meeste EU-landen vertraagd</w:t>
      </w:r>
      <w:r>
        <w:rPr>
          <w:rFonts w:ascii="Times New Roman" w:hAnsi="Times New Roman"/>
          <w:noProof/>
          <w:lang w:val="nl-NL"/>
        </w:rPr>
        <w:t xml:space="preserve"> en blijft in alle l</w:t>
      </w:r>
      <w:r>
        <w:rPr>
          <w:rFonts w:ascii="Times New Roman" w:hAnsi="Times New Roman"/>
          <w:noProof/>
          <w:lang w:val="nl-NL"/>
        </w:rPr>
        <w:t>idstaten op twee na ruim binnen de scoreborddrempel.</w:t>
      </w:r>
      <w:r>
        <w:rPr>
          <w:noProof/>
          <w:vertAlign w:val="superscript"/>
        </w:rPr>
        <w:footnoteReference w:id="31"/>
      </w:r>
      <w:r>
        <w:rPr>
          <w:rFonts w:ascii="Times New Roman" w:hAnsi="Times New Roman"/>
          <w:noProof/>
          <w:lang w:val="nl-NL"/>
        </w:rPr>
        <w:t xml:space="preserve"> De kredietstromen van banken zijn in 2017 na het vorige herstel gematigder geworden, waarbij de groei van de bankkredieten voor de huishoudelijke sector sterker bleef dan voor de niet-financiële vennoot</w:t>
      </w:r>
      <w:r>
        <w:rPr>
          <w:rFonts w:ascii="Times New Roman" w:hAnsi="Times New Roman"/>
          <w:noProof/>
          <w:lang w:val="nl-NL"/>
        </w:rPr>
        <w:t xml:space="preserve">schappen. </w:t>
      </w:r>
    </w:p>
    <w:p w:rsidR="00222D78" w:rsidRDefault="00E65635">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b/>
          <w:noProof/>
          <w:lang w:val="nl-NL"/>
        </w:rPr>
        <w:t>De meeste lidstaten hebben het afgelopen jaar verdere verbeteringen in de rentabiliteit van de banken en de kapitaalratio's</w:t>
      </w:r>
      <w:r>
        <w:rPr>
          <w:rFonts w:ascii="Times New Roman" w:hAnsi="Times New Roman"/>
          <w:noProof/>
          <w:lang w:val="nl-NL"/>
        </w:rPr>
        <w:t xml:space="preserve"> laten zien. De waarderingen van het kapitaal van banken zijn tot begin 2018 gestegen en daarna heeft een neerwaartse corr</w:t>
      </w:r>
      <w:r>
        <w:rPr>
          <w:rFonts w:ascii="Times New Roman" w:hAnsi="Times New Roman"/>
          <w:noProof/>
          <w:lang w:val="nl-NL"/>
        </w:rPr>
        <w:t xml:space="preserve">ectie plaatsgevonden, waarbij de eerdere stijging ervan gedeeltelijk werd tenietgedaan deels in verband met de afvlakking van de yieldcurves en de daarmee samenhangende krimp van de rentemarges. </w:t>
      </w:r>
      <w:r>
        <w:rPr>
          <w:noProof/>
          <w:lang w:val="nl-NL"/>
        </w:rPr>
        <w:t>Sommige lidstaten worden geconfronteerd met een combinatie va</w:t>
      </w:r>
      <w:r>
        <w:rPr>
          <w:noProof/>
          <w:lang w:val="nl-NL"/>
        </w:rPr>
        <w:t xml:space="preserve">n lage winstgevendheid, lage kapitaalratio's in verhouding tot andere landen en een hoog aantal oninbare leningen. </w:t>
      </w:r>
    </w:p>
    <w:p w:rsidR="00222D78" w:rsidRDefault="00E65635">
      <w:pPr>
        <w:pStyle w:val="ListParagraph"/>
        <w:numPr>
          <w:ilvl w:val="0"/>
          <w:numId w:val="11"/>
        </w:numPr>
        <w:spacing w:before="120" w:after="120"/>
        <w:ind w:left="567" w:hanging="425"/>
        <w:contextualSpacing w:val="0"/>
        <w:jc w:val="both"/>
        <w:rPr>
          <w:rFonts w:ascii="Times New Roman" w:eastAsia="Calibri" w:hAnsi="Times New Roman" w:cs="Times New Roman"/>
          <w:noProof/>
          <w:lang w:val="nl-NL"/>
        </w:rPr>
      </w:pPr>
      <w:r>
        <w:rPr>
          <w:rFonts w:ascii="Times New Roman" w:hAnsi="Times New Roman"/>
          <w:b/>
          <w:noProof/>
          <w:lang w:val="nl-NL"/>
        </w:rPr>
        <w:t xml:space="preserve">De standen van NPL's blijven in een aantal lidstaten hoog. </w:t>
      </w:r>
      <w:r>
        <w:rPr>
          <w:rFonts w:ascii="Times New Roman" w:hAnsi="Times New Roman"/>
          <w:noProof/>
          <w:lang w:val="nl-NL"/>
        </w:rPr>
        <w:t>De NPL-ratio in 2017 is met name hoog in Griekenland en Cyprus, waar NPL's respec</w:t>
      </w:r>
      <w:r>
        <w:rPr>
          <w:rFonts w:ascii="Times New Roman" w:hAnsi="Times New Roman"/>
          <w:noProof/>
          <w:lang w:val="nl-NL"/>
        </w:rPr>
        <w:t>tievelijk 45% en 30% van de totale leningen uitmaken, en in Italië, Portugal, Bulgarije, Ierland en Kroatië, waar de standen van NPL's dicht bij 10% van de totale leningen blijven</w:t>
      </w:r>
      <w:r>
        <w:rPr>
          <w:rStyle w:val="FootnoteReference"/>
          <w:rFonts w:ascii="Times New Roman" w:hAnsi="Times New Roman"/>
          <w:noProof/>
        </w:rPr>
        <w:footnoteReference w:id="32"/>
      </w:r>
      <w:r>
        <w:rPr>
          <w:noProof/>
          <w:lang w:val="nl-NL"/>
        </w:rPr>
        <w:t>.</w:t>
      </w:r>
      <w:r>
        <w:rPr>
          <w:rFonts w:ascii="Times New Roman" w:hAnsi="Times New Roman"/>
          <w:noProof/>
          <w:lang w:val="nl-NL"/>
        </w:rPr>
        <w:t xml:space="preserve"> Na over de periode na de crisis te zijn gegroeid, zijn de NPL's met versch</w:t>
      </w:r>
      <w:r>
        <w:rPr>
          <w:rFonts w:ascii="Times New Roman" w:hAnsi="Times New Roman"/>
          <w:noProof/>
          <w:lang w:val="nl-NL"/>
        </w:rPr>
        <w:t xml:space="preserve">illende snelheden gaan dalen in de EU. </w:t>
      </w:r>
      <w:r>
        <w:rPr>
          <w:rFonts w:ascii="Times New Roman" w:hAnsi="Times New Roman"/>
          <w:b/>
          <w:noProof/>
          <w:lang w:val="nl-NL"/>
        </w:rPr>
        <w:t>Uit de jongste cijfers blijkt dat verdere vooruitgang is geboekt op het gebied van de daling van NPL's</w:t>
      </w:r>
      <w:r>
        <w:rPr>
          <w:rFonts w:ascii="Times New Roman" w:hAnsi="Times New Roman"/>
          <w:noProof/>
          <w:lang w:val="nl-NL"/>
        </w:rPr>
        <w:t>, met inbegrip van de landen met een hoog aandeel NPL's (behalve Griekenland), met name in Portugal en Italië (figu</w:t>
      </w:r>
      <w:r>
        <w:rPr>
          <w:rFonts w:ascii="Times New Roman" w:hAnsi="Times New Roman"/>
          <w:noProof/>
          <w:lang w:val="nl-NL"/>
        </w:rPr>
        <w:t>ur 16)</w:t>
      </w:r>
      <w:r>
        <w:rPr>
          <w:rStyle w:val="FootnoteReference"/>
          <w:rFonts w:ascii="Times New Roman" w:hAnsi="Times New Roman"/>
          <w:noProof/>
        </w:rPr>
        <w:footnoteReference w:id="33"/>
      </w:r>
      <w:r>
        <w:rPr>
          <w:noProof/>
          <w:lang w:val="nl-NL"/>
        </w:rPr>
        <w:t>.</w:t>
      </w:r>
      <w:r>
        <w:rPr>
          <w:rFonts w:ascii="Times New Roman" w:hAnsi="Times New Roman"/>
          <w:noProof/>
          <w:lang w:val="nl-NL"/>
        </w:rPr>
        <w:t xml:space="preserve"> </w:t>
      </w:r>
    </w:p>
    <w:p w:rsidR="00222D78" w:rsidRDefault="00222D78">
      <w:pPr>
        <w:pStyle w:val="ListParagraph"/>
        <w:spacing w:before="120" w:after="120"/>
        <w:contextualSpacing w:val="0"/>
        <w:jc w:val="both"/>
        <w:rPr>
          <w:rFonts w:ascii="Times New Roman" w:eastAsia="Times New Roman" w:hAnsi="Times New Roman" w:cs="Times New Roman"/>
          <w:noProof/>
          <w:sz w:val="24"/>
          <w:szCs w:val="24"/>
          <w:lang w:val="nl-NL"/>
        </w:rPr>
      </w:pPr>
    </w:p>
    <w:tbl>
      <w:tblPr>
        <w:tblW w:w="0" w:type="auto"/>
        <w:tblLook w:val="04A0" w:firstRow="1" w:lastRow="0" w:firstColumn="1" w:lastColumn="0" w:noHBand="0" w:noVBand="1"/>
      </w:tblPr>
      <w:tblGrid>
        <w:gridCol w:w="4632"/>
        <w:gridCol w:w="4656"/>
      </w:tblGrid>
      <w:tr w:rsidR="00222D78">
        <w:tc>
          <w:tcPr>
            <w:tcW w:w="4643" w:type="dxa"/>
            <w:hideMark/>
          </w:tcPr>
          <w:p w:rsidR="00222D78" w:rsidRDefault="00E65635">
            <w:pPr>
              <w:keepNext/>
              <w:spacing w:before="120" w:after="120"/>
              <w:jc w:val="center"/>
              <w:rPr>
                <w:rFonts w:eastAsia="MS Mincho"/>
                <w:b/>
                <w:bCs/>
                <w:noProof/>
                <w:lang w:val="nl-NL"/>
              </w:rPr>
            </w:pPr>
            <w:r>
              <w:rPr>
                <w:b/>
                <w:noProof/>
                <w:lang w:val="nl-NL"/>
              </w:rPr>
              <w:t>Grafiek 15: Winstgevendheid van de banken en kapitaalratio's</w:t>
            </w:r>
          </w:p>
        </w:tc>
        <w:tc>
          <w:tcPr>
            <w:tcW w:w="4643" w:type="dxa"/>
          </w:tcPr>
          <w:p w:rsidR="00222D78" w:rsidRDefault="00E65635">
            <w:pPr>
              <w:spacing w:before="120" w:after="120"/>
              <w:jc w:val="center"/>
              <w:rPr>
                <w:noProof/>
                <w:sz w:val="24"/>
                <w:szCs w:val="24"/>
              </w:rPr>
            </w:pPr>
            <w:r>
              <w:rPr>
                <w:b/>
                <w:noProof/>
              </w:rPr>
              <w:t>Grafiek 16: Niet-renderende schuldinstrumenten</w:t>
            </w:r>
          </w:p>
        </w:tc>
      </w:tr>
      <w:tr w:rsidR="00222D78">
        <w:tc>
          <w:tcPr>
            <w:tcW w:w="4643" w:type="dxa"/>
            <w:hideMark/>
          </w:tcPr>
          <w:p w:rsidR="00222D78" w:rsidRDefault="00E65635">
            <w:pPr>
              <w:spacing w:before="120" w:after="120"/>
              <w:jc w:val="both"/>
              <w:rPr>
                <w:noProof/>
                <w:sz w:val="24"/>
                <w:szCs w:val="24"/>
              </w:rPr>
            </w:pPr>
            <w:r>
              <w:rPr>
                <w:noProof/>
                <w:sz w:val="24"/>
                <w:szCs w:val="24"/>
                <w:lang w:eastAsia="en-GB"/>
              </w:rPr>
              <w:drawing>
                <wp:inline distT="0" distB="0" distL="0" distR="0">
                  <wp:extent cx="2781300" cy="3028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3028950"/>
                          </a:xfrm>
                          <a:prstGeom prst="rect">
                            <a:avLst/>
                          </a:prstGeom>
                          <a:noFill/>
                          <a:ln>
                            <a:noFill/>
                          </a:ln>
                        </pic:spPr>
                      </pic:pic>
                    </a:graphicData>
                  </a:graphic>
                </wp:inline>
              </w:drawing>
            </w:r>
          </w:p>
        </w:tc>
        <w:tc>
          <w:tcPr>
            <w:tcW w:w="4643" w:type="dxa"/>
            <w:hideMark/>
          </w:tcPr>
          <w:p w:rsidR="00222D78" w:rsidRDefault="00E65635">
            <w:pPr>
              <w:spacing w:before="120" w:after="120"/>
              <w:jc w:val="both"/>
              <w:rPr>
                <w:noProof/>
                <w:sz w:val="24"/>
                <w:szCs w:val="24"/>
              </w:rPr>
            </w:pPr>
            <w:r>
              <w:rPr>
                <w:noProof/>
                <w:sz w:val="24"/>
                <w:szCs w:val="24"/>
                <w:lang w:eastAsia="en-GB"/>
              </w:rPr>
              <w:drawing>
                <wp:inline distT="0" distB="0" distL="0" distR="0">
                  <wp:extent cx="2809875" cy="3009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9875" cy="3009900"/>
                          </a:xfrm>
                          <a:prstGeom prst="rect">
                            <a:avLst/>
                          </a:prstGeom>
                          <a:noFill/>
                          <a:ln>
                            <a:noFill/>
                          </a:ln>
                        </pic:spPr>
                      </pic:pic>
                    </a:graphicData>
                  </a:graphic>
                </wp:inline>
              </w:drawing>
            </w:r>
          </w:p>
        </w:tc>
      </w:tr>
    </w:tbl>
    <w:p w:rsidR="00222D78" w:rsidRDefault="00E65635">
      <w:pPr>
        <w:keepNext/>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Bronnen:</w:t>
      </w:r>
      <w:r>
        <w:rPr>
          <w:rFonts w:ascii="Times New Roman" w:hAnsi="Times New Roman"/>
          <w:noProof/>
          <w:sz w:val="20"/>
          <w:lang w:val="nl-NL"/>
        </w:rPr>
        <w:t xml:space="preserve"> ECB, berekeningen van de diensten van de Commissie.</w:t>
      </w:r>
    </w:p>
    <w:p w:rsidR="00222D78" w:rsidRDefault="00E65635">
      <w:pPr>
        <w:spacing w:after="0"/>
        <w:jc w:val="both"/>
        <w:rPr>
          <w:rFonts w:ascii="Times New Roman" w:eastAsia="Times New Roman" w:hAnsi="Times New Roman" w:cs="Times New Roman"/>
          <w:noProof/>
          <w:sz w:val="20"/>
          <w:szCs w:val="20"/>
          <w:lang w:val="nl-NL"/>
        </w:rPr>
      </w:pPr>
      <w:r>
        <w:rPr>
          <w:rFonts w:ascii="Times New Roman" w:hAnsi="Times New Roman"/>
          <w:i/>
          <w:noProof/>
          <w:sz w:val="20"/>
          <w:lang w:val="nl-NL"/>
        </w:rPr>
        <w:t>Noten:</w:t>
      </w:r>
      <w:r>
        <w:rPr>
          <w:rFonts w:ascii="Times New Roman" w:hAnsi="Times New Roman"/>
          <w:noProof/>
          <w:sz w:val="24"/>
          <w:lang w:val="nl-NL"/>
        </w:rPr>
        <w:t xml:space="preserve"> </w:t>
      </w:r>
      <w:r>
        <w:rPr>
          <w:rFonts w:ascii="Times New Roman" w:hAnsi="Times New Roman"/>
          <w:noProof/>
          <w:sz w:val="20"/>
          <w:lang w:val="nl-NL"/>
        </w:rPr>
        <w:t xml:space="preserve">Gegevens over bruto niet-renderende schuldinstrumenten voor </w:t>
      </w:r>
      <w:r>
        <w:rPr>
          <w:rFonts w:ascii="Times New Roman" w:hAnsi="Times New Roman"/>
          <w:noProof/>
          <w:sz w:val="20"/>
          <w:lang w:val="nl-NL"/>
        </w:rPr>
        <w:t>2008 zijn niet beschikbaar voor CZ, HR, SE en SI.</w:t>
      </w:r>
    </w:p>
    <w:p w:rsidR="00222D78" w:rsidRDefault="00222D78">
      <w:pPr>
        <w:spacing w:before="120" w:after="120"/>
        <w:rPr>
          <w:rFonts w:ascii="Times New Roman" w:eastAsia="Times New Roman" w:hAnsi="Times New Roman" w:cs="Times New Roman"/>
          <w:b/>
          <w:noProof/>
          <w:sz w:val="24"/>
          <w:szCs w:val="24"/>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De huizenprijzen zijn in 2017 in bijna alle EU-landen blijven stijgen, maar de groeipercentages van de huizenprijzen lijken te matigen op plaatsen waar de tekenen van overwaarderingen het sterkst zijn.</w:t>
      </w:r>
      <w:r>
        <w:rPr>
          <w:rFonts w:ascii="Times New Roman" w:hAnsi="Times New Roman"/>
          <w:noProof/>
          <w:lang w:val="nl-NL"/>
        </w:rPr>
        <w:t xml:space="preserve"> Ond</w:t>
      </w:r>
      <w:r>
        <w:rPr>
          <w:rFonts w:ascii="Times New Roman" w:hAnsi="Times New Roman"/>
          <w:noProof/>
          <w:lang w:val="nl-NL"/>
        </w:rPr>
        <w:t>anks verdere aanhoudende groei van de huizenprijzen in de EU blijkt uit de gegevens over 2017 dat er minder landen zijn waar de groei van de huizenprijzen boven de scoreborddrempel ligt in vergelijking met 2016. In 2017 vertoonden slechts zes landen (Bulga</w:t>
      </w:r>
      <w:r>
        <w:rPr>
          <w:rFonts w:ascii="Times New Roman" w:hAnsi="Times New Roman"/>
          <w:noProof/>
          <w:lang w:val="nl-NL"/>
        </w:rPr>
        <w:t xml:space="preserve">rije, Tsjechië, Ierland, Ierland, Nederland, Portugal en Slovenië) waarden boven de drempel, terwijl in het AMR 2018 op basis van gegevens over 2016 in tien landen gevallen boven de drempel werden vastgesteld. Deze wijzigingen weerspiegelen gemiddelde tot </w:t>
      </w:r>
      <w:r>
        <w:rPr>
          <w:rFonts w:ascii="Times New Roman" w:hAnsi="Times New Roman"/>
          <w:noProof/>
          <w:lang w:val="nl-NL"/>
        </w:rPr>
        <w:t>matige vertragingen ten opzichte van waarden boven de drempel en versnellingen in enkele landen. Alleen Griekenland en Italië vertoonden in 2017 een negatieve reële groei van de huizenprijzen. Uit recentere gegevens blijkt dat de groeipercentages in de eer</w:t>
      </w:r>
      <w:r>
        <w:rPr>
          <w:rFonts w:ascii="Times New Roman" w:hAnsi="Times New Roman"/>
          <w:noProof/>
          <w:lang w:val="nl-NL"/>
        </w:rPr>
        <w:t>ste helft van 2018 ten opzichte van een jaar eerder in Hongarije, Ierland, Letland, Nederland, Portugal, Slowakije en Slovenië boven de drempel van 6% van het scorebord lagen.</w:t>
      </w:r>
    </w:p>
    <w:p w:rsidR="00222D78" w:rsidRDefault="00E65635">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noProof/>
          <w:lang w:val="nl-NL"/>
        </w:rPr>
        <w:t xml:space="preserve">Door de verdere aanhoudende reële huizenprijzengroei zijn in een aantal landen, namelijk Oostenrijk, België, Tsjechië, Duitsland, Luxemburg, Malta en Zweden, </w:t>
      </w:r>
      <w:r>
        <w:rPr>
          <w:rFonts w:ascii="Times New Roman" w:hAnsi="Times New Roman"/>
          <w:b/>
          <w:noProof/>
          <w:lang w:val="nl-NL"/>
        </w:rPr>
        <w:t>de huizenprijzen weer op of boven de maxima van vóór de crisis gekomen</w:t>
      </w:r>
      <w:r>
        <w:rPr>
          <w:rFonts w:ascii="Times New Roman" w:hAnsi="Times New Roman"/>
          <w:noProof/>
          <w:lang w:val="nl-NL"/>
        </w:rPr>
        <w:t>. Door de reële groei van de</w:t>
      </w:r>
      <w:r>
        <w:rPr>
          <w:rFonts w:ascii="Times New Roman" w:hAnsi="Times New Roman"/>
          <w:noProof/>
          <w:lang w:val="nl-NL"/>
        </w:rPr>
        <w:t xml:space="preserve"> huizenprijzen boven die van de inkomens en andere relevante variabelen die normaal de huizenprijzen bepalen, zullen de huizenprijzen </w:t>
      </w:r>
      <w:r>
        <w:rPr>
          <w:rFonts w:ascii="Times New Roman" w:hAnsi="Times New Roman"/>
          <w:b/>
          <w:noProof/>
          <w:lang w:val="nl-NL"/>
        </w:rPr>
        <w:t>mogelijk overwaardering gaan vertonen in een toenemend aantal landen</w:t>
      </w:r>
      <w:r>
        <w:rPr>
          <w:rFonts w:ascii="Times New Roman" w:hAnsi="Times New Roman"/>
          <w:noProof/>
          <w:lang w:val="nl-NL"/>
        </w:rPr>
        <w:t xml:space="preserve"> (grafiek 17).</w:t>
      </w:r>
      <w:r>
        <w:rPr>
          <w:rFonts w:ascii="Times New Roman" w:hAnsi="Times New Roman"/>
          <w:noProof/>
          <w:vertAlign w:val="superscript"/>
        </w:rPr>
        <w:footnoteReference w:id="34"/>
      </w:r>
      <w:r>
        <w:rPr>
          <w:rFonts w:ascii="Times New Roman" w:hAnsi="Times New Roman"/>
          <w:noProof/>
          <w:lang w:val="nl-NL"/>
        </w:rPr>
        <w:t xml:space="preserve"> </w:t>
      </w:r>
    </w:p>
    <w:p w:rsidR="00222D78" w:rsidRDefault="00E65635">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nl-NL"/>
        </w:rPr>
      </w:pPr>
      <w:r>
        <w:rPr>
          <w:rFonts w:ascii="Times New Roman" w:hAnsi="Times New Roman"/>
          <w:b/>
          <w:noProof/>
          <w:lang w:val="nl-NL"/>
        </w:rPr>
        <w:t>Versnellingen</w:t>
      </w:r>
      <w:r>
        <w:rPr>
          <w:rFonts w:ascii="Times New Roman" w:hAnsi="Times New Roman"/>
          <w:noProof/>
          <w:lang w:val="nl-NL"/>
        </w:rPr>
        <w:t xml:space="preserve"> van de reële huizenprij</w:t>
      </w:r>
      <w:r>
        <w:rPr>
          <w:rFonts w:ascii="Times New Roman" w:hAnsi="Times New Roman"/>
          <w:noProof/>
          <w:lang w:val="nl-NL"/>
        </w:rPr>
        <w:t xml:space="preserve">zen in 2017 vonden vooral plaats </w:t>
      </w:r>
      <w:r>
        <w:rPr>
          <w:rFonts w:ascii="Times New Roman" w:hAnsi="Times New Roman"/>
          <w:b/>
          <w:noProof/>
          <w:lang w:val="nl-NL"/>
        </w:rPr>
        <w:t>in landen met negatieve of licht positieve waarderingskloven</w:t>
      </w:r>
      <w:r>
        <w:rPr>
          <w:rFonts w:ascii="Times New Roman" w:hAnsi="Times New Roman"/>
          <w:noProof/>
          <w:lang w:val="nl-NL"/>
        </w:rPr>
        <w:t xml:space="preserve"> (grafiek 18).</w:t>
      </w:r>
      <w:r>
        <w:rPr>
          <w:noProof/>
          <w:lang w:val="nl-NL"/>
        </w:rPr>
        <w:t xml:space="preserve"> Er zijn daarentegen wel </w:t>
      </w:r>
      <w:r>
        <w:rPr>
          <w:rFonts w:ascii="Times New Roman" w:hAnsi="Times New Roman"/>
          <w:b/>
          <w:noProof/>
          <w:lang w:val="nl-NL"/>
        </w:rPr>
        <w:t>vertragingen</w:t>
      </w:r>
      <w:r>
        <w:rPr>
          <w:rFonts w:ascii="Times New Roman" w:hAnsi="Times New Roman"/>
          <w:noProof/>
          <w:lang w:val="nl-NL"/>
        </w:rPr>
        <w:t xml:space="preserve"> vastgesteld</w:t>
      </w:r>
      <w:r>
        <w:rPr>
          <w:rFonts w:ascii="Times New Roman" w:hAnsi="Times New Roman"/>
          <w:b/>
          <w:noProof/>
          <w:lang w:val="nl-NL"/>
        </w:rPr>
        <w:t xml:space="preserve"> in landen met sterkere aanwijzingen van overwaardering</w:t>
      </w:r>
      <w:r>
        <w:rPr>
          <w:rFonts w:ascii="Times New Roman" w:hAnsi="Times New Roman"/>
          <w:noProof/>
          <w:lang w:val="nl-NL"/>
        </w:rPr>
        <w:t>,</w:t>
      </w:r>
      <w:r>
        <w:rPr>
          <w:noProof/>
          <w:lang w:val="nl-NL"/>
        </w:rPr>
        <w:t xml:space="preserve"> onder meer in het licht van betaalbaarheids</w:t>
      </w:r>
      <w:r>
        <w:rPr>
          <w:noProof/>
          <w:lang w:val="nl-NL"/>
        </w:rPr>
        <w:t xml:space="preserve">beperkingen, de uitvoering van macroprudentieel beleid en het mechanische effect op de reële groei van de huizenprijzen in verband met het </w:t>
      </w:r>
      <w:r>
        <w:rPr>
          <w:rFonts w:ascii="Times New Roman" w:hAnsi="Times New Roman"/>
          <w:noProof/>
          <w:lang w:val="nl-NL"/>
        </w:rPr>
        <w:t>aantrekken van de inflatiegraden (bv. in Oostenrijk, Luxemburg en het Verenigd Koninkrijk). Momenteel wordt de sterks</w:t>
      </w:r>
      <w:r>
        <w:rPr>
          <w:rFonts w:ascii="Times New Roman" w:hAnsi="Times New Roman"/>
          <w:noProof/>
          <w:lang w:val="nl-NL"/>
        </w:rPr>
        <w:t>te groei van de huizenprijzen vastgesteld in landen met matige overwaardering of geen tekenen van overwaardering. Uit kwartaalgegevens, ook voor begin 2018, blijken versnellingen in Estland, Kroatië, Hongarije, Polen, Portugal, Slovenië en Slowakije. Vertr</w:t>
      </w:r>
      <w:r>
        <w:rPr>
          <w:rFonts w:ascii="Times New Roman" w:hAnsi="Times New Roman"/>
          <w:noProof/>
          <w:lang w:val="nl-NL"/>
        </w:rPr>
        <w:t>agingen zijn vooral waargenomen in Bulgarije, Tsjechië, Roemenië en Zweden, waar de groei van de huizenprijzen in de eerste helft van 2018 op jaarbasis negatief is geworden</w:t>
      </w:r>
      <w:r>
        <w:rPr>
          <w:rStyle w:val="FootnoteReference"/>
          <w:rFonts w:ascii="Times New Roman" w:hAnsi="Times New Roman"/>
          <w:noProof/>
        </w:rPr>
        <w:footnoteReference w:id="35"/>
      </w:r>
      <w:r>
        <w:rPr>
          <w:noProof/>
          <w:lang w:val="nl-NL"/>
        </w:rPr>
        <w:t>.</w:t>
      </w:r>
      <w:r>
        <w:rPr>
          <w:rFonts w:ascii="Times New Roman" w:hAnsi="Times New Roman"/>
          <w:noProof/>
          <w:lang w:val="nl-NL"/>
        </w:rPr>
        <w:t xml:space="preserve"> Ierland, Portugal en Slovenië vertoonden in de eerste helft van 2018 een tweecijferige groei ten opzichte van één jaar eerder.</w:t>
      </w:r>
    </w:p>
    <w:p w:rsidR="00222D78" w:rsidRDefault="00E65635">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nl-NL"/>
        </w:rPr>
      </w:pPr>
      <w:r>
        <w:rPr>
          <w:noProof/>
          <w:lang w:val="nl-NL"/>
        </w:rPr>
        <w:t xml:space="preserve">In een aantal landen, waaronder Denemarken, Luxemburg, Zweden en het Verenigd Koninkrijk, bestaan </w:t>
      </w:r>
      <w:r>
        <w:rPr>
          <w:b/>
          <w:noProof/>
          <w:lang w:val="nl-NL"/>
        </w:rPr>
        <w:t>overgewaardeerde huizenprijzen</w:t>
      </w:r>
      <w:r>
        <w:rPr>
          <w:b/>
          <w:noProof/>
          <w:lang w:val="nl-NL"/>
        </w:rPr>
        <w:t xml:space="preserve"> naast hoge schulden van huishoudens</w:t>
      </w:r>
      <w:r>
        <w:rPr>
          <w:noProof/>
          <w:lang w:val="nl-NL"/>
        </w:rPr>
        <w:t>. Nederland wordt gekenmerkt door een zeer hoge schuld van de huishoudens. De hypotheekstand groeide in 2017 bijzonder snel (meer dan 5% dan het voorgaande jaar) in Oostenrijk, België, Bulgarije, Tsjechië, Estland, Frank</w:t>
      </w:r>
      <w:r>
        <w:rPr>
          <w:noProof/>
          <w:lang w:val="nl-NL"/>
        </w:rPr>
        <w:t xml:space="preserve">rijk, Litouwen, Luxemburg, Malta, Polen Roemenië en Slowakije. </w:t>
      </w:r>
    </w:p>
    <w:p w:rsidR="00222D78" w:rsidRDefault="00222D78">
      <w:pPr>
        <w:spacing w:before="120" w:after="120"/>
        <w:jc w:val="both"/>
        <w:rPr>
          <w:rFonts w:ascii="Times New Roman" w:eastAsia="Times New Roman" w:hAnsi="Times New Roman" w:cs="Times New Roman"/>
          <w:noProof/>
          <w:lang w:val="nl-NL"/>
        </w:rPr>
      </w:pPr>
    </w:p>
    <w:tbl>
      <w:tblPr>
        <w:tblW w:w="0" w:type="auto"/>
        <w:tblLook w:val="04A0" w:firstRow="1" w:lastRow="0" w:firstColumn="1" w:lastColumn="0" w:noHBand="0" w:noVBand="1"/>
      </w:tblPr>
      <w:tblGrid>
        <w:gridCol w:w="4688"/>
        <w:gridCol w:w="4600"/>
      </w:tblGrid>
      <w:tr w:rsidR="00222D78" w:rsidRPr="00E65635">
        <w:tc>
          <w:tcPr>
            <w:tcW w:w="4644" w:type="dxa"/>
          </w:tcPr>
          <w:p w:rsidR="00222D78" w:rsidRDefault="00E65635">
            <w:pPr>
              <w:keepNext/>
              <w:spacing w:before="120" w:after="120"/>
              <w:jc w:val="both"/>
              <w:rPr>
                <w:rFonts w:ascii="Times New Roman" w:eastAsia="MS Mincho" w:hAnsi="Times New Roman" w:cs="Times New Roman"/>
                <w:b/>
                <w:bCs/>
                <w:noProof/>
                <w:lang w:val="nl-NL"/>
              </w:rPr>
            </w:pPr>
            <w:r>
              <w:rPr>
                <w:rFonts w:ascii="Times New Roman" w:hAnsi="Times New Roman"/>
                <w:b/>
                <w:noProof/>
                <w:lang w:val="nl-NL"/>
              </w:rPr>
              <w:t>Grafiek 17: Wijzigingen in huizenprijzen en waarderingskloven in 2017</w:t>
            </w:r>
          </w:p>
        </w:tc>
        <w:tc>
          <w:tcPr>
            <w:tcW w:w="4644" w:type="dxa"/>
          </w:tcPr>
          <w:p w:rsidR="00222D78" w:rsidRDefault="00E65635">
            <w:pPr>
              <w:keepNext/>
              <w:spacing w:before="120" w:after="120"/>
              <w:jc w:val="both"/>
              <w:rPr>
                <w:rFonts w:ascii="Times New Roman" w:eastAsia="MS Mincho" w:hAnsi="Times New Roman" w:cs="Times New Roman"/>
                <w:b/>
                <w:bCs/>
                <w:noProof/>
                <w:lang w:val="nl-NL"/>
              </w:rPr>
            </w:pPr>
            <w:r>
              <w:rPr>
                <w:rFonts w:ascii="Times New Roman" w:hAnsi="Times New Roman"/>
                <w:b/>
                <w:noProof/>
                <w:lang w:val="nl-NL"/>
              </w:rPr>
              <w:t xml:space="preserve">Grafiek 18: Waarderingskloven en mutaties in de prijsgroei tussen 2016 en 2017 </w:t>
            </w:r>
          </w:p>
        </w:tc>
      </w:tr>
      <w:tr w:rsidR="00222D78">
        <w:tc>
          <w:tcPr>
            <w:tcW w:w="4644" w:type="dxa"/>
          </w:tcPr>
          <w:p w:rsidR="00222D78" w:rsidRDefault="00E65635">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eastAsia="en-GB"/>
              </w:rPr>
              <w:drawing>
                <wp:inline distT="0" distB="0" distL="0" distR="0">
                  <wp:extent cx="2876550" cy="3000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tc>
        <w:tc>
          <w:tcPr>
            <w:tcW w:w="4644" w:type="dxa"/>
          </w:tcPr>
          <w:p w:rsidR="00222D78" w:rsidRDefault="00E65635">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eastAsia="en-GB"/>
              </w:rPr>
              <w:drawing>
                <wp:inline distT="0" distB="0" distL="0" distR="0">
                  <wp:extent cx="2819400" cy="2990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inline>
              </w:drawing>
            </w:r>
          </w:p>
        </w:tc>
      </w:tr>
    </w:tbl>
    <w:p w:rsidR="00222D78" w:rsidRDefault="00E65635">
      <w:pPr>
        <w:spacing w:after="0"/>
        <w:jc w:val="both"/>
        <w:rPr>
          <w:rFonts w:ascii="Times New Roman" w:eastAsia="Times New Roman" w:hAnsi="Times New Roman" w:cs="Times New Roman"/>
          <w:noProof/>
          <w:sz w:val="20"/>
          <w:szCs w:val="24"/>
          <w:lang w:val="nl-NL"/>
        </w:rPr>
      </w:pPr>
      <w:r>
        <w:rPr>
          <w:rFonts w:ascii="Times New Roman" w:hAnsi="Times New Roman"/>
          <w:i/>
          <w:noProof/>
          <w:sz w:val="20"/>
          <w:lang w:val="nl-NL"/>
        </w:rPr>
        <w:t>Bron</w:t>
      </w:r>
      <w:r>
        <w:rPr>
          <w:rFonts w:ascii="Times New Roman" w:hAnsi="Times New Roman"/>
          <w:noProof/>
          <w:sz w:val="20"/>
          <w:lang w:val="nl-NL"/>
        </w:rPr>
        <w:t xml:space="preserve">: Eurostat en berekeningen van </w:t>
      </w:r>
      <w:r>
        <w:rPr>
          <w:rFonts w:ascii="Times New Roman" w:hAnsi="Times New Roman"/>
          <w:noProof/>
          <w:sz w:val="20"/>
          <w:lang w:val="nl-NL"/>
        </w:rPr>
        <w:t>de diensten van de Commissie.</w:t>
      </w:r>
    </w:p>
    <w:p w:rsidR="00222D78" w:rsidRDefault="00E65635">
      <w:pPr>
        <w:spacing w:after="0"/>
        <w:jc w:val="both"/>
        <w:rPr>
          <w:rFonts w:ascii="Times New Roman" w:eastAsia="Times New Roman" w:hAnsi="Times New Roman" w:cs="Times New Roman"/>
          <w:b/>
          <w:noProof/>
          <w:sz w:val="20"/>
          <w:szCs w:val="24"/>
          <w:lang w:val="nl-NL"/>
        </w:rPr>
      </w:pPr>
      <w:r>
        <w:rPr>
          <w:rFonts w:ascii="Times New Roman" w:hAnsi="Times New Roman"/>
          <w:i/>
          <w:noProof/>
          <w:sz w:val="20"/>
          <w:lang w:val="nl-NL"/>
        </w:rPr>
        <w:t>Noot</w:t>
      </w:r>
      <w:r>
        <w:rPr>
          <w:rFonts w:ascii="Times New Roman" w:hAnsi="Times New Roman"/>
          <w:noProof/>
          <w:sz w:val="20"/>
          <w:lang w:val="nl-NL"/>
        </w:rPr>
        <w:t xml:space="preserve">: De overwaarderingskloof werd geraamd als een gemiddelde van drie maatstaven: de afwijkingen in de verhoudingen prijs/inkomen en prijs/huur ten opzichte van hun langetermijngemiddelden en de resultaten van een fundamentalsmodel van waarderingskloven. zie </w:t>
      </w:r>
      <w:r>
        <w:rPr>
          <w:rFonts w:ascii="Times New Roman" w:hAnsi="Times New Roman"/>
          <w:noProof/>
          <w:sz w:val="20"/>
          <w:lang w:val="nl-NL"/>
        </w:rPr>
        <w:t xml:space="preserve">voetnoot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lang w:val="nl-NL"/>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lang w:val="nl-NL"/>
        </w:rPr>
        <w:t>34</w:t>
      </w:r>
      <w:r>
        <w:rPr>
          <w:rFonts w:ascii="Times New Roman" w:eastAsia="Times New Roman" w:hAnsi="Times New Roman" w:cs="Times New Roman"/>
          <w:noProof/>
          <w:sz w:val="20"/>
          <w:szCs w:val="24"/>
        </w:rPr>
        <w:fldChar w:fldCharType="end"/>
      </w:r>
      <w:r>
        <w:rPr>
          <w:rFonts w:ascii="Times New Roman" w:hAnsi="Times New Roman"/>
          <w:noProof/>
          <w:sz w:val="20"/>
          <w:lang w:val="nl-NL"/>
        </w:rPr>
        <w:t>.</w:t>
      </w:r>
    </w:p>
    <w:p w:rsidR="00222D78" w:rsidRDefault="00222D78">
      <w:pPr>
        <w:spacing w:before="120" w:after="120"/>
        <w:jc w:val="both"/>
        <w:rPr>
          <w:rFonts w:ascii="Times New Roman" w:eastAsia="Times New Roman" w:hAnsi="Times New Roman" w:cs="Times New Roman"/>
          <w:b/>
          <w:noProof/>
          <w:lang w:val="nl-NL"/>
        </w:rPr>
      </w:pP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 xml:space="preserve">De overheidsschuldratio's in de EU groeiden niet meer, maar de schuldniveaus blijven in veel landen hoog. </w:t>
      </w:r>
      <w:r>
        <w:rPr>
          <w:rFonts w:ascii="Times New Roman" w:hAnsi="Times New Roman"/>
          <w:noProof/>
          <w:lang w:val="nl-NL"/>
        </w:rPr>
        <w:t>In 2017 overschreden de sco</w:t>
      </w:r>
      <w:r>
        <w:rPr>
          <w:rFonts w:ascii="Times New Roman" w:hAnsi="Times New Roman"/>
          <w:noProof/>
          <w:lang w:val="nl-NL"/>
        </w:rPr>
        <w:t>rebordwaarden in 15 lidstaten de drempelwaarde. België, Griekenland, Italië en Portugal vertonen een schuldniveau van meer dan 100% van het bbp en de financieringskosten van Italië zijn in 2018 significant gestegen. Voor acht landen (België, Cyprus, Finlan</w:t>
      </w:r>
      <w:r>
        <w:rPr>
          <w:rFonts w:ascii="Times New Roman" w:hAnsi="Times New Roman"/>
          <w:noProof/>
          <w:lang w:val="nl-NL"/>
        </w:rPr>
        <w:t xml:space="preserve">d, Frankrijk, Ierland, Portugal, Spanje en het Verenigd Koninkrijk) gaat de overheidsschuld van meer dan 60% van het bbp samen met een schuldenlast van de private sector boven de respectieve drempel. De overheidsschuldquotes zijn over het algemeen aan een </w:t>
      </w:r>
      <w:r>
        <w:rPr>
          <w:rFonts w:ascii="Times New Roman" w:hAnsi="Times New Roman"/>
          <w:noProof/>
          <w:lang w:val="nl-NL"/>
        </w:rPr>
        <w:t xml:space="preserve">neerwaarts traject begonnen (grafiek 19). In landen met een hoog niveau van publieke schuld is de deleveraging echter pas onlangs van start gegaan en verloopt deze in een laag tempo. Van alle EU-landen wordt verwacht dat de schuldratio's in 2019 alleen in </w:t>
      </w:r>
      <w:r>
        <w:rPr>
          <w:rFonts w:ascii="Times New Roman" w:hAnsi="Times New Roman"/>
          <w:noProof/>
          <w:lang w:val="nl-NL"/>
        </w:rPr>
        <w:t>Litouwen en Roemenië zullen stijgen. Over het algemeen vindt de deleveraging door de overheidssector plaats in het licht van de geleidelijke verbetering van de begrotingssituaties over de jongste jaren, een voortgezette nominale bbp-groei en gedaalde rente</w:t>
      </w:r>
      <w:r>
        <w:rPr>
          <w:rFonts w:ascii="Times New Roman" w:hAnsi="Times New Roman"/>
          <w:noProof/>
          <w:lang w:val="nl-NL"/>
        </w:rPr>
        <w:t xml:space="preserve">betalingen. Verwacht wordt echter dat een groeiend aantal landen een procyclisch expansief begrotingsbeleid zal voeren dat mogelijk ten koste gaat van de in de toekomst beschikbare ruimte om negatieve outputschokken op te vangen. </w:t>
      </w:r>
    </w:p>
    <w:p w:rsidR="00222D78" w:rsidRDefault="00222D78">
      <w:pPr>
        <w:spacing w:before="120" w:after="120"/>
        <w:rPr>
          <w:rFonts w:ascii="Times New Roman" w:eastAsia="Times New Roman" w:hAnsi="Times New Roman" w:cs="Times New Roman"/>
          <w:b/>
          <w:noProof/>
          <w:lang w:val="nl-NL"/>
        </w:rPr>
      </w:pPr>
    </w:p>
    <w:p w:rsidR="00222D78" w:rsidRDefault="00E65635">
      <w:pPr>
        <w:spacing w:before="120" w:after="120"/>
        <w:jc w:val="center"/>
        <w:rPr>
          <w:rFonts w:ascii="Times New Roman" w:eastAsia="Times New Roman" w:hAnsi="Times New Roman" w:cs="Times New Roman"/>
          <w:b/>
          <w:noProof/>
        </w:rPr>
      </w:pPr>
      <w:r>
        <w:rPr>
          <w:rFonts w:ascii="Times New Roman" w:hAnsi="Times New Roman"/>
          <w:b/>
          <w:noProof/>
        </w:rPr>
        <w:t xml:space="preserve">Grafiek 19: </w:t>
      </w:r>
      <w:r>
        <w:rPr>
          <w:rFonts w:ascii="Times New Roman" w:hAnsi="Times New Roman"/>
          <w:b/>
          <w:noProof/>
        </w:rPr>
        <w:t>Overheidsschuld</w:t>
      </w:r>
    </w:p>
    <w:p w:rsidR="00222D78" w:rsidRDefault="00E65635">
      <w:pPr>
        <w:spacing w:before="120" w:after="120"/>
        <w:jc w:val="center"/>
        <w:rPr>
          <w:rFonts w:ascii="Times New Roman" w:eastAsia="Times New Roman" w:hAnsi="Times New Roman" w:cs="Times New Roman"/>
          <w:noProof/>
          <w:sz w:val="24"/>
          <w:szCs w:val="24"/>
        </w:rPr>
      </w:pPr>
      <w:r>
        <w:rPr>
          <w:noProof/>
          <w:lang w:eastAsia="en-GB"/>
        </w:rPr>
        <w:drawing>
          <wp:inline distT="0" distB="0" distL="0" distR="0">
            <wp:extent cx="5057775" cy="32194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775" cy="3219450"/>
                    </a:xfrm>
                    <a:prstGeom prst="rect">
                      <a:avLst/>
                    </a:prstGeom>
                    <a:noFill/>
                    <a:ln>
                      <a:noFill/>
                    </a:ln>
                  </pic:spPr>
                </pic:pic>
              </a:graphicData>
            </a:graphic>
          </wp:inline>
        </w:drawing>
      </w:r>
    </w:p>
    <w:p w:rsidR="00222D78" w:rsidRDefault="00E65635">
      <w:pPr>
        <w:spacing w:before="120" w:after="120"/>
        <w:rPr>
          <w:rFonts w:ascii="Times New Roman" w:eastAsia="Times New Roman" w:hAnsi="Times New Roman" w:cs="Times New Roman"/>
          <w:noProof/>
          <w:sz w:val="20"/>
          <w:szCs w:val="24"/>
        </w:rPr>
      </w:pPr>
      <w:r>
        <w:rPr>
          <w:rFonts w:ascii="Times New Roman" w:hAnsi="Times New Roman"/>
          <w:i/>
          <w:noProof/>
          <w:sz w:val="20"/>
        </w:rPr>
        <w:t>Bron:</w:t>
      </w:r>
      <w:r>
        <w:rPr>
          <w:rFonts w:ascii="Times New Roman" w:hAnsi="Times New Roman"/>
          <w:noProof/>
          <w:sz w:val="20"/>
        </w:rPr>
        <w:t xml:space="preserve"> Eurostat</w:t>
      </w:r>
    </w:p>
    <w:p w:rsidR="00222D78" w:rsidRDefault="00222D78">
      <w:pPr>
        <w:spacing w:before="120" w:after="120"/>
        <w:rPr>
          <w:rFonts w:ascii="Times New Roman" w:eastAsia="Times New Roman" w:hAnsi="Times New Roman" w:cs="Times New Roman"/>
          <w:noProof/>
          <w:sz w:val="20"/>
          <w:szCs w:val="24"/>
        </w:rPr>
      </w:pPr>
    </w:p>
    <w:p w:rsidR="00222D78" w:rsidRDefault="00E65635">
      <w:pPr>
        <w:rPr>
          <w:rFonts w:ascii="Times New Roman" w:eastAsia="Times New Roman" w:hAnsi="Times New Roman" w:cs="Times New Roman"/>
          <w:i/>
          <w:noProof/>
          <w:sz w:val="20"/>
          <w:szCs w:val="20"/>
        </w:rPr>
      </w:pPr>
      <w:r>
        <w:rPr>
          <w:noProof/>
        </w:rPr>
        <w:br w:type="page"/>
      </w:r>
    </w:p>
    <w:p w:rsidR="00222D78" w:rsidRDefault="00222D78">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22D78">
        <w:tc>
          <w:tcPr>
            <w:tcW w:w="9288" w:type="dxa"/>
            <w:tcBorders>
              <w:top w:val="single" w:sz="4" w:space="0" w:color="auto"/>
              <w:left w:val="single" w:sz="4" w:space="0" w:color="auto"/>
              <w:bottom w:val="single" w:sz="4" w:space="0" w:color="auto"/>
              <w:right w:val="single" w:sz="4" w:space="0" w:color="auto"/>
            </w:tcBorders>
            <w:shd w:val="clear" w:color="auto" w:fill="BFBFBF"/>
          </w:tcPr>
          <w:p w:rsidR="00222D78" w:rsidRDefault="00E65635">
            <w:pPr>
              <w:spacing w:before="120" w:after="120" w:line="240" w:lineRule="auto"/>
              <w:jc w:val="center"/>
              <w:rPr>
                <w:rFonts w:ascii="Times New Roman" w:eastAsia="Times New Roman" w:hAnsi="Times New Roman" w:cs="Times New Roman"/>
                <w:b/>
                <w:i/>
                <w:noProof/>
                <w:lang w:val="nl-NL"/>
              </w:rPr>
            </w:pPr>
            <w:r>
              <w:rPr>
                <w:rFonts w:ascii="Times New Roman" w:hAnsi="Times New Roman"/>
                <w:b/>
                <w:i/>
                <w:noProof/>
                <w:lang w:val="nl-NL"/>
              </w:rPr>
              <w:t xml:space="preserve">Kader 3: </w:t>
            </w:r>
            <w:r>
              <w:rPr>
                <w:rFonts w:ascii="Times New Roman" w:hAnsi="Times New Roman"/>
                <w:b/>
                <w:noProof/>
                <w:lang w:val="nl-NL"/>
              </w:rPr>
              <w:t>Werkgelegenheid en sociale ontwikkelingen</w:t>
            </w:r>
          </w:p>
          <w:p w:rsidR="00222D78" w:rsidRDefault="00E65635">
            <w:pPr>
              <w:autoSpaceDE w:val="0"/>
              <w:autoSpaceDN w:val="0"/>
              <w:adjustRightInd w:val="0"/>
              <w:spacing w:after="0" w:line="240" w:lineRule="auto"/>
              <w:jc w:val="both"/>
              <w:rPr>
                <w:rFonts w:ascii="Times New Roman" w:hAnsi="Times New Roman" w:cs="Times New Roman"/>
                <w:noProof/>
                <w:lang w:val="nl-NL"/>
              </w:rPr>
            </w:pPr>
            <w:r>
              <w:rPr>
                <w:rFonts w:ascii="Times New Roman" w:hAnsi="Times New Roman"/>
                <w:b/>
                <w:noProof/>
                <w:lang w:val="nl-NL"/>
              </w:rPr>
              <w:t>De arbeidsmarkten in de EU zijn in 2017 en de eerste helft van 2018 verder verbeterd, waarbij de verschillen in de EU zijn afgenomen ten opzichte van de hoge niveaus.</w:t>
            </w:r>
            <w:r>
              <w:rPr>
                <w:rFonts w:ascii="Times New Roman" w:hAnsi="Times New Roman"/>
                <w:noProof/>
                <w:lang w:val="nl-NL"/>
              </w:rPr>
              <w:t xml:space="preserve"> De werkgelegenheid is verder gegroeid en heeft in de EU als geheel een nieuw hoogtepunt bereikt wat betreft het aantal personen met een baan. De werkloosheid is in alle EU-landen gedaald, ook al blijft deze in een aantal landen hoog. Het herstel heeft bij</w:t>
            </w:r>
            <w:r>
              <w:rPr>
                <w:rFonts w:ascii="Times New Roman" w:hAnsi="Times New Roman"/>
                <w:noProof/>
                <w:lang w:val="nl-NL"/>
              </w:rPr>
              <w:t>gedragen tot een daling van sommige armoede-indicatoren</w:t>
            </w:r>
            <w:r>
              <w:rPr>
                <w:rStyle w:val="FootnoteReference"/>
                <w:rFonts w:ascii="Times New Roman" w:hAnsi="Times New Roman"/>
                <w:noProof/>
                <w:lang w:val="nl-NL"/>
              </w:rPr>
              <w:t xml:space="preserve"> </w:t>
            </w:r>
            <w:r>
              <w:rPr>
                <w:rFonts w:ascii="Times New Roman" w:hAnsi="Times New Roman"/>
                <w:noProof/>
                <w:lang w:val="nl-NL"/>
              </w:rPr>
              <w:t>, maar de sociale situatie blijft in sommige lidstaten een zorg. Sinds 2008 is het relatieve armoederisico in de EU toegenomen, maar de ernstige materiële deprivatie is afgenomen, vooral in Oost-Europ</w:t>
            </w:r>
            <w:r>
              <w:rPr>
                <w:rFonts w:ascii="Times New Roman" w:hAnsi="Times New Roman"/>
                <w:noProof/>
                <w:lang w:val="nl-NL"/>
              </w:rPr>
              <w:t>ese lidstaten met een hoog beginniveau.</w:t>
            </w:r>
          </w:p>
          <w:p w:rsidR="00222D78" w:rsidRDefault="00222D78">
            <w:pPr>
              <w:autoSpaceDE w:val="0"/>
              <w:autoSpaceDN w:val="0"/>
              <w:adjustRightInd w:val="0"/>
              <w:spacing w:after="0" w:line="240" w:lineRule="auto"/>
              <w:rPr>
                <w:rFonts w:ascii="Times New Roman" w:hAnsi="Times New Roman" w:cs="Times New Roman"/>
                <w:noProof/>
                <w:lang w:val="nl-NL"/>
              </w:rPr>
            </w:pPr>
          </w:p>
          <w:p w:rsidR="00222D78" w:rsidRDefault="00E65635">
            <w:pPr>
              <w:autoSpaceDE w:val="0"/>
              <w:autoSpaceDN w:val="0"/>
              <w:adjustRightInd w:val="0"/>
              <w:spacing w:after="0" w:line="240" w:lineRule="auto"/>
              <w:jc w:val="both"/>
              <w:rPr>
                <w:rFonts w:ascii="Times New Roman" w:hAnsi="Times New Roman" w:cs="Times New Roman"/>
                <w:noProof/>
                <w:lang w:val="nl-NL"/>
              </w:rPr>
            </w:pPr>
            <w:r>
              <w:rPr>
                <w:rFonts w:ascii="Times New Roman" w:hAnsi="Times New Roman"/>
                <w:b/>
                <w:noProof/>
                <w:lang w:val="nl-NL"/>
              </w:rPr>
              <w:t xml:space="preserve">In 2017 daalde de </w:t>
            </w:r>
            <w:r>
              <w:rPr>
                <w:rFonts w:ascii="Times New Roman" w:hAnsi="Times New Roman"/>
                <w:b/>
                <w:i/>
                <w:noProof/>
                <w:lang w:val="nl-NL"/>
              </w:rPr>
              <w:t>werkloosheidsgraad</w:t>
            </w:r>
            <w:r>
              <w:rPr>
                <w:rFonts w:ascii="Times New Roman" w:hAnsi="Times New Roman"/>
                <w:b/>
                <w:noProof/>
                <w:lang w:val="nl-NL"/>
              </w:rPr>
              <w:t xml:space="preserve"> in alle lidstaten.</w:t>
            </w:r>
            <w:r>
              <w:rPr>
                <w:rFonts w:ascii="Times New Roman" w:hAnsi="Times New Roman"/>
                <w:noProof/>
                <w:lang w:val="nl-NL"/>
              </w:rPr>
              <w:t xml:space="preserve"> De verbeteringen waren het sterkst in landen met enkele van de hoogste werkloosheidsniveaus (dalingen van 2 ppt. of meer in Kroatië, Griekenland, Portugal en S</w:t>
            </w:r>
            <w:r>
              <w:rPr>
                <w:rFonts w:ascii="Times New Roman" w:hAnsi="Times New Roman"/>
                <w:noProof/>
                <w:lang w:val="nl-NL"/>
              </w:rPr>
              <w:t xml:space="preserve">panje). Niettemin hebben zeven lidstaten (Griekenland, Spanje, Kroatië, Cyprus, Italië, Italië, Portugal en Frankrijk) de voorbije drie jaar de drempel van de MIP-scorebordindicator van gemiddeld 10% overschreden; De werkloosheidspercentages in 2017 waren </w:t>
            </w:r>
            <w:r>
              <w:rPr>
                <w:rFonts w:ascii="Times New Roman" w:hAnsi="Times New Roman"/>
                <w:noProof/>
                <w:lang w:val="nl-NL"/>
              </w:rPr>
              <w:t xml:space="preserve">in ongeveer twee derde van de lidstaten nog steeds hoger dan in 2008. In de hele EU en in de eurozone lag de werkloosheidsgraad ongeveer 3 ppt. onder de in 2013 bereikte pieken, maar was deze nog steeds ½ en 1½ ppt hoger dan in 2008. De werkloosheidsgraad </w:t>
            </w:r>
            <w:r>
              <w:rPr>
                <w:rFonts w:ascii="Times New Roman" w:hAnsi="Times New Roman"/>
                <w:noProof/>
                <w:lang w:val="nl-NL"/>
              </w:rPr>
              <w:t xml:space="preserve">bleef in de eerste helft van 2018 gestaag dalen tot respectievelijk 6,9% en 8,3% in de EU en de eurozone in het tweede kwartaal van 2018. </w:t>
            </w:r>
          </w:p>
          <w:p w:rsidR="00222D78" w:rsidRDefault="00222D78">
            <w:pPr>
              <w:autoSpaceDE w:val="0"/>
              <w:autoSpaceDN w:val="0"/>
              <w:adjustRightInd w:val="0"/>
              <w:spacing w:after="0" w:line="240" w:lineRule="auto"/>
              <w:jc w:val="both"/>
              <w:rPr>
                <w:rFonts w:ascii="Times New Roman" w:hAnsi="Times New Roman" w:cs="Times New Roman"/>
                <w:noProof/>
                <w:lang w:val="nl-NL"/>
              </w:rPr>
            </w:pPr>
          </w:p>
          <w:p w:rsidR="00222D78" w:rsidRDefault="00E65635">
            <w:pPr>
              <w:autoSpaceDE w:val="0"/>
              <w:autoSpaceDN w:val="0"/>
              <w:adjustRightInd w:val="0"/>
              <w:spacing w:after="0" w:line="240" w:lineRule="auto"/>
              <w:jc w:val="both"/>
              <w:rPr>
                <w:rFonts w:ascii="Times New Roman" w:hAnsi="Times New Roman" w:cs="Times New Roman"/>
                <w:noProof/>
                <w:lang w:val="nl-NL"/>
              </w:rPr>
            </w:pPr>
            <w:r>
              <w:rPr>
                <w:rFonts w:ascii="Times New Roman" w:hAnsi="Times New Roman"/>
                <w:b/>
                <w:i/>
                <w:noProof/>
                <w:lang w:val="nl-NL"/>
              </w:rPr>
              <w:t>De werkgelegenheidsgraad</w:t>
            </w:r>
            <w:r>
              <w:rPr>
                <w:rFonts w:ascii="Times New Roman" w:hAnsi="Times New Roman"/>
                <w:b/>
                <w:noProof/>
                <w:lang w:val="nl-NL"/>
              </w:rPr>
              <w:t xml:space="preserve"> is in bijna alle lidstaten gestegen, waarmee de positieve ontwikkelingen van de jongste jar</w:t>
            </w:r>
            <w:r>
              <w:rPr>
                <w:rFonts w:ascii="Times New Roman" w:hAnsi="Times New Roman"/>
                <w:b/>
                <w:noProof/>
                <w:lang w:val="nl-NL"/>
              </w:rPr>
              <w:t>en worden voortgezet.</w:t>
            </w:r>
            <w:r>
              <w:rPr>
                <w:rFonts w:ascii="Times New Roman" w:hAnsi="Times New Roman"/>
                <w:noProof/>
                <w:lang w:val="nl-NL"/>
              </w:rPr>
              <w:t xml:space="preserve"> De werkgelegenheidsgraad (20-64 jaar) bereikte in 2017 72,1 % voor de EU in haar geheel, waarbij de piek van 70,3% van vóór de crisis in 2008 werd overschreden. De werkgelegenheidsgraad bleef toenemen in het tweede kwartaal van 2018 t</w:t>
            </w:r>
            <w:r>
              <w:rPr>
                <w:rFonts w:ascii="Times New Roman" w:hAnsi="Times New Roman"/>
                <w:noProof/>
                <w:lang w:val="nl-NL"/>
              </w:rPr>
              <w:t xml:space="preserve">ot een recordniveau van 73,2 %. </w:t>
            </w:r>
          </w:p>
          <w:p w:rsidR="00222D78" w:rsidRDefault="00222D78">
            <w:pPr>
              <w:autoSpaceDE w:val="0"/>
              <w:autoSpaceDN w:val="0"/>
              <w:adjustRightInd w:val="0"/>
              <w:spacing w:after="0" w:line="240" w:lineRule="auto"/>
              <w:rPr>
                <w:rFonts w:ascii="Times New Roman" w:hAnsi="Times New Roman" w:cs="Times New Roman"/>
                <w:noProof/>
                <w:lang w:val="nl-NL"/>
              </w:rPr>
            </w:pPr>
          </w:p>
          <w:p w:rsidR="00222D78" w:rsidRDefault="00E65635">
            <w:pPr>
              <w:autoSpaceDE w:val="0"/>
              <w:autoSpaceDN w:val="0"/>
              <w:adjustRightInd w:val="0"/>
              <w:spacing w:after="0" w:line="240" w:lineRule="auto"/>
              <w:jc w:val="both"/>
              <w:rPr>
                <w:rFonts w:ascii="Times New Roman" w:hAnsi="Times New Roman" w:cs="Times New Roman"/>
                <w:noProof/>
                <w:lang w:val="nl-NL"/>
              </w:rPr>
            </w:pPr>
            <w:r>
              <w:rPr>
                <w:noProof/>
                <w:lang w:val="nl-NL"/>
              </w:rPr>
              <w:t xml:space="preserve">De </w:t>
            </w:r>
            <w:r>
              <w:rPr>
                <w:rFonts w:ascii="Times New Roman" w:hAnsi="Times New Roman"/>
                <w:b/>
                <w:i/>
                <w:noProof/>
                <w:lang w:val="nl-NL"/>
              </w:rPr>
              <w:t>activiteitsgraad</w:t>
            </w:r>
            <w:r>
              <w:rPr>
                <w:rFonts w:ascii="Times New Roman" w:hAnsi="Times New Roman"/>
                <w:b/>
                <w:noProof/>
                <w:lang w:val="nl-NL"/>
              </w:rPr>
              <w:t xml:space="preserve"> bleef bijna overal in de EU stijgen.</w:t>
            </w:r>
            <w:r>
              <w:rPr>
                <w:rFonts w:ascii="Times New Roman" w:hAnsi="Times New Roman"/>
                <w:noProof/>
                <w:lang w:val="nl-NL"/>
              </w:rPr>
              <w:t xml:space="preserve"> Slechts drie landen vertoonden de afgelopen drie jaar een dalende activiteitsgraad: Spanje (-0,3 ppt.), Cyprus (-0,4) en Luxemburg (-0,6). In de drie gevallen ligt d</w:t>
            </w:r>
            <w:r>
              <w:rPr>
                <w:rFonts w:ascii="Times New Roman" w:hAnsi="Times New Roman"/>
                <w:noProof/>
                <w:lang w:val="nl-NL"/>
              </w:rPr>
              <w:t xml:space="preserve">e daling boven de scoreborddrempel van -0,2. Geaggregeerd bedroeg de activiteitsgraad voor de EU en de eurozone in 2017 respectievelijk 73,3% en 73,1%, d.w.z. 2½ en 2 ppt. boven de niveaus van 2008. Die stijgende trend was grotendeels toe te schrijven aan </w:t>
            </w:r>
            <w:r>
              <w:rPr>
                <w:rFonts w:ascii="Times New Roman" w:hAnsi="Times New Roman"/>
                <w:noProof/>
                <w:lang w:val="nl-NL"/>
              </w:rPr>
              <w:t xml:space="preserve">stijgende arbeidsmarktparticipatie van oudere werknemers en vrouwen. </w:t>
            </w:r>
          </w:p>
          <w:p w:rsidR="00222D78" w:rsidRDefault="00222D78">
            <w:pPr>
              <w:autoSpaceDE w:val="0"/>
              <w:autoSpaceDN w:val="0"/>
              <w:adjustRightInd w:val="0"/>
              <w:spacing w:after="0" w:line="240" w:lineRule="auto"/>
              <w:rPr>
                <w:rFonts w:ascii="Times New Roman" w:hAnsi="Times New Roman" w:cs="Times New Roman"/>
                <w:noProof/>
                <w:lang w:val="nl-NL"/>
              </w:rPr>
            </w:pPr>
          </w:p>
          <w:p w:rsidR="00222D78" w:rsidRDefault="00E65635">
            <w:pPr>
              <w:autoSpaceDE w:val="0"/>
              <w:autoSpaceDN w:val="0"/>
              <w:adjustRightInd w:val="0"/>
              <w:spacing w:after="0" w:line="240" w:lineRule="auto"/>
              <w:jc w:val="both"/>
              <w:rPr>
                <w:rFonts w:ascii="Times New Roman" w:hAnsi="Times New Roman" w:cs="Times New Roman"/>
                <w:noProof/>
                <w:lang w:val="nl-NL"/>
              </w:rPr>
            </w:pPr>
            <w:r>
              <w:rPr>
                <w:rFonts w:ascii="Times New Roman" w:hAnsi="Times New Roman"/>
                <w:b/>
                <w:noProof/>
                <w:lang w:val="nl-NL"/>
              </w:rPr>
              <w:t>De langdurige en jeugdwerkloosheid blijven in verschillende EU-landen hoog, maar zijn sterker verbeterd dan de rest van de arbeidsmarkt.</w:t>
            </w:r>
            <w:r>
              <w:rPr>
                <w:rFonts w:ascii="Times New Roman" w:hAnsi="Times New Roman"/>
                <w:i/>
                <w:noProof/>
                <w:lang w:val="nl-NL"/>
              </w:rPr>
              <w:t xml:space="preserve"> De langdurige werkloosheid</w:t>
            </w:r>
            <w:r>
              <w:rPr>
                <w:rFonts w:ascii="Times New Roman" w:hAnsi="Times New Roman"/>
                <w:noProof/>
                <w:lang w:val="nl-NL"/>
              </w:rPr>
              <w:t xml:space="preserve"> is in 2017 in alle li</w:t>
            </w:r>
            <w:r>
              <w:rPr>
                <w:rFonts w:ascii="Times New Roman" w:hAnsi="Times New Roman"/>
                <w:noProof/>
                <w:lang w:val="nl-NL"/>
              </w:rPr>
              <w:t>dstaten gedaald. Slechts twee landen vertoonden graden die hoger zijn dan drie jaar eerder: in Oostenrijk bedroeg de langdurige werkloosheid 1,8% (0,3 ppt. hoger dan in 2014), terwijl deze in Finland 2,1% bedroeg (een stijging van 0,2 ppt. sinds 2014). Gee</w:t>
            </w:r>
            <w:r>
              <w:rPr>
                <w:rFonts w:ascii="Times New Roman" w:hAnsi="Times New Roman"/>
                <w:noProof/>
                <w:lang w:val="nl-NL"/>
              </w:rPr>
              <w:t xml:space="preserve">n van deze stijgingen overschrijdt de scorebordendrempel van 0,5 ppt. De hoogste langdurige werkloosheid vertoonden Griekenland (15,6%), Spanje (7,7%), Italië (6,5%) en Slowakije (5,1%). De </w:t>
            </w:r>
            <w:r>
              <w:rPr>
                <w:rFonts w:ascii="Times New Roman" w:hAnsi="Times New Roman"/>
                <w:i/>
                <w:noProof/>
                <w:lang w:val="nl-NL"/>
              </w:rPr>
              <w:t>jeugdwerkloosheidsgraad</w:t>
            </w:r>
            <w:r>
              <w:rPr>
                <w:rFonts w:ascii="Times New Roman" w:hAnsi="Times New Roman"/>
                <w:noProof/>
                <w:lang w:val="nl-NL"/>
              </w:rPr>
              <w:t xml:space="preserve"> is in alle EU-landen in de drie jaar tot 2</w:t>
            </w:r>
            <w:r>
              <w:rPr>
                <w:rFonts w:ascii="Times New Roman" w:hAnsi="Times New Roman"/>
                <w:noProof/>
                <w:lang w:val="nl-NL"/>
              </w:rPr>
              <w:t>017 gedaald. Dalingen van 10 ppt. of meer over dezelfde periode vertoonden Bulgarije, Kroatië, Cyprus, Portugal, Slowakije en Spanje. De jeugdwerkloosheidsgraad ligt echter nog steeds boven 30% in Griekenland, Italië en Spanje, terwijl het aandeel jongeren</w:t>
            </w:r>
            <w:r>
              <w:rPr>
                <w:rFonts w:ascii="Times New Roman" w:hAnsi="Times New Roman"/>
                <w:noProof/>
                <w:lang w:val="nl-NL"/>
              </w:rPr>
              <w:t xml:space="preserve"> dat geen baan heeft noch onderwijs of een opleiding volgt, in Bulgarije, Kroatië, Cyprus, Griekenland, Italië en Roemenië nog steeds hoger is dan 15%.  </w:t>
            </w:r>
          </w:p>
          <w:p w:rsidR="00222D78" w:rsidRDefault="00222D78">
            <w:pPr>
              <w:autoSpaceDE w:val="0"/>
              <w:autoSpaceDN w:val="0"/>
              <w:adjustRightInd w:val="0"/>
              <w:spacing w:after="0" w:line="240" w:lineRule="auto"/>
              <w:rPr>
                <w:rFonts w:ascii="Times New Roman" w:hAnsi="Times New Roman" w:cs="Times New Roman"/>
                <w:i/>
                <w:iCs/>
                <w:noProof/>
                <w:lang w:val="nl-NL"/>
              </w:rPr>
            </w:pPr>
          </w:p>
          <w:p w:rsidR="00222D78" w:rsidRDefault="00E65635">
            <w:pPr>
              <w:autoSpaceDE w:val="0"/>
              <w:autoSpaceDN w:val="0"/>
              <w:adjustRightInd w:val="0"/>
              <w:spacing w:before="120" w:after="0" w:line="240" w:lineRule="auto"/>
              <w:jc w:val="both"/>
              <w:rPr>
                <w:rFonts w:ascii="Times New Roman" w:eastAsia="Times New Roman" w:hAnsi="Times New Roman" w:cs="Times New Roman"/>
                <w:noProof/>
                <w:sz w:val="24"/>
                <w:szCs w:val="24"/>
                <w:lang w:val="nl-NL"/>
              </w:rPr>
            </w:pPr>
            <w:r>
              <w:rPr>
                <w:rFonts w:ascii="Times New Roman" w:hAnsi="Times New Roman"/>
                <w:b/>
                <w:noProof/>
                <w:lang w:val="nl-NL"/>
              </w:rPr>
              <w:t xml:space="preserve">De, weliswaar verbeterende, sociale situatie is nog steeds een bron van zorg in verschillende </w:t>
            </w:r>
            <w:r>
              <w:rPr>
                <w:rFonts w:ascii="Times New Roman" w:hAnsi="Times New Roman"/>
                <w:b/>
                <w:noProof/>
                <w:lang w:val="nl-NL"/>
              </w:rPr>
              <w:t>EU-landen, zoals blijkt uit de standaardmaatstaven voor armoede en deprivatie.</w:t>
            </w:r>
            <w:r>
              <w:rPr>
                <w:rFonts w:ascii="Times New Roman" w:hAnsi="Times New Roman"/>
                <w:noProof/>
                <w:lang w:val="nl-NL"/>
              </w:rPr>
              <w:t xml:space="preserve"> Het aandeel mensen die met armoede of sociale uitsluiting worden bedreigd (AROPE) is in de EU van 2016 tot 2017 met één ppt. gedaald tot 22,5%.</w:t>
            </w:r>
            <w:r>
              <w:rPr>
                <w:rStyle w:val="FootnoteReference"/>
                <w:rFonts w:ascii="Times New Roman" w:hAnsi="Times New Roman"/>
                <w:noProof/>
              </w:rPr>
              <w:footnoteReference w:id="36"/>
            </w:r>
            <w:r>
              <w:rPr>
                <w:noProof/>
                <w:lang w:val="nl-NL"/>
              </w:rPr>
              <w:t>.</w:t>
            </w:r>
            <w:r>
              <w:rPr>
                <w:rFonts w:ascii="Times New Roman" w:hAnsi="Times New Roman"/>
                <w:noProof/>
                <w:lang w:val="nl-NL"/>
              </w:rPr>
              <w:t xml:space="preserve"> Dit is ongeveer één ppt. lager </w:t>
            </w:r>
            <w:r>
              <w:rPr>
                <w:rFonts w:ascii="Times New Roman" w:hAnsi="Times New Roman"/>
                <w:noProof/>
                <w:lang w:val="nl-NL"/>
              </w:rPr>
              <w:t xml:space="preserve">dan het percentage dat bij het begin van de crisis werd genoteerd en ongeveer twee ppt. onder de piek van 2013. De meeste landen vertoonden een daling in 2017. Stijgingen, weliswaar vanaf relatief lage niveaus, vertoonden Oostenrijk, Denemarken, Luxemburg </w:t>
            </w:r>
            <w:r>
              <w:rPr>
                <w:rFonts w:ascii="Times New Roman" w:hAnsi="Times New Roman"/>
                <w:noProof/>
                <w:lang w:val="nl-NL"/>
              </w:rPr>
              <w:t xml:space="preserve">en Nederland. Het niveau van het AROPE-percentage varieerde aanzienlijk van 38,9% in Bulgarije, gevolgd door Roemenië, Griekenland en Litouwen, tot ongeveer 12% in Tsjechië, gevolgd door Finland, Slowakije en Nederland. Deze algemene ontwikkelingen op het </w:t>
            </w:r>
            <w:r>
              <w:rPr>
                <w:rFonts w:ascii="Times New Roman" w:hAnsi="Times New Roman"/>
                <w:noProof/>
                <w:lang w:val="nl-NL"/>
              </w:rPr>
              <w:t>gebied van armoede en sociale uitsluiting weerspiegelen verschillende ontwikkelingen van de verschillende componenten ervan.</w:t>
            </w:r>
            <w:r>
              <w:rPr>
                <w:rFonts w:ascii="Times New Roman" w:hAnsi="Times New Roman"/>
                <w:b/>
                <w:noProof/>
                <w:lang w:val="nl-NL"/>
              </w:rPr>
              <w:t xml:space="preserve"> </w:t>
            </w:r>
            <w:r>
              <w:rPr>
                <w:rFonts w:ascii="Times New Roman" w:hAnsi="Times New Roman"/>
                <w:noProof/>
                <w:lang w:val="nl-NL"/>
              </w:rPr>
              <w:t>Het aandeel mensen die met armoede worden bedreigd (AROP) is in sommige lidstaten gestegen, terwijl het in andere lidstaten is geda</w:t>
            </w:r>
            <w:r>
              <w:rPr>
                <w:rFonts w:ascii="Times New Roman" w:hAnsi="Times New Roman"/>
                <w:noProof/>
                <w:lang w:val="nl-NL"/>
              </w:rPr>
              <w:t>ald in de afgelopen jaren: de grootste stijgingen over een periode van drie jaar vertoonden Litouwen (3,8 ppt.) en Luxemburg (2,3), terwijl Griekenland (1,9) en Polen (2,0) een significante daling vertoonden. Over een periode van drie  jaar (en ook in 2017</w:t>
            </w:r>
            <w:r>
              <w:rPr>
                <w:rFonts w:ascii="Times New Roman" w:hAnsi="Times New Roman"/>
                <w:noProof/>
                <w:lang w:val="nl-NL"/>
              </w:rPr>
              <w:t xml:space="preserve">) is de ernstige materiële deprivatie daarentegen afgenomen in de meeste EU-lidstaten; zij is over een periode van drie jaar meer dan 5 ppt. gedaald in Hongarije, Letland, Malta en Roemenië. Tot slot, terwijl het herstel in de meeste landen een daling van </w:t>
            </w:r>
            <w:r>
              <w:rPr>
                <w:rFonts w:ascii="Times New Roman" w:hAnsi="Times New Roman"/>
                <w:noProof/>
                <w:lang w:val="nl-NL"/>
              </w:rPr>
              <w:t>het aandeel mensen (onder de 60) dat in huishoudens met een zeer lage arbeidsintensiteit woont, met zich meebracht, is dit percentage in Finland en Litouwen in de drie jaar tot 2017 toegenomen; de armoede onder werkenden heeft zich de afgelopen twee jaar g</w:t>
            </w:r>
            <w:r>
              <w:rPr>
                <w:rFonts w:ascii="Times New Roman" w:hAnsi="Times New Roman"/>
                <w:noProof/>
                <w:lang w:val="nl-NL"/>
              </w:rPr>
              <w:t>estabiliseerd op een piek van 9,6% voor de EU als geheel.</w:t>
            </w:r>
          </w:p>
        </w:tc>
      </w:tr>
    </w:tbl>
    <w:p w:rsidR="00222D78" w:rsidRDefault="00E65635">
      <w:pPr>
        <w:rPr>
          <w:rFonts w:ascii="Times New Roman" w:eastAsia="Times New Roman" w:hAnsi="Times New Roman" w:cs="Times New Roman"/>
          <w:b/>
          <w:noProof/>
          <w:sz w:val="24"/>
          <w:szCs w:val="24"/>
          <w:lang w:val="nl-NL"/>
        </w:rPr>
      </w:pPr>
      <w:r>
        <w:rPr>
          <w:noProof/>
          <w:lang w:val="nl-NL"/>
        </w:rPr>
        <w:br w:type="page"/>
      </w:r>
    </w:p>
    <w:p w:rsidR="00222D78" w:rsidRDefault="00E65635">
      <w:pPr>
        <w:rPr>
          <w:rFonts w:ascii="Times New Roman Bold" w:eastAsia="MS Gothic" w:hAnsi="Times New Roman Bold" w:cs="Times New Roman" w:hint="eastAsia"/>
          <w:b/>
          <w:bCs/>
          <w:smallCaps/>
          <w:noProof/>
          <w:lang w:val="nl-NL"/>
        </w:rPr>
      </w:pPr>
      <w:r>
        <w:rPr>
          <w:rFonts w:ascii="Times New Roman Bold" w:hAnsi="Times New Roman Bold"/>
          <w:b/>
          <w:smallCaps/>
          <w:noProof/>
          <w:lang w:val="nl-NL"/>
        </w:rPr>
        <w:t>3.</w:t>
      </w:r>
      <w:r>
        <w:rPr>
          <w:noProof/>
          <w:lang w:val="nl-NL"/>
        </w:rPr>
        <w:tab/>
      </w:r>
      <w:r>
        <w:rPr>
          <w:rFonts w:ascii="Times New Roman Bold" w:hAnsi="Times New Roman Bold"/>
          <w:b/>
          <w:smallCaps/>
          <w:noProof/>
          <w:lang w:val="nl-NL"/>
        </w:rPr>
        <w:t>Samenvatting van de voornaamste problemen in de lidstaten en gevolgen daarvan voor het toezicht</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Over het algemeen blijven er risico's bestaan in een aantal lidstaten en in verschillende combin</w:t>
      </w:r>
      <w:r>
        <w:rPr>
          <w:rFonts w:ascii="Times New Roman" w:hAnsi="Times New Roman"/>
          <w:b/>
          <w:noProof/>
          <w:lang w:val="nl-NL"/>
        </w:rPr>
        <w:t>aties.</w:t>
      </w:r>
      <w:r>
        <w:rPr>
          <w:rFonts w:ascii="Times New Roman" w:hAnsi="Times New Roman"/>
          <w:noProof/>
          <w:lang w:val="nl-NL"/>
        </w:rPr>
        <w:t xml:space="preserve"> De weerslag die de problemen hebben op de macro-economische stabiliteit, varieert sterk in intensiteit tussen de lidstaten naargelang van de aard en de omvang van de kwetsbare punten en de risicotrends alsmede van de manier waarop deze in elkaar gri</w:t>
      </w:r>
      <w:r>
        <w:rPr>
          <w:rFonts w:ascii="Times New Roman" w:hAnsi="Times New Roman"/>
          <w:noProof/>
          <w:lang w:val="nl-NL"/>
        </w:rPr>
        <w:t>jpen en onderling samenhangen. De voornaamste risicobronnen vertonen een samenhang die in een aantal typologieën kunnen worden samengevat:</w:t>
      </w:r>
    </w:p>
    <w:p w:rsidR="00222D78" w:rsidRDefault="00E65635">
      <w:pPr>
        <w:numPr>
          <w:ilvl w:val="0"/>
          <w:numId w:val="2"/>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Een aantal lidstaten heeft voornamelijk te maken met </w:t>
      </w:r>
      <w:r>
        <w:rPr>
          <w:rFonts w:ascii="Times New Roman" w:hAnsi="Times New Roman"/>
          <w:i/>
          <w:noProof/>
          <w:lang w:val="nl-NL"/>
        </w:rPr>
        <w:t>meervoudige en onderling verbonden kwetsbaarheden met betrekking</w:t>
      </w:r>
      <w:r>
        <w:rPr>
          <w:rFonts w:ascii="Times New Roman" w:hAnsi="Times New Roman"/>
          <w:i/>
          <w:noProof/>
          <w:lang w:val="nl-NL"/>
        </w:rPr>
        <w:t xml:space="preserve"> tot standen</w:t>
      </w:r>
      <w:r>
        <w:rPr>
          <w:rFonts w:ascii="Times New Roman" w:hAnsi="Times New Roman"/>
          <w:noProof/>
          <w:lang w:val="nl-NL"/>
        </w:rPr>
        <w:t xml:space="preserve">. Dit geldt gewoonlijk voor landen die getroffen werden door boom-bustcycli in de kredietverlening in combinatie met omkeringen van de lopende rekening, waarvan de gevolgen zich ook deden gevoelen in de banksector en in de overheidsschuld. </w:t>
      </w:r>
    </w:p>
    <w:p w:rsidR="00222D78" w:rsidRDefault="00E65635">
      <w:pPr>
        <w:numPr>
          <w:ilvl w:val="1"/>
          <w:numId w:val="2"/>
        </w:numPr>
        <w:spacing w:before="120" w:after="120"/>
        <w:ind w:left="1134" w:hanging="425"/>
        <w:jc w:val="both"/>
        <w:rPr>
          <w:rFonts w:ascii="Times New Roman" w:eastAsia="Times New Roman" w:hAnsi="Times New Roman" w:cs="Times New Roman"/>
          <w:noProof/>
          <w:lang w:val="nl-NL"/>
        </w:rPr>
      </w:pPr>
      <w:r>
        <w:rPr>
          <w:rFonts w:ascii="Times New Roman" w:hAnsi="Times New Roman"/>
          <w:noProof/>
          <w:lang w:val="nl-NL"/>
        </w:rPr>
        <w:t xml:space="preserve">In </w:t>
      </w:r>
      <w:r>
        <w:rPr>
          <w:rFonts w:ascii="Times New Roman" w:hAnsi="Times New Roman"/>
          <w:noProof/>
          <w:lang w:val="nl-NL"/>
        </w:rPr>
        <w:t>het geval van Griekenland en Cyprus zijn hoge schuldenlasten en aanzienlijke negatieve netto internationale investeringsposities gekoppeld aan voortdurende problemen voor de financiële sector. Deze landen zien zich nog steeds genoodzaakt een antwoord te bi</w:t>
      </w:r>
      <w:r>
        <w:rPr>
          <w:rFonts w:ascii="Times New Roman" w:hAnsi="Times New Roman"/>
          <w:noProof/>
          <w:lang w:val="nl-NL"/>
        </w:rPr>
        <w:t xml:space="preserve">eden op de verplichting om hun schulden substantieel af te bouwen in een context van beperkte budgettaire ruimte, hoge (maar dalende) werkloosheid en bescheiden potentiële groei. </w:t>
      </w:r>
    </w:p>
    <w:p w:rsidR="00222D78" w:rsidRDefault="00E65635">
      <w:pPr>
        <w:numPr>
          <w:ilvl w:val="1"/>
          <w:numId w:val="2"/>
        </w:numPr>
        <w:spacing w:before="120" w:after="120"/>
        <w:ind w:left="1134" w:hanging="425"/>
        <w:jc w:val="both"/>
        <w:rPr>
          <w:rFonts w:ascii="Times New Roman" w:eastAsia="Times New Roman" w:hAnsi="Times New Roman" w:cs="Times New Roman"/>
          <w:noProof/>
          <w:lang w:val="nl-NL"/>
        </w:rPr>
      </w:pPr>
      <w:r>
        <w:rPr>
          <w:rFonts w:ascii="Times New Roman" w:hAnsi="Times New Roman"/>
          <w:noProof/>
          <w:lang w:val="nl-NL"/>
        </w:rPr>
        <w:t>In Kroatië, Ierland, Portugal en Spanje is er ook sprake van belangrijke, me</w:t>
      </w:r>
      <w:r>
        <w:rPr>
          <w:rFonts w:ascii="Times New Roman" w:hAnsi="Times New Roman"/>
          <w:noProof/>
          <w:lang w:val="nl-NL"/>
        </w:rPr>
        <w:t>ervoudige en onderling gekoppelde kwetsbaarheden die voortvloeien uit problemen met standen uit het verleden. In Bulgarije is de hoge schuldenlast van ondernemingen verbonden met aanhoudende problemen van de financiële sector. In deze landen zijn de stando</w:t>
      </w:r>
      <w:r>
        <w:rPr>
          <w:rFonts w:ascii="Times New Roman" w:hAnsi="Times New Roman"/>
          <w:noProof/>
          <w:lang w:val="nl-NL"/>
        </w:rPr>
        <w:t>nevenwichtigheden aan het afnemen dankzij de economische expansie, die in sommige landen gepaard gaat met een heroplevende kostendruk op de woningprijzen (met name in Ierland en in steeds sterkere mate ook Portugal) en met achterblijvende winst aan kostenc</w:t>
      </w:r>
      <w:r>
        <w:rPr>
          <w:rFonts w:ascii="Times New Roman" w:hAnsi="Times New Roman"/>
          <w:noProof/>
          <w:lang w:val="nl-NL"/>
        </w:rPr>
        <w:t xml:space="preserve">oncurrentievermogen (sterke stijgingen van de arbeidskosten per eenheid product met name in Bulgarije). </w:t>
      </w:r>
    </w:p>
    <w:p w:rsidR="00222D78" w:rsidRDefault="00E65635">
      <w:pPr>
        <w:numPr>
          <w:ilvl w:val="0"/>
          <w:numId w:val="2"/>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In enkele lidstaten houden de kwetsbaarheden voornamelijk verband met </w:t>
      </w:r>
      <w:r>
        <w:rPr>
          <w:rFonts w:ascii="Times New Roman" w:hAnsi="Times New Roman"/>
          <w:i/>
          <w:noProof/>
          <w:lang w:val="nl-NL"/>
        </w:rPr>
        <w:t xml:space="preserve">grote volumes overheidsschuld </w:t>
      </w:r>
      <w:r>
        <w:rPr>
          <w:rFonts w:ascii="Times New Roman" w:hAnsi="Times New Roman"/>
          <w:noProof/>
          <w:lang w:val="nl-NL"/>
        </w:rPr>
        <w:t xml:space="preserve">gekoppeld met problemen met betrekking tot de </w:t>
      </w:r>
      <w:r>
        <w:rPr>
          <w:rFonts w:ascii="Times New Roman" w:hAnsi="Times New Roman"/>
          <w:i/>
          <w:noProof/>
          <w:lang w:val="nl-NL"/>
        </w:rPr>
        <w:t>poten</w:t>
      </w:r>
      <w:r>
        <w:rPr>
          <w:rFonts w:ascii="Times New Roman" w:hAnsi="Times New Roman"/>
          <w:i/>
          <w:noProof/>
          <w:lang w:val="nl-NL"/>
        </w:rPr>
        <w:t>tiële outputgroei</w:t>
      </w:r>
      <w:r>
        <w:rPr>
          <w:rFonts w:ascii="Times New Roman" w:hAnsi="Times New Roman"/>
          <w:noProof/>
          <w:lang w:val="nl-NL"/>
        </w:rPr>
        <w:t xml:space="preserve"> en het </w:t>
      </w:r>
      <w:r>
        <w:rPr>
          <w:rFonts w:ascii="Times New Roman" w:hAnsi="Times New Roman"/>
          <w:i/>
          <w:noProof/>
          <w:lang w:val="nl-NL"/>
        </w:rPr>
        <w:t>concurrentievermogen</w:t>
      </w:r>
      <w:r>
        <w:rPr>
          <w:rFonts w:ascii="Times New Roman" w:hAnsi="Times New Roman"/>
          <w:noProof/>
          <w:lang w:val="nl-NL"/>
        </w:rPr>
        <w:t xml:space="preserve">. Dit is met name het geval voor Italië, waar de zwakke punten ook betrekking hebben op de banksector en de grote, recentelijk weliswaar snel dalende, hoeveelheden niet-renderende leningen. België en Frankrijk </w:t>
      </w:r>
      <w:r>
        <w:rPr>
          <w:rFonts w:ascii="Times New Roman" w:hAnsi="Times New Roman"/>
          <w:noProof/>
          <w:lang w:val="nl-NL"/>
        </w:rPr>
        <w:t>hebben ook af te rekenen met hoge overheidsschulden en potentiële groeiproblemen, ook in een context van beperkt concurrentievermogen, maar deze landen worden niet geconfronteerd met soortgelijke potentiële risico’s voor de overheidsschuld of ten gevolge v</w:t>
      </w:r>
      <w:r>
        <w:rPr>
          <w:rFonts w:ascii="Times New Roman" w:hAnsi="Times New Roman"/>
          <w:noProof/>
          <w:lang w:val="nl-NL"/>
        </w:rPr>
        <w:t>an kwetsbare banken. In Frankrijk is zich een in vergelijking hoge schuldenlast van ondernemingen aan het vormen. In België is de betrekkelijk hoge schuldenlast van de huishoudens gekoppeld aan mogelijk overgewaardeerde huizenprijzen.</w:t>
      </w:r>
    </w:p>
    <w:p w:rsidR="00222D78" w:rsidRDefault="00E65635">
      <w:pPr>
        <w:numPr>
          <w:ilvl w:val="0"/>
          <w:numId w:val="2"/>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Sommige lidstaten wor</w:t>
      </w:r>
      <w:r>
        <w:rPr>
          <w:rFonts w:ascii="Times New Roman" w:hAnsi="Times New Roman"/>
          <w:noProof/>
          <w:lang w:val="nl-NL"/>
        </w:rPr>
        <w:t xml:space="preserve">den gekenmerkt door </w:t>
      </w:r>
      <w:r>
        <w:rPr>
          <w:rFonts w:ascii="Times New Roman" w:hAnsi="Times New Roman"/>
          <w:i/>
          <w:noProof/>
          <w:lang w:val="nl-NL"/>
        </w:rPr>
        <w:t>grote en aanhoudende overschotten op de lopende rekening</w:t>
      </w:r>
      <w:r>
        <w:rPr>
          <w:rFonts w:ascii="Times New Roman" w:hAnsi="Times New Roman"/>
          <w:noProof/>
          <w:lang w:val="nl-NL"/>
        </w:rPr>
        <w:t xml:space="preserve"> die ook in uiteenlopende mate een weerspiegeling vormen van getemperde particuliere consumptie en investeringen, meer dan op basis van de economische fundamentals gerechtvaardigd </w:t>
      </w:r>
      <w:r>
        <w:rPr>
          <w:rFonts w:ascii="Times New Roman" w:hAnsi="Times New Roman"/>
          <w:noProof/>
          <w:lang w:val="nl-NL"/>
        </w:rPr>
        <w:t>zou zijn. Dit geldt met name voor Duitsland en Nederland. In het geval van Duitsland wordt dit gecombineerd met de afbouw van de schuldenlast in alle sectoren van de economie, ook al zijn de schuldniveaus in vergelijking niet hoog. In Nederland is een groo</w:t>
      </w:r>
      <w:r>
        <w:rPr>
          <w:rFonts w:ascii="Times New Roman" w:hAnsi="Times New Roman"/>
          <w:noProof/>
          <w:lang w:val="nl-NL"/>
        </w:rPr>
        <w:t>t overschot gekoppeld aan een hoge schuld van de huishoudens en een sterke groei van de huizenprijzen. De grote en aanhoudende overschotten kunnen gemiste kansen voor groei en binnenlandse investeringen inhouden waarvan de gevolgen voelbaar zijn in de rest</w:t>
      </w:r>
      <w:r>
        <w:rPr>
          <w:rFonts w:ascii="Times New Roman" w:hAnsi="Times New Roman"/>
          <w:noProof/>
          <w:lang w:val="nl-NL"/>
        </w:rPr>
        <w:t xml:space="preserve"> van de eurozone, in een context waarin de inflatie nog steeds onder de doelstelling blijft en tegen een externe achtergrond die steeds onzekerder wordt en waarvan mogelijk minder steun kan worden verwacht.</w:t>
      </w:r>
    </w:p>
    <w:p w:rsidR="00222D78" w:rsidRDefault="00E65635">
      <w:pPr>
        <w:numPr>
          <w:ilvl w:val="0"/>
          <w:numId w:val="2"/>
        </w:numPr>
        <w:spacing w:before="120" w:after="120"/>
        <w:ind w:left="567" w:hanging="425"/>
        <w:jc w:val="both"/>
        <w:rPr>
          <w:rFonts w:ascii="Times New Roman" w:eastAsia="Times New Roman" w:hAnsi="Times New Roman" w:cs="Times New Roman"/>
          <w:noProof/>
          <w:lang w:val="nl-NL"/>
        </w:rPr>
      </w:pPr>
      <w:r>
        <w:rPr>
          <w:rFonts w:ascii="Times New Roman" w:hAnsi="Times New Roman"/>
          <w:noProof/>
          <w:lang w:val="nl-NL"/>
        </w:rPr>
        <w:t xml:space="preserve">In sommige lidstaten wijzen de </w:t>
      </w:r>
      <w:r>
        <w:rPr>
          <w:rFonts w:ascii="Times New Roman" w:hAnsi="Times New Roman"/>
          <w:i/>
          <w:noProof/>
          <w:lang w:val="nl-NL"/>
        </w:rPr>
        <w:t xml:space="preserve">ontwikkelingen op </w:t>
      </w:r>
      <w:r>
        <w:rPr>
          <w:rFonts w:ascii="Times New Roman" w:hAnsi="Times New Roman"/>
          <w:i/>
          <w:noProof/>
          <w:lang w:val="nl-NL"/>
        </w:rPr>
        <w:t>het gebied van prijs- of kostenvariabelen op potentiële tekenen van oververhitting, in het bijzonder met betrekking tot de woningmarkt of de arbeidsmarkt</w:t>
      </w:r>
      <w:r>
        <w:rPr>
          <w:rFonts w:ascii="Times New Roman" w:hAnsi="Times New Roman"/>
          <w:noProof/>
          <w:lang w:val="nl-NL"/>
        </w:rPr>
        <w:t xml:space="preserve">. </w:t>
      </w:r>
    </w:p>
    <w:p w:rsidR="00222D78" w:rsidRDefault="00E65635">
      <w:pPr>
        <w:numPr>
          <w:ilvl w:val="1"/>
          <w:numId w:val="2"/>
        </w:numPr>
        <w:spacing w:before="120" w:after="120"/>
        <w:ind w:left="1134" w:hanging="425"/>
        <w:jc w:val="both"/>
        <w:rPr>
          <w:rFonts w:ascii="Times New Roman" w:eastAsia="Times New Roman" w:hAnsi="Times New Roman" w:cs="Times New Roman"/>
          <w:noProof/>
          <w:lang w:val="nl-NL"/>
        </w:rPr>
      </w:pPr>
      <w:r>
        <w:rPr>
          <w:rFonts w:ascii="Times New Roman" w:hAnsi="Times New Roman"/>
          <w:noProof/>
          <w:lang w:val="nl-NL"/>
        </w:rPr>
        <w:t>In Zweden en in mindere mate in Oostenrijk, Denemarken, Luxemburg, Nederland en het Verenigd Koninkr</w:t>
      </w:r>
      <w:r>
        <w:rPr>
          <w:rFonts w:ascii="Times New Roman" w:hAnsi="Times New Roman"/>
          <w:noProof/>
          <w:lang w:val="nl-NL"/>
        </w:rPr>
        <w:t>ijk is er sprake van een aanhoudende stijging van de huizenprijzen in een context van mogelijke overwaarderingskloven en hoge schuldniveaus van de huishoudens, maar uit recente gegevens blijkt dat de huizenprijzen minder snel aan het stijgen zijn. In een a</w:t>
      </w:r>
      <w:r>
        <w:rPr>
          <w:rFonts w:ascii="Times New Roman" w:hAnsi="Times New Roman"/>
          <w:noProof/>
          <w:lang w:val="nl-NL"/>
        </w:rPr>
        <w:t xml:space="preserve">antal landen zijn er voor de sterke groei van de huizenprijzen minder duidelijke tekenen van overwaardering en een beheerste schuldpositie van de huishoudens (bijvoorbeeld Tsjechië, Hongarije en Letland). </w:t>
      </w:r>
    </w:p>
    <w:p w:rsidR="00222D78" w:rsidRDefault="00E65635">
      <w:pPr>
        <w:numPr>
          <w:ilvl w:val="1"/>
          <w:numId w:val="2"/>
        </w:numPr>
        <w:spacing w:before="120" w:after="120"/>
        <w:ind w:left="1134" w:hanging="425"/>
        <w:jc w:val="both"/>
        <w:rPr>
          <w:rFonts w:ascii="Times New Roman" w:eastAsia="Times New Roman" w:hAnsi="Times New Roman" w:cs="Times New Roman"/>
          <w:noProof/>
          <w:lang w:val="nl-NL"/>
        </w:rPr>
      </w:pPr>
      <w:r>
        <w:rPr>
          <w:rFonts w:ascii="Times New Roman" w:hAnsi="Times New Roman"/>
          <w:noProof/>
          <w:lang w:val="nl-NL"/>
        </w:rPr>
        <w:t>In Tsjechië, Estland, Hongarije, Letland, Litouwen</w:t>
      </w:r>
      <w:r>
        <w:rPr>
          <w:rFonts w:ascii="Times New Roman" w:hAnsi="Times New Roman"/>
          <w:noProof/>
          <w:lang w:val="nl-NL"/>
        </w:rPr>
        <w:t xml:space="preserve"> en Roemenië blijven de arbeidskosten per eenheid product stijgen tegen een vrij hoog tempo, terwijl het prijsconcurrentievermogen langzaam daalt. In het geval van Roemenië wordt een versnelde toename van de arbeidskosten per eenheid product opgetekend teg</w:t>
      </w:r>
      <w:r>
        <w:rPr>
          <w:rFonts w:ascii="Times New Roman" w:hAnsi="Times New Roman"/>
          <w:noProof/>
          <w:lang w:val="nl-NL"/>
        </w:rPr>
        <w:t>en de achtergrond van een verslechterende balans van de lopende rekening en een procyclisch budgettair beleid dat de mogelijke oververhittingstendensen nog zou kunnen aanscherpen.</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noProof/>
          <w:lang w:val="nl-NL"/>
        </w:rPr>
        <w:t>De komende diepgaande evaluaties zullen helpen deze problemen nader te onder</w:t>
      </w:r>
      <w:r>
        <w:rPr>
          <w:rFonts w:ascii="Times New Roman" w:hAnsi="Times New Roman"/>
          <w:noProof/>
          <w:lang w:val="nl-NL"/>
        </w:rPr>
        <w:t xml:space="preserve">zoeken en de beleidskoers te bepalen. </w:t>
      </w:r>
    </w:p>
    <w:p w:rsidR="00222D78" w:rsidRDefault="00E65635">
      <w:pPr>
        <w:spacing w:before="120" w:after="120"/>
        <w:jc w:val="both"/>
        <w:rPr>
          <w:rFonts w:ascii="Times New Roman" w:eastAsia="Times New Roman" w:hAnsi="Times New Roman" w:cs="Times New Roman"/>
          <w:noProof/>
          <w:lang w:val="nl-NL"/>
        </w:rPr>
      </w:pPr>
      <w:r>
        <w:rPr>
          <w:rFonts w:ascii="Times New Roman" w:hAnsi="Times New Roman"/>
          <w:b/>
          <w:noProof/>
          <w:lang w:val="nl-NL"/>
        </w:rPr>
        <w:t>Over het geheel genomen zijn diepgaande evaluaties gerechtvaardigd voor 13 lidstaten: Bulgarije, Cyprus, Duitsland, Frankrijk, Griekenland, Ierland, Italië, Kroatië, Nederland, Portugal, Roemenië, Spanje en Zweden.</w:t>
      </w:r>
      <w:r>
        <w:rPr>
          <w:rFonts w:ascii="Times New Roman" w:hAnsi="Times New Roman"/>
          <w:noProof/>
          <w:lang w:val="nl-NL"/>
        </w:rPr>
        <w:t xml:space="preserve"> Vo</w:t>
      </w:r>
      <w:r>
        <w:rPr>
          <w:rFonts w:ascii="Times New Roman" w:hAnsi="Times New Roman"/>
          <w:noProof/>
          <w:lang w:val="nl-NL"/>
        </w:rPr>
        <w:t>or elf deze lidstaten werd in de vorige jaarlijkse MIP-cyclus een diepgaande evaluatie verricht. Volgens een vaste praktijk zal een nieuwe diepgaande evaluatie worden opgesteld om na te gaan of de geconstateerde onevenwichtigheden nog verergeren dan wel ge</w:t>
      </w:r>
      <w:r>
        <w:rPr>
          <w:rFonts w:ascii="Times New Roman" w:hAnsi="Times New Roman"/>
          <w:noProof/>
          <w:lang w:val="nl-NL"/>
        </w:rPr>
        <w:t>corrigeerd worden. Het is dan de bedoeling de bestaande beoordeling te actualiseren. De betrokken lidstaten zijn Bulgarije, Cyprus, Duitsland, Frankrijk, Ierland, Italië, Kroatië, Nederland, Portugal, Spanje en Zweden. Ook voor Griekenland zal een diepgaan</w:t>
      </w:r>
      <w:r>
        <w:rPr>
          <w:rFonts w:ascii="Times New Roman" w:hAnsi="Times New Roman"/>
          <w:noProof/>
          <w:lang w:val="nl-NL"/>
        </w:rPr>
        <w:t xml:space="preserve">de evaluatie worden opgesteld om mogelijke onevenwichtigheden na te gaan die zouden voortkomen uit een aantal bronnen, met name kwetsbaarheden op het gebied van standen. Griekenland was voorheen van het MIP-toezicht uitgesloten omdat het land tot augustus </w:t>
      </w:r>
      <w:r>
        <w:rPr>
          <w:rFonts w:ascii="Times New Roman" w:hAnsi="Times New Roman"/>
          <w:noProof/>
          <w:lang w:val="nl-NL"/>
        </w:rPr>
        <w:t>2018 in het kader van de financiële bijstand onder een macro-economisch aanpassingsprogramma viel. De beoordeling in het WMV wijst niet op significante bijkomende risico's in vergelijking met die welke in de laatst beschikbare diepgaande evaluaties zijn ge</w:t>
      </w:r>
      <w:r>
        <w:rPr>
          <w:rFonts w:ascii="Times New Roman" w:hAnsi="Times New Roman"/>
          <w:noProof/>
          <w:lang w:val="nl-NL"/>
        </w:rPr>
        <w:t>constateerd voor een aantal lidstaten waarvoor het MIP-toezicht de afgelopen jaren werd opgeheven (Slovenië in 2018, Finland in 2017, België en Hongarije in 2016) of waarvoor een diepgaande evaluatie werd opgesteld zonder dat onevenwichtigheden werden geco</w:t>
      </w:r>
      <w:r>
        <w:rPr>
          <w:rFonts w:ascii="Times New Roman" w:hAnsi="Times New Roman"/>
          <w:noProof/>
          <w:lang w:val="nl-NL"/>
        </w:rPr>
        <w:t>nstateerd (Oostenrijk en Estland in 2016). Het lijkt daarentegen gerechtvaardigd een diepgaande evaluatie te verrichten voor Roemenië om de ontwikkelingen te beoordelen en na te gaan of er opnieuw sprake kan zijn van risicovolle ontwikkelingen zoals vastge</w:t>
      </w:r>
      <w:r>
        <w:rPr>
          <w:rFonts w:ascii="Times New Roman" w:hAnsi="Times New Roman"/>
          <w:noProof/>
          <w:lang w:val="nl-NL"/>
        </w:rPr>
        <w:t xml:space="preserve">steld in vroegere evaluaties, met name wat het concurrentievermogen en de externe balans betreft. </w:t>
      </w:r>
    </w:p>
    <w:p w:rsidR="00222D78" w:rsidRDefault="00222D78">
      <w:pPr>
        <w:rPr>
          <w:rFonts w:ascii="Times New Roman" w:hAnsi="Times New Roman" w:cs="Times New Roman"/>
          <w:noProof/>
          <w:lang w:val="nl-NL"/>
        </w:rPr>
      </w:pPr>
    </w:p>
    <w:p w:rsidR="00222D78" w:rsidRDefault="00E65635">
      <w:pPr>
        <w:rPr>
          <w:rFonts w:ascii="Times New Roman" w:hAnsi="Times New Roman" w:cs="Times New Roman"/>
          <w:b/>
          <w:noProof/>
          <w:lang w:val="nl-NL"/>
        </w:rPr>
      </w:pPr>
      <w:r>
        <w:rPr>
          <w:noProof/>
          <w:lang w:val="nl-NL"/>
        </w:rPr>
        <w:br w:type="page"/>
      </w:r>
    </w:p>
    <w:p w:rsidR="00222D78" w:rsidRDefault="00E65635">
      <w:pPr>
        <w:pStyle w:val="Heading1"/>
        <w:rPr>
          <w:rFonts w:hint="eastAsia"/>
          <w:lang w:val="nl-NL"/>
        </w:rPr>
      </w:pPr>
      <w:r>
        <w:rPr>
          <w:lang w:val="nl-NL"/>
        </w:rPr>
        <w:t>4.</w:t>
      </w:r>
      <w:r>
        <w:rPr>
          <w:lang w:val="nl-NL"/>
        </w:rPr>
        <w:tab/>
        <w:t>Onevenwichtigheden, risico's en aanpassing: lidstaatspecifieke opmerkingen</w:t>
      </w:r>
    </w:p>
    <w:p w:rsidR="00222D78" w:rsidRDefault="00222D78">
      <w:pPr>
        <w:spacing w:after="160" w:line="259" w:lineRule="auto"/>
        <w:rPr>
          <w:rFonts w:ascii="Times New Roman" w:eastAsia="Calibri" w:hAnsi="Times New Roman" w:cs="Times New Roman"/>
          <w:b/>
          <w:noProof/>
          <w:lang w:val="nl-NL"/>
        </w:rPr>
      </w:pP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b/>
          <w:noProof/>
          <w:lang w:val="nl-NL"/>
        </w:rPr>
        <w:t>België:</w:t>
      </w:r>
      <w:r>
        <w:rPr>
          <w:rFonts w:ascii="Times New Roman" w:hAnsi="Times New Roman"/>
          <w:noProof/>
          <w:lang w:val="nl-NL"/>
        </w:rPr>
        <w:t xml:space="preserve"> Tijdens de vorige MIP-ronde zijn in België </w:t>
      </w:r>
      <w:r>
        <w:rPr>
          <w:rFonts w:ascii="Times New Roman" w:hAnsi="Times New Roman"/>
          <w:i/>
          <w:noProof/>
          <w:lang w:val="nl-NL"/>
        </w:rPr>
        <w:t>ge</w:t>
      </w:r>
      <w:r>
        <w:rPr>
          <w:noProof/>
          <w:lang w:eastAsia="en-GB"/>
        </w:rPr>
        <w:drawing>
          <wp:anchor distT="0" distB="0" distL="114300" distR="114300" simplePos="0" relativeHeight="251659264" behindDoc="1" locked="0" layoutInCell="1" allowOverlap="1">
            <wp:simplePos x="0" y="0"/>
            <wp:positionH relativeFrom="column">
              <wp:posOffset>3091180</wp:posOffset>
            </wp:positionH>
            <wp:positionV relativeFrom="paragraph">
              <wp:posOffset>-3810</wp:posOffset>
            </wp:positionV>
            <wp:extent cx="2524125" cy="2962275"/>
            <wp:effectExtent l="0" t="0" r="9525" b="0"/>
            <wp:wrapTight wrapText="bothSides">
              <wp:wrapPolygon edited="0">
                <wp:start x="163" y="417"/>
                <wp:lineTo x="0" y="1806"/>
                <wp:lineTo x="0" y="21253"/>
                <wp:lineTo x="6195" y="21253"/>
                <wp:lineTo x="6195" y="20697"/>
                <wp:lineTo x="21518" y="20280"/>
                <wp:lineTo x="21518" y="1667"/>
                <wp:lineTo x="18258" y="695"/>
                <wp:lineTo x="14346" y="417"/>
                <wp:lineTo x="163" y="417"/>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 xml:space="preserve">en macro-economische </w:t>
      </w:r>
      <w:r>
        <w:rPr>
          <w:rFonts w:ascii="Times New Roman" w:hAnsi="Times New Roman"/>
          <w:i/>
          <w:noProof/>
          <w:lang w:val="nl-NL"/>
        </w:rPr>
        <w:t>onevenwichtigheden</w:t>
      </w:r>
      <w:r>
        <w:rPr>
          <w:rFonts w:ascii="Times New Roman" w:hAnsi="Times New Roman"/>
          <w:noProof/>
          <w:lang w:val="nl-NL"/>
        </w:rPr>
        <w:t xml:space="preserve"> geconstateerd. Op het geactualiseerde scorebord ligt een aantal indicatoren boven de indicatieve drempel, namelijk de particuliere schuld en de overheidsschuld. </w:t>
      </w:r>
    </w:p>
    <w:p w:rsidR="00222D78" w:rsidRDefault="00E65635">
      <w:pPr>
        <w:spacing w:after="120" w:line="300" w:lineRule="atLeast"/>
        <w:jc w:val="both"/>
        <w:rPr>
          <w:rFonts w:ascii="Times New Roman" w:eastAsia="Calibri" w:hAnsi="Times New Roman" w:cs="Times New Roman"/>
          <w:noProof/>
          <w:lang w:val="nl-NL"/>
        </w:rPr>
      </w:pPr>
      <w:r>
        <w:rPr>
          <w:rFonts w:ascii="Times New Roman" w:hAnsi="Times New Roman"/>
          <w:noProof/>
          <w:lang w:val="nl-NL"/>
        </w:rPr>
        <w:t>De houdbaarheid van de externe positie wordt ondersteund door een verbetere</w:t>
      </w:r>
      <w:r>
        <w:rPr>
          <w:rFonts w:ascii="Times New Roman" w:hAnsi="Times New Roman"/>
          <w:noProof/>
          <w:lang w:val="nl-NL"/>
        </w:rPr>
        <w:t>nde lopende rekening en een gunstige netto internationale investeringspositie. Na enkele jaren van loonmatiging is de groei van de arbeidskosten per eenheid product toegenomen maar blijft deze onder controle. In 2017 werd een beperkte inkrimping van het ex</w:t>
      </w:r>
      <w:r>
        <w:rPr>
          <w:rFonts w:ascii="Times New Roman" w:hAnsi="Times New Roman"/>
          <w:noProof/>
          <w:lang w:val="nl-NL"/>
        </w:rPr>
        <w:t>portmarktaandeel vastgesteld. De particuliere schuld is relatief hoog, met name voor niet-financiële vennootschappen, hoewel de schuldcijfers opgeblazen zijn door grootschalige grensoverschrijdende kredietverlening binnen groepen. De risico's met betrekkin</w:t>
      </w:r>
      <w:r>
        <w:rPr>
          <w:rFonts w:ascii="Times New Roman" w:hAnsi="Times New Roman"/>
          <w:noProof/>
          <w:lang w:val="nl-NL"/>
        </w:rPr>
        <w:t>g tot de schuld van de huishoudens vinden hun oorsprong hoofdzakelijk in de woningmarkt waar de groei van de reële huizenprijzen de afgelopen jaren matig is geweest ook al heeft er geen correctie plaatsgevonden voor de snelle stijging van vóór 2008. De ove</w:t>
      </w:r>
      <w:r>
        <w:rPr>
          <w:rFonts w:ascii="Times New Roman" w:hAnsi="Times New Roman"/>
          <w:noProof/>
          <w:lang w:val="nl-NL"/>
        </w:rPr>
        <w:t>rheidsschuld is gestabiliseerd en is licht gedaald ten opzichte van de piek in 2014. Het hoge niveau van overheidsschuld blijft echter een belangrijke uitdaging voor de houdbaarheid op lange termijn van de publieke financiën. De situatie op de arbeidsmarkt</w:t>
      </w:r>
      <w:r>
        <w:rPr>
          <w:rFonts w:ascii="Times New Roman" w:hAnsi="Times New Roman"/>
          <w:noProof/>
          <w:lang w:val="nl-NL"/>
        </w:rPr>
        <w:t xml:space="preserve"> is verbeterd en de werkloosheid blijft dalen, ook voor langdurig werklozen en jongeren. De arbeidsparticipatie blijft laag in vergelijking met andere EU-landen en contrasteert met het hoge en stijgende percentage vacatures.</w:t>
      </w:r>
    </w:p>
    <w:p w:rsidR="00222D78" w:rsidRDefault="00E65635">
      <w:pPr>
        <w:spacing w:after="120" w:line="300" w:lineRule="atLeast"/>
        <w:jc w:val="both"/>
        <w:rPr>
          <w:rFonts w:ascii="Times New Roman" w:eastAsia="Calibri" w:hAnsi="Times New Roman" w:cs="Times New Roman"/>
          <w:i/>
          <w:noProof/>
          <w:lang w:val="nl-NL"/>
        </w:rPr>
      </w:pPr>
      <w:r>
        <w:rPr>
          <w:noProof/>
          <w:lang w:eastAsia="en-GB"/>
        </w:rPr>
        <w:drawing>
          <wp:anchor distT="0" distB="0" distL="114300" distR="114300" simplePos="0" relativeHeight="251661312" behindDoc="0" locked="0" layoutInCell="1" allowOverlap="1">
            <wp:simplePos x="0" y="0"/>
            <wp:positionH relativeFrom="column">
              <wp:posOffset>3386455</wp:posOffset>
            </wp:positionH>
            <wp:positionV relativeFrom="paragraph">
              <wp:posOffset>755015</wp:posOffset>
            </wp:positionV>
            <wp:extent cx="2552700" cy="29813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Over het geheel genomen blijkt</w:t>
      </w:r>
      <w:r>
        <w:rPr>
          <w:rFonts w:ascii="Times New Roman" w:hAnsi="Times New Roman"/>
          <w:i/>
          <w:noProof/>
          <w:lang w:val="nl-NL"/>
        </w:rPr>
        <w:t xml:space="preserve"> uit de economische analyse dat er vooral problemen zijn in verband met zowel de overheids- als de particuliere schulden, hoewel de risico's beperkt lijken. Bijgevolg zal de Commissie in dit stadium niet overgaan tot een verdere diepgaande analyse in de co</w:t>
      </w:r>
      <w:r>
        <w:rPr>
          <w:rFonts w:ascii="Times New Roman" w:hAnsi="Times New Roman"/>
          <w:i/>
          <w:noProof/>
          <w:lang w:val="nl-NL"/>
        </w:rPr>
        <w:t>ntext van de MIP.</w:t>
      </w:r>
    </w:p>
    <w:p w:rsidR="00222D78" w:rsidRDefault="00222D78">
      <w:pPr>
        <w:spacing w:after="120" w:line="300" w:lineRule="atLeast"/>
        <w:jc w:val="both"/>
        <w:rPr>
          <w:rFonts w:ascii="Times New Roman" w:eastAsia="Calibri" w:hAnsi="Times New Roman" w:cs="Times New Roman"/>
          <w:noProof/>
          <w:lang w:val="nl-NL"/>
        </w:rPr>
      </w:pPr>
    </w:p>
    <w:p w:rsidR="00222D78" w:rsidRDefault="00E65635">
      <w:pPr>
        <w:spacing w:after="160"/>
        <w:jc w:val="both"/>
        <w:rPr>
          <w:noProof/>
          <w:lang w:val="nl-NL"/>
        </w:rPr>
      </w:pPr>
      <w:r>
        <w:rPr>
          <w:rFonts w:ascii="Times New Roman" w:hAnsi="Times New Roman"/>
          <w:b/>
          <w:noProof/>
          <w:lang w:val="nl-NL"/>
        </w:rPr>
        <w:t>Bulgarije</w:t>
      </w:r>
      <w:r>
        <w:rPr>
          <w:rFonts w:ascii="Times New Roman" w:hAnsi="Times New Roman"/>
          <w:b/>
          <w:i/>
          <w:noProof/>
          <w:lang w:val="nl-NL"/>
        </w:rPr>
        <w:t xml:space="preserve">: </w:t>
      </w:r>
      <w:r>
        <w:rPr>
          <w:rFonts w:ascii="Times New Roman" w:hAnsi="Times New Roman"/>
          <w:noProof/>
          <w:lang w:val="nl-NL"/>
        </w:rPr>
        <w:t xml:space="preserve">In maart 2018 werd geconstateerd dat Bulgarije met </w:t>
      </w:r>
      <w:r>
        <w:rPr>
          <w:rFonts w:ascii="Times New Roman" w:hAnsi="Times New Roman"/>
          <w:i/>
          <w:noProof/>
          <w:lang w:val="nl-NL"/>
        </w:rPr>
        <w:t>onevenwichtigheden</w:t>
      </w:r>
      <w:r>
        <w:rPr>
          <w:rFonts w:ascii="Times New Roman" w:hAnsi="Times New Roman"/>
          <w:noProof/>
          <w:lang w:val="nl-NL"/>
        </w:rPr>
        <w:t xml:space="preserve"> werd geconfronteerd, met name in verband met kwetsbare punten in de financiële sector, gekoppeld aan een hoge schuldenlast en niet-renderende leningen van o</w:t>
      </w:r>
      <w:r>
        <w:rPr>
          <w:rFonts w:ascii="Times New Roman" w:hAnsi="Times New Roman"/>
          <w:noProof/>
          <w:lang w:val="nl-NL"/>
        </w:rPr>
        <w:t xml:space="preserve">ndernemingen. Op het geactualiseerde scorebord liggen drie indicatoren boven de indicatieve drempel, namelijk de netto internationale investeringspositie (NIIP), de nominale arbeidskosten per eenheid product en de reële groei van de huizenprijzen. </w:t>
      </w:r>
    </w:p>
    <w:p w:rsidR="00222D78" w:rsidRDefault="00E65635">
      <w:pPr>
        <w:spacing w:after="160"/>
        <w:jc w:val="both"/>
        <w:rPr>
          <w:noProof/>
          <w:lang w:val="nl-NL"/>
        </w:rPr>
      </w:pPr>
      <w:r>
        <w:rPr>
          <w:rFonts w:ascii="Times New Roman" w:hAnsi="Times New Roman"/>
          <w:noProof/>
          <w:lang w:val="nl-NL"/>
        </w:rPr>
        <w:t>Het ove</w:t>
      </w:r>
      <w:r>
        <w:rPr>
          <w:rFonts w:ascii="Times New Roman" w:hAnsi="Times New Roman"/>
          <w:noProof/>
          <w:lang w:val="nl-NL"/>
        </w:rPr>
        <w:t>rschot op de lopende rekening is in 2017 verder toegenomen, hoewel de negatieve NIIP, die hoofdzakelijk buitenlandse directe investeringen weergeeft, verder is verbeterd. De groei van de arbeidskosten per eenheid product is in 2017 opmerkelijk gestegen, ma</w:t>
      </w:r>
      <w:r>
        <w:rPr>
          <w:rFonts w:ascii="Times New Roman" w:hAnsi="Times New Roman"/>
          <w:noProof/>
          <w:lang w:val="nl-NL"/>
        </w:rPr>
        <w:t>ar de reële effectieve wisselkoers bleef grotendeels stabiel en er was sprake van enige winst aan exportmarktaandeel. De hoge schuldenlast van de ondernemingen blijft verontrustend hoewel de schuldgraad de laatste jaren geleidelijk is gedaald, hetgeen voor</w:t>
      </w:r>
      <w:r>
        <w:rPr>
          <w:rFonts w:ascii="Times New Roman" w:hAnsi="Times New Roman"/>
          <w:noProof/>
          <w:lang w:val="nl-NL"/>
        </w:rPr>
        <w:t xml:space="preserve"> een deel te danken is aan de robuuste groei van het nominale bbp. De kredietstromen zijn weer aan het aantrekken, waardoor de schuldafbouw zal vertragen, maar dit zou ook hogere particuliere investeringen en een sterkere potentiële groei kunnen bevorderen</w:t>
      </w:r>
      <w:r>
        <w:rPr>
          <w:rFonts w:ascii="Times New Roman" w:hAnsi="Times New Roman"/>
          <w:noProof/>
          <w:lang w:val="nl-NL"/>
        </w:rPr>
        <w:t>. Het percentage niet-renderende leningen is weliswaar aan het dalen maar blijft hoog, vooral voor het bedrijfsleven. Hoewel er vooruitgang is geboekt om het toezicht in de financiële sector te verbeteren na de doorlichting van de kwaliteit van de activa i</w:t>
      </w:r>
      <w:r>
        <w:rPr>
          <w:rFonts w:ascii="Times New Roman" w:hAnsi="Times New Roman"/>
          <w:noProof/>
          <w:lang w:val="nl-NL"/>
        </w:rPr>
        <w:t xml:space="preserve">n 2016, blijft een aantal pijnpunten aandacht vragen, waaronder transacties tussen gelieerde partijen en blootstellingen aan moeilijk te waarderen activa. De reële huizenprijzen zijn snel gestegen en ook de bouw- en hypothecaire kredieten zijn toegenomen. </w:t>
      </w:r>
      <w:r>
        <w:rPr>
          <w:rFonts w:ascii="Times New Roman" w:hAnsi="Times New Roman"/>
          <w:noProof/>
          <w:lang w:val="nl-NL"/>
        </w:rPr>
        <w:t>In dit stadium zijn er nog geen tekenen van overwaardering maar de huidige dynamiek op de woningmarkt verdient verdere aandacht. In deze context van gunstige conjuncturele ontwikkelingen is de werkloosheid verder afgenomen, met name voor jongeren en langdu</w:t>
      </w:r>
      <w:r>
        <w:rPr>
          <w:rFonts w:ascii="Times New Roman" w:hAnsi="Times New Roman"/>
          <w:noProof/>
          <w:lang w:val="nl-NL"/>
        </w:rPr>
        <w:t>rig werklozen, en is de participatiegraad verbeterd.</w:t>
      </w:r>
    </w:p>
    <w:p w:rsidR="00222D78" w:rsidRDefault="00E65635">
      <w:pPr>
        <w:spacing w:after="160"/>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resterende zwakke plekken van de financiële sector en de schulden van de ondernemingen. Bijgevolg acht de Co</w:t>
      </w:r>
      <w:r>
        <w:rPr>
          <w:rFonts w:ascii="Times New Roman" w:hAnsi="Times New Roman"/>
          <w:i/>
          <w:noProof/>
          <w:lang w:val="nl-NL"/>
        </w:rPr>
        <w:t>mmissie het nuttig, mede in het licht van de vaststelling van een onevenwichtigheid in februari 2018, verder na te gaan of de onevenwichtigheden aanhouden dan wel ongedaan worden gemaakt.</w:t>
      </w:r>
    </w:p>
    <w:p w:rsidR="00222D78" w:rsidRDefault="00222D78">
      <w:pPr>
        <w:spacing w:after="160" w:line="259" w:lineRule="auto"/>
        <w:jc w:val="both"/>
        <w:rPr>
          <w:noProof/>
          <w:lang w:val="nl-NL"/>
        </w:rPr>
      </w:pPr>
    </w:p>
    <w:p w:rsidR="00222D78" w:rsidRDefault="00E65635">
      <w:pPr>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62336" behindDoc="0" locked="0" layoutInCell="1" allowOverlap="1">
            <wp:simplePos x="0" y="0"/>
            <wp:positionH relativeFrom="column">
              <wp:posOffset>3672205</wp:posOffset>
            </wp:positionH>
            <wp:positionV relativeFrom="paragraph">
              <wp:posOffset>56515</wp:posOffset>
            </wp:positionV>
            <wp:extent cx="2314575" cy="301942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nl-NL"/>
        </w:rPr>
        <w:t>Tsjechië</w:t>
      </w:r>
      <w:r>
        <w:rPr>
          <w:rFonts w:ascii="Times New Roman" w:hAnsi="Times New Roman"/>
          <w:noProof/>
          <w:lang w:val="nl-NL"/>
        </w:rPr>
        <w:t xml:space="preserve"> Tijdens de vorige MIP-ronde werden in Tsjechië </w:t>
      </w:r>
      <w:r>
        <w:rPr>
          <w:rFonts w:ascii="Times New Roman" w:hAnsi="Times New Roman"/>
          <w:i/>
          <w:noProof/>
          <w:lang w:val="nl-NL"/>
        </w:rPr>
        <w:t>geen macro</w:t>
      </w:r>
      <w:r>
        <w:rPr>
          <w:rFonts w:ascii="Times New Roman" w:hAnsi="Times New Roman"/>
          <w:i/>
          <w:noProof/>
          <w:lang w:val="nl-NL"/>
        </w:rPr>
        <w:t>-economische onevenwichtigheden</w:t>
      </w:r>
      <w:r>
        <w:rPr>
          <w:rFonts w:ascii="Times New Roman" w:hAnsi="Times New Roman"/>
          <w:noProof/>
          <w:lang w:val="nl-NL"/>
        </w:rPr>
        <w:t xml:space="preserve"> geconstateerd. In het geactualiseerde scorebord overschrijden een aantal indicatoren de indicatieve drempelwaarde, namelijk de groei van de reële huizenprijzen en de totale passiva van de financiële sector. </w:t>
      </w:r>
    </w:p>
    <w:p w:rsidR="00222D78" w:rsidRDefault="00E65635">
      <w:pPr>
        <w:spacing w:after="160" w:line="259" w:lineRule="auto"/>
        <w:jc w:val="both"/>
        <w:rPr>
          <w:rFonts w:ascii="Times New Roman" w:eastAsia="Calibri" w:hAnsi="Times New Roman" w:cs="Times New Roman"/>
          <w:noProof/>
          <w:lang w:val="nl-NL"/>
        </w:rPr>
      </w:pPr>
      <w:r>
        <w:rPr>
          <w:noProof/>
          <w:lang w:val="nl-NL"/>
        </w:rPr>
        <w:t xml:space="preserve">Het saldo op de </w:t>
      </w:r>
      <w:r>
        <w:rPr>
          <w:noProof/>
          <w:lang w:val="nl-NL"/>
        </w:rPr>
        <w:t>lopende rekening vertoont een trend naar verbetering en gaf in 2017 een klein overschot te zien.</w:t>
      </w:r>
      <w:r>
        <w:rPr>
          <w:rFonts w:ascii="Times New Roman" w:hAnsi="Times New Roman"/>
          <w:noProof/>
          <w:lang w:val="nl-NL"/>
        </w:rPr>
        <w:t xml:space="preserve"> Het beëindigen van de verbintenis inzake de wisselkoers in april 2017 werd gevolgd door een waardestijging van de reële effectieve wisselkoers, terwijl de nett</w:t>
      </w:r>
      <w:r>
        <w:rPr>
          <w:rFonts w:ascii="Times New Roman" w:hAnsi="Times New Roman"/>
          <w:noProof/>
          <w:lang w:val="nl-NL"/>
        </w:rPr>
        <w:t>o internationale investeringspositie bleef aansterken weliswaar in een lager tempo dan in de voorgaande jaren. De nominale arbeidskosten per eenheid product zijn gestegen ten gevolge van de sterke groei van de lonen, en deze stijging zal naar verwachting v</w:t>
      </w:r>
      <w:r>
        <w:rPr>
          <w:rFonts w:ascii="Times New Roman" w:hAnsi="Times New Roman"/>
          <w:noProof/>
          <w:lang w:val="nl-NL"/>
        </w:rPr>
        <w:t>erder versnellen rekening houdend met de krapper wordende arbeidsmarkt. Ondanks de waardestijging van de reële effectieve wisselkoers is er toch nog sprake van enige winst in de exportmarktaandelen voor de voorbije jaren. De toename van de huizenprijzen en</w:t>
      </w:r>
      <w:r>
        <w:rPr>
          <w:rFonts w:ascii="Times New Roman" w:hAnsi="Times New Roman"/>
          <w:noProof/>
          <w:lang w:val="nl-NL"/>
        </w:rPr>
        <w:t xml:space="preserve"> van de hypothecaire kredieten is verder versneld en moet nauwlettend worden gevolgd. De schuld van de particuliere sector is echter matig zoals ook de schuldenlast van de huishoudens die stabiel blijft. De overheidsschuld is laag en blijft verder verklein</w:t>
      </w:r>
      <w:r>
        <w:rPr>
          <w:rFonts w:ascii="Times New Roman" w:hAnsi="Times New Roman"/>
          <w:noProof/>
          <w:lang w:val="nl-NL"/>
        </w:rPr>
        <w:t>en dankzij het begrotingsoverschot van de overheid. De passiva van de financiële sector zijn in 2017 aanzienlijk aangegroeid tot boven de indicatieve drempel. Dit was voornamelijk te wijten aan de aankoop van in Tsjechische kroon luidende deposito’s door n</w:t>
      </w:r>
      <w:r>
        <w:rPr>
          <w:rFonts w:ascii="Times New Roman" w:hAnsi="Times New Roman"/>
          <w:noProof/>
          <w:lang w:val="nl-NL"/>
        </w:rPr>
        <w:t xml:space="preserve">iet-ingezetenen voordat de verbintenis inzake de wisselkoers werd beëindigd. Het werkloosheidscijfer is verder gedaald en de arbeidsmarkt is bijzonder krap.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met betrekking tot</w:t>
      </w:r>
      <w:r>
        <w:rPr>
          <w:rFonts w:ascii="Times New Roman" w:hAnsi="Times New Roman"/>
          <w:i/>
          <w:noProof/>
          <w:lang w:val="nl-NL"/>
        </w:rPr>
        <w:t xml:space="preserve"> het concurrentievermogen en de prijzendruk in de huizenmarkt hoewel de risico's in dit stadium beperkt blijken. Bijgevolg acht de Commissie het in dit stadium niet noodzakelijk een verdere diepgaande analyse te verrichten in het kader van de MIP.</w:t>
      </w:r>
    </w:p>
    <w:p w:rsidR="00222D78" w:rsidRDefault="00222D78">
      <w:pPr>
        <w:spacing w:after="160" w:line="259" w:lineRule="auto"/>
        <w:rPr>
          <w:rFonts w:ascii="Times New Roman" w:eastAsia="Calibri" w:hAnsi="Times New Roman" w:cs="Times New Roman"/>
          <w:b/>
          <w:noProof/>
          <w:lang w:val="nl-NL"/>
        </w:rPr>
      </w:pPr>
    </w:p>
    <w:p w:rsidR="00222D78" w:rsidRDefault="00E65635">
      <w:pPr>
        <w:spacing w:after="160" w:line="259" w:lineRule="auto"/>
        <w:jc w:val="both"/>
        <w:rPr>
          <w:noProof/>
          <w:lang w:val="nl-NL"/>
        </w:rPr>
      </w:pPr>
      <w:r>
        <w:rPr>
          <w:noProof/>
          <w:lang w:eastAsia="en-GB"/>
        </w:rPr>
        <w:drawing>
          <wp:anchor distT="0" distB="0" distL="114300" distR="114300" simplePos="0" relativeHeight="251663360" behindDoc="0" locked="0" layoutInCell="1" allowOverlap="1">
            <wp:simplePos x="0" y="0"/>
            <wp:positionH relativeFrom="column">
              <wp:posOffset>3014980</wp:posOffset>
            </wp:positionH>
            <wp:positionV relativeFrom="paragraph">
              <wp:posOffset>892175</wp:posOffset>
            </wp:positionV>
            <wp:extent cx="2676525" cy="28003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65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nl-NL"/>
        </w:rPr>
        <w:t>Denema</w:t>
      </w:r>
      <w:r>
        <w:rPr>
          <w:rFonts w:ascii="Times New Roman" w:hAnsi="Times New Roman"/>
          <w:b/>
          <w:noProof/>
          <w:lang w:val="nl-NL"/>
        </w:rPr>
        <w:t>rken:</w:t>
      </w:r>
      <w:r>
        <w:rPr>
          <w:rFonts w:ascii="Times New Roman" w:hAnsi="Times New Roman"/>
          <w:i/>
          <w:noProof/>
          <w:lang w:val="nl-NL"/>
        </w:rPr>
        <w:t xml:space="preserve"> </w:t>
      </w:r>
      <w:r>
        <w:rPr>
          <w:rFonts w:ascii="Times New Roman" w:hAnsi="Times New Roman"/>
          <w:noProof/>
          <w:lang w:val="nl-NL"/>
        </w:rPr>
        <w:t xml:space="preserve">Tijdens de vorige MIP-ronde zijn in Denemarken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ligt een aantal indicatoren boven de indicatieve drempel, namelijk het saldo op de lopende rekening en de schuld </w:t>
      </w:r>
      <w:r>
        <w:rPr>
          <w:rFonts w:ascii="Times New Roman" w:hAnsi="Times New Roman"/>
          <w:noProof/>
          <w:lang w:val="nl-NL"/>
        </w:rPr>
        <w:t xml:space="preserve">van de particuliere sector. </w:t>
      </w:r>
    </w:p>
    <w:p w:rsidR="00222D78" w:rsidRDefault="00E65635">
      <w:pPr>
        <w:spacing w:after="160" w:line="259" w:lineRule="auto"/>
        <w:jc w:val="both"/>
        <w:rPr>
          <w:rFonts w:ascii="Times New Roman" w:eastAsia="Calibri" w:hAnsi="Times New Roman" w:cs="Times New Roman"/>
          <w:noProof/>
          <w:lang w:val="nl-NL"/>
        </w:rPr>
      </w:pPr>
      <w:r>
        <w:rPr>
          <w:noProof/>
          <w:lang w:val="nl-NL"/>
        </w:rPr>
        <w:t>Het saldo op de lopende rekening vertoont nog steeds grote overschotten.</w:t>
      </w:r>
      <w:r>
        <w:rPr>
          <w:rFonts w:ascii="Times New Roman" w:hAnsi="Times New Roman"/>
          <w:noProof/>
          <w:lang w:val="nl-NL"/>
        </w:rPr>
        <w:t xml:space="preserve"> De opeenvolgende overschotten hebben geleid tot een ruim positieve netto internationale investeringspositie, die positieve netto primaire inkomsten genere</w:t>
      </w:r>
      <w:r>
        <w:rPr>
          <w:rFonts w:ascii="Times New Roman" w:hAnsi="Times New Roman"/>
          <w:noProof/>
          <w:lang w:val="nl-NL"/>
        </w:rPr>
        <w:t>ert, hetgeen het positieve saldo op de lopende rekening versterkt. De groei van de arbeidskosten per eenheid product is beperkt zelfs indien de krapper wordende arbeidsmarkt druk uitoefent op de lonen en de productiviteit een zwakke dynamiek vertoont. De g</w:t>
      </w:r>
      <w:r>
        <w:rPr>
          <w:rFonts w:ascii="Times New Roman" w:hAnsi="Times New Roman"/>
          <w:noProof/>
          <w:lang w:val="nl-NL"/>
        </w:rPr>
        <w:t>roei van het exportmarktaandeel is in grote lijnen stabiel. Terwijl de huizenprijzen op nationaal niveau vertragen, zijn zij sneller blijven groeien in de voornaamste stedelijke gebieden. Deze ontwikkelingen moeten van nabij worden gevolgd. De schuld van d</w:t>
      </w:r>
      <w:r>
        <w:rPr>
          <w:rFonts w:ascii="Times New Roman" w:hAnsi="Times New Roman"/>
          <w:noProof/>
          <w:lang w:val="nl-NL"/>
        </w:rPr>
        <w:t xml:space="preserve">e huishoudens in percentage van het bbp is het hoogste van de EU en neemt slechts langzaam af terwijl de kredietgroei beperkt blijft. De huishoudens zijn steeds meer aan het sparen in het kader van het streven naar schuldafbouw en er zijn macroprudentiële </w:t>
      </w:r>
      <w:r>
        <w:rPr>
          <w:rFonts w:ascii="Times New Roman" w:hAnsi="Times New Roman"/>
          <w:noProof/>
          <w:lang w:val="nl-NL"/>
        </w:rPr>
        <w:t>maatregelen genomen om riskante kredietverlening te beperken. De schuldenlast van ondernemingen daarentegen blijft matig. De arbeidsmarkt blijft verbeteren, de groei van de werkgelegenheid is solide en er is een steeds grotere schaarste aan arbeidskrachten</w:t>
      </w:r>
      <w:r>
        <w:rPr>
          <w:rFonts w:ascii="Times New Roman" w:hAnsi="Times New Roman"/>
          <w:noProof/>
          <w:lang w:val="nl-NL"/>
        </w:rPr>
        <w:t>.</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i/>
          <w:noProof/>
          <w:lang w:val="nl-NL"/>
        </w:rPr>
        <w:t xml:space="preserve">Over het geheel genomen blijkt uit de economische analyse dat er problemen zijn in verband met de lopende rekening, de particuliere schuld en de woningsector, maar de risico's lijken beperkt. Bijgevolg zal de Commissie in dit stadium niet overgaan tot </w:t>
      </w:r>
      <w:r>
        <w:rPr>
          <w:rFonts w:ascii="Times New Roman" w:hAnsi="Times New Roman"/>
          <w:i/>
          <w:noProof/>
          <w:lang w:val="nl-NL"/>
        </w:rPr>
        <w:t>een verdere diepgaande analyse in de context van de MIP.</w:t>
      </w:r>
    </w:p>
    <w:p w:rsidR="00222D78" w:rsidRDefault="00222D78">
      <w:pPr>
        <w:spacing w:after="160" w:line="259" w:lineRule="auto"/>
        <w:jc w:val="both"/>
        <w:rPr>
          <w:rFonts w:ascii="Times New Roman" w:eastAsia="Calibri" w:hAnsi="Times New Roman" w:cs="Times New Roman"/>
          <w:noProof/>
          <w:lang w:val="nl-NL"/>
        </w:rPr>
      </w:pPr>
    </w:p>
    <w:p w:rsidR="00222D78" w:rsidRDefault="00E65635">
      <w:pPr>
        <w:spacing w:after="160" w:line="259" w:lineRule="auto"/>
        <w:jc w:val="both"/>
        <w:rPr>
          <w:noProof/>
          <w:lang w:val="nl-NL"/>
        </w:rPr>
      </w:pPr>
      <w:r>
        <w:rPr>
          <w:b/>
          <w:noProof/>
          <w:lang w:val="nl-NL"/>
        </w:rPr>
        <w:t>Duitsland:</w:t>
      </w:r>
      <w:r>
        <w:rPr>
          <w:rFonts w:ascii="Times New Roman" w:hAnsi="Times New Roman"/>
          <w:noProof/>
          <w:lang w:val="nl-NL"/>
        </w:rPr>
        <w:t xml:space="preserve"> In maart 2018 heeft de Comm</w:t>
      </w:r>
      <w:r>
        <w:rPr>
          <w:noProof/>
          <w:lang w:eastAsia="en-GB"/>
        </w:rPr>
        <w:drawing>
          <wp:anchor distT="0" distB="0" distL="114300" distR="114300" simplePos="0" relativeHeight="251664384" behindDoc="0" locked="0" layoutInCell="1" allowOverlap="1">
            <wp:simplePos x="0" y="0"/>
            <wp:positionH relativeFrom="column">
              <wp:posOffset>2719705</wp:posOffset>
            </wp:positionH>
            <wp:positionV relativeFrom="paragraph">
              <wp:posOffset>2540</wp:posOffset>
            </wp:positionV>
            <wp:extent cx="2790825" cy="347662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issie geconcludeerd dat Duitsland </w:t>
      </w:r>
      <w:r>
        <w:rPr>
          <w:rFonts w:ascii="Times New Roman" w:hAnsi="Times New Roman"/>
          <w:i/>
          <w:noProof/>
          <w:lang w:val="nl-NL"/>
        </w:rPr>
        <w:t>macro-economische onevenwichtigheden</w:t>
      </w:r>
      <w:r>
        <w:rPr>
          <w:rFonts w:ascii="Times New Roman" w:hAnsi="Times New Roman"/>
          <w:noProof/>
          <w:lang w:val="nl-NL"/>
        </w:rPr>
        <w:t xml:space="preserve"> ondervond die met name betrekking hadden op het grote overschot op de lopende rekening d</w:t>
      </w:r>
      <w:r>
        <w:rPr>
          <w:rFonts w:ascii="Times New Roman" w:hAnsi="Times New Roman"/>
          <w:noProof/>
          <w:lang w:val="nl-NL"/>
        </w:rPr>
        <w:t>at een uiting was van getemperde investeringen ten opzichte van de spaarquote in de particuliere en de openbare sector. Op het geactualiseerde scorebord blijft een aantal indicatoren boven de indicatieve drempel, namelijk het saldo op de lopende rekening e</w:t>
      </w:r>
      <w:r>
        <w:rPr>
          <w:rFonts w:ascii="Times New Roman" w:hAnsi="Times New Roman"/>
          <w:noProof/>
          <w:lang w:val="nl-NL"/>
        </w:rPr>
        <w:t xml:space="preserve">n de overheidsschuld. </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De lopende rekening blijft zeer grote overschotten vertonen maar het overschot voor het jaar 2017 is lichtjes afgenomen. Bij een gestage groei van de binnenlandse vraag zal het overschot op de lopende rekening naar verwachting verder</w:t>
      </w:r>
      <w:r>
        <w:rPr>
          <w:rFonts w:ascii="Times New Roman" w:hAnsi="Times New Roman"/>
          <w:noProof/>
          <w:lang w:val="nl-NL"/>
        </w:rPr>
        <w:t xml:space="preserve"> afnemen maar op een hoog niveau blijven, en leiden tot verdere stijgingen van de netto internationale investeringspositie. De groei van de arbeidskosten per eenheid product blijft matig. De uitvoer groeide verder in 2017 maar er was sprake van een licht v</w:t>
      </w:r>
      <w:r>
        <w:rPr>
          <w:rFonts w:ascii="Times New Roman" w:hAnsi="Times New Roman"/>
          <w:noProof/>
          <w:lang w:val="nl-NL"/>
        </w:rPr>
        <w:t>erlies van exportmarktaandelen. De schuldenafbouw van de particuliere sector gaat voort ook al is de schuld van deze sector beperkt. Tegelijkertijd nemen de investeringen in ondernemingen toe in verhouding tot het bbp. Ook de investeringen in woningbouw ne</w:t>
      </w:r>
      <w:r>
        <w:rPr>
          <w:rFonts w:ascii="Times New Roman" w:hAnsi="Times New Roman"/>
          <w:noProof/>
          <w:lang w:val="nl-NL"/>
        </w:rPr>
        <w:t>men toe maar blijven achter ten opzichte van de behoeften inzake huisvesting in stedelijke gebieden. De groei van de reële huizenprijzen en de bouwkosten zijn gestegen en verdienen aandacht, ook wat de regionale verschillen in prijzen en de beschikbaarheid</w:t>
      </w:r>
      <w:r>
        <w:rPr>
          <w:rFonts w:ascii="Times New Roman" w:hAnsi="Times New Roman"/>
          <w:noProof/>
          <w:lang w:val="nl-NL"/>
        </w:rPr>
        <w:t xml:space="preserve"> van woningen betreft. De kredietgroei is geleidelijk aan het aantrekken. De spaarquote van de huishoudens blijft op een hoog niveau ondanks matige loonstijgingen en robuuste particuliere consumptie, hetgeen een uiting is van een hogere instroom van winstu</w:t>
      </w:r>
      <w:r>
        <w:rPr>
          <w:rFonts w:ascii="Times New Roman" w:hAnsi="Times New Roman"/>
          <w:noProof/>
          <w:lang w:val="nl-NL"/>
        </w:rPr>
        <w:t xml:space="preserve">itkeringen van ondernemingen. De overheidsschuld is blijven dalen en zal tegen 2019 naar verwachting onder de drempel van 60 % van het bbp duiken terwijl de overheidsinvesteringen een aanzienlijke achterstand blijven vertonen. De algemene werkloosheid, de </w:t>
      </w:r>
      <w:r>
        <w:rPr>
          <w:rFonts w:ascii="Times New Roman" w:hAnsi="Times New Roman"/>
          <w:noProof/>
          <w:lang w:val="nl-NL"/>
        </w:rPr>
        <w:t xml:space="preserve">jeugdwerkloosheid en de langdurige werkloosheid zijn verder afgenomen en blijven zeer laag.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blijken uit de economische analyse problemen in verband met de aanhoudende overschotten van spaartegoeden ten opzichte van investeringen, hetgeen tot uiting komt in het hoge en slechts geleidelijk afnemende overschot op de lopende r</w:t>
      </w:r>
      <w:r>
        <w:rPr>
          <w:rFonts w:ascii="Times New Roman" w:hAnsi="Times New Roman"/>
          <w:i/>
          <w:noProof/>
          <w:lang w:val="nl-NL"/>
        </w:rPr>
        <w:t>ekening en erop wijst dat het evenwicht verder moet worden hersteld. Bijgevolg acht de Commissie het nuttig, mede in het licht van de vaststelling in maart 2018 van een onevenwichtigheid, verder na te gaan of de onevenwichtigheden aanhouden dan wel ongedaa</w:t>
      </w:r>
      <w:r>
        <w:rPr>
          <w:rFonts w:ascii="Times New Roman" w:hAnsi="Times New Roman"/>
          <w:i/>
          <w:noProof/>
          <w:lang w:val="nl-NL"/>
        </w:rPr>
        <w:t xml:space="preserve">n worden gemaakt. </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noProof/>
          <w:lang w:val="nl-NL"/>
        </w:rPr>
      </w:pPr>
      <w:r>
        <w:rPr>
          <w:b/>
          <w:noProof/>
          <w:lang w:val="nl-NL"/>
        </w:rPr>
        <w:t>Estland:</w:t>
      </w:r>
      <w:r>
        <w:rPr>
          <w:rFonts w:ascii="Times New Roman" w:hAnsi="Times New Roman"/>
          <w:i/>
          <w:noProof/>
          <w:lang w:val="nl-NL"/>
        </w:rPr>
        <w:t xml:space="preserve"> </w:t>
      </w:r>
      <w:r>
        <w:rPr>
          <w:rFonts w:ascii="Times New Roman" w:hAnsi="Times New Roman"/>
          <w:noProof/>
          <w:lang w:val="nl-NL"/>
        </w:rPr>
        <w:t xml:space="preserve">Tijdens de vorige MIP-ronde zijn in Estland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ligt de groei van de nominale arbeidskosten per eenheid product boven de indicatieve drempel.</w:t>
      </w:r>
      <w:r>
        <w:rPr>
          <w:rFonts w:ascii="Times New Roman" w:hAnsi="Times New Roman"/>
          <w:noProof/>
          <w:lang w:val="nl-NL"/>
        </w:rPr>
        <w:t xml:space="preserve"> </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Het overschot op de lopende rekening is in 2017 verder toegenomen en de internationale netto-investeringspositie is verbeterd tot op een niveau onder de drempelwaarde. De nominale arbeidskosten per eenheid product blijven stijgen in een hoog tempo dat de</w:t>
      </w:r>
      <w:r>
        <w:rPr>
          <w:rFonts w:ascii="Times New Roman" w:hAnsi="Times New Roman"/>
          <w:noProof/>
          <w:lang w:val="nl-NL"/>
        </w:rPr>
        <w:t xml:space="preserve"> inflatie en de forse loonstijgingen weerspiegelt. De dynamiek van de productiviteit is gematigd gebleven en weegt enigszins op de indicatoren van het kostenconcurrentievermogen. De reële effectieve wisselkoers is blijven stijgen terwijl de exportmarktaand</w:t>
      </w:r>
      <w:r>
        <w:rPr>
          <w:rFonts w:ascii="Times New Roman" w:hAnsi="Times New Roman"/>
          <w:noProof/>
          <w:lang w:val="nl-NL"/>
        </w:rPr>
        <w:t>elen stabiel zijn gebleven. De stijging van de reële huizenprijzen is de afgelopen jaren dynamisch geweest maar is vertraag</w:t>
      </w:r>
      <w:r>
        <w:rPr>
          <w:noProof/>
          <w:lang w:eastAsia="en-GB"/>
        </w:rPr>
        <w:drawing>
          <wp:anchor distT="0" distB="0" distL="114300" distR="114300" simplePos="0" relativeHeight="251665408" behindDoc="0" locked="0" layoutInCell="1" allowOverlap="1">
            <wp:simplePos x="0" y="0"/>
            <wp:positionH relativeFrom="column">
              <wp:posOffset>2929255</wp:posOffset>
            </wp:positionH>
            <wp:positionV relativeFrom="paragraph">
              <wp:posOffset>697865</wp:posOffset>
            </wp:positionV>
            <wp:extent cx="2581275" cy="2816225"/>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d tot op een matig niveau in 2017. De afbouw van de particuliere schulden loopt verder en het niveau van de overheidsschuld is zeer </w:t>
      </w:r>
      <w:r>
        <w:rPr>
          <w:rFonts w:ascii="Times New Roman" w:hAnsi="Times New Roman"/>
          <w:noProof/>
          <w:lang w:val="nl-NL"/>
        </w:rPr>
        <w:t xml:space="preserve">laag. De arbeidsmarkt begint krap te worden maar de inkomende migratie heeft het tekort aan arbeidskrachten enigszins verlicht.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nominale arbeidskosten per ee</w:t>
      </w:r>
      <w:r>
        <w:rPr>
          <w:rFonts w:ascii="Times New Roman" w:hAnsi="Times New Roman"/>
          <w:i/>
          <w:noProof/>
          <w:lang w:val="nl-NL"/>
        </w:rPr>
        <w:t>nheid product, maar de risico's lijken beperkt. Bijgevolg zal de Commissie in dit stadium niet overgaan tot een verdere diepgaande analyse in de context van de MIP.</w:t>
      </w:r>
    </w:p>
    <w:p w:rsidR="00222D78" w:rsidRDefault="00222D78">
      <w:pPr>
        <w:spacing w:after="160" w:line="259" w:lineRule="auto"/>
        <w:jc w:val="both"/>
        <w:rPr>
          <w:rFonts w:ascii="Times New Roman" w:eastAsia="Calibri" w:hAnsi="Times New Roman" w:cs="Times New Roman"/>
          <w:noProof/>
          <w:lang w:val="nl-NL"/>
        </w:rPr>
      </w:pPr>
    </w:p>
    <w:p w:rsidR="00222D78" w:rsidRDefault="00222D78">
      <w:pPr>
        <w:autoSpaceDE w:val="0"/>
        <w:autoSpaceDN w:val="0"/>
        <w:adjustRightInd w:val="0"/>
        <w:spacing w:after="240"/>
        <w:jc w:val="both"/>
        <w:rPr>
          <w:rFonts w:ascii="Times New Roman" w:eastAsia="Calibri" w:hAnsi="Times New Roman" w:cs="Times New Roman"/>
          <w:noProof/>
          <w:lang w:val="nl-NL"/>
        </w:rPr>
      </w:pPr>
    </w:p>
    <w:p w:rsidR="00222D78" w:rsidRDefault="00E65635">
      <w:pPr>
        <w:autoSpaceDE w:val="0"/>
        <w:autoSpaceDN w:val="0"/>
        <w:adjustRightInd w:val="0"/>
        <w:spacing w:after="240"/>
        <w:jc w:val="both"/>
        <w:rPr>
          <w:noProof/>
          <w:lang w:val="nl-NL"/>
        </w:rPr>
      </w:pPr>
      <w:r>
        <w:rPr>
          <w:noProof/>
          <w:lang w:eastAsia="en-GB"/>
        </w:rPr>
        <w:drawing>
          <wp:anchor distT="0" distB="0" distL="114300" distR="114300" simplePos="0" relativeHeight="251685888" behindDoc="0" locked="0" layoutInCell="1" allowOverlap="1">
            <wp:simplePos x="0" y="0"/>
            <wp:positionH relativeFrom="column">
              <wp:posOffset>3033395</wp:posOffset>
            </wp:positionH>
            <wp:positionV relativeFrom="paragraph">
              <wp:posOffset>-1270</wp:posOffset>
            </wp:positionV>
            <wp:extent cx="2727960" cy="288099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796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nl-NL"/>
        </w:rPr>
        <w:t>Ierland:</w:t>
      </w:r>
      <w:r>
        <w:rPr>
          <w:rFonts w:ascii="Times New Roman" w:hAnsi="Times New Roman"/>
          <w:noProof/>
          <w:color w:val="000000"/>
          <w:lang w:val="nl-NL"/>
        </w:rPr>
        <w:t xml:space="preserve"> In maart 2018 heeft de Commissie geconcludeerd dat Ierland </w:t>
      </w:r>
      <w:r>
        <w:rPr>
          <w:rFonts w:ascii="Times New Roman" w:hAnsi="Times New Roman"/>
          <w:i/>
          <w:noProof/>
          <w:color w:val="000000"/>
          <w:lang w:val="nl-NL"/>
        </w:rPr>
        <w:t>macro-economische on</w:t>
      </w:r>
      <w:r>
        <w:rPr>
          <w:rFonts w:ascii="Times New Roman" w:hAnsi="Times New Roman"/>
          <w:i/>
          <w:noProof/>
          <w:color w:val="000000"/>
          <w:lang w:val="nl-NL"/>
        </w:rPr>
        <w:t>evenwichtigheden</w:t>
      </w:r>
      <w:r>
        <w:rPr>
          <w:rFonts w:ascii="Times New Roman" w:hAnsi="Times New Roman"/>
          <w:noProof/>
          <w:color w:val="000000"/>
          <w:lang w:val="nl-NL"/>
        </w:rPr>
        <w:t xml:space="preserve"> ondervond, met name in verband met kwetsbaarheden als gevolg van een hoge stand van de publieke en particuliere schuld en de netto externe passiva. Op het geactualiseerde scorebord blijft een aantal indicatoren boven de indicatieve drempel</w:t>
      </w:r>
      <w:r>
        <w:rPr>
          <w:rFonts w:ascii="Times New Roman" w:hAnsi="Times New Roman"/>
          <w:noProof/>
          <w:color w:val="000000"/>
          <w:lang w:val="nl-NL"/>
        </w:rPr>
        <w:t xml:space="preserve">, namelijk de netto internationale investeringspositie (NIIP), de reële effectieve wisselkoers (REER), de particuliere schuld, de overheidsschuld en de jaarlijks verandering in reële huizenprijzen. </w:t>
      </w:r>
    </w:p>
    <w:p w:rsidR="00222D78" w:rsidRDefault="00E65635">
      <w:pPr>
        <w:autoSpaceDE w:val="0"/>
        <w:autoSpaceDN w:val="0"/>
        <w:adjustRightInd w:val="0"/>
        <w:spacing w:after="240"/>
        <w:jc w:val="both"/>
        <w:rPr>
          <w:rFonts w:ascii="Times New Roman" w:eastAsia="Times New Roman" w:hAnsi="Times New Roman" w:cs="Times New Roman"/>
          <w:noProof/>
          <w:color w:val="000000"/>
          <w:lang w:val="nl-NL"/>
        </w:rPr>
      </w:pPr>
      <w:r>
        <w:rPr>
          <w:noProof/>
          <w:lang w:val="nl-NL"/>
        </w:rPr>
        <w:t>De lopende rekening vertoonde in 2017 een groot overschot</w:t>
      </w:r>
      <w:r>
        <w:rPr>
          <w:noProof/>
          <w:lang w:val="nl-NL"/>
        </w:rPr>
        <w:t xml:space="preserve"> in vergelijking met het aanzienlijke tekort in 2016 en de overschotten in de voorgaande jaren.</w:t>
      </w:r>
      <w:r>
        <w:rPr>
          <w:rFonts w:ascii="Times New Roman" w:hAnsi="Times New Roman"/>
          <w:noProof/>
          <w:color w:val="000000"/>
          <w:lang w:val="nl-NL"/>
        </w:rPr>
        <w:t xml:space="preserve"> Deze ontwikkelingen in het saldo op de lopende rekening waren de afgelopen jaren onder meer het gevolg van volatiliteit in de invoer van intellectuele eigendom </w:t>
      </w:r>
      <w:r>
        <w:rPr>
          <w:rFonts w:ascii="Times New Roman" w:hAnsi="Times New Roman"/>
          <w:noProof/>
          <w:color w:val="000000"/>
          <w:lang w:val="nl-NL"/>
        </w:rPr>
        <w:t>en productie op contractbasis (“contract manufacturing”).</w:t>
      </w:r>
      <w:r>
        <w:rPr>
          <w:rStyle w:val="FootnoteReference"/>
          <w:rFonts w:ascii="Times New Roman" w:hAnsi="Times New Roman"/>
          <w:noProof/>
          <w:color w:val="000000"/>
          <w:lang w:val="nl-NL"/>
        </w:rPr>
        <w:t xml:space="preserve"> </w:t>
      </w:r>
      <w:r>
        <w:rPr>
          <w:rStyle w:val="FootnoteReference"/>
          <w:rFonts w:ascii="Times New Roman" w:hAnsi="Times New Roman"/>
          <w:noProof/>
          <w:color w:val="000000"/>
        </w:rPr>
        <w:footnoteReference w:id="37"/>
      </w:r>
      <w:r>
        <w:rPr>
          <w:rFonts w:ascii="Times New Roman" w:hAnsi="Times New Roman"/>
          <w:noProof/>
          <w:color w:val="000000"/>
          <w:lang w:val="nl-NL"/>
        </w:rPr>
        <w:t xml:space="preserve"> De NIIP is verder verbeterd maar blijft zeer negatief, hetgeen in sterke mate te wijten is aan de activiteit van multinationale ondernemingen die beperkte banden hebben met de binnenlandse economie. De sterke productiviteitsgroei, die ook opgedreven is do</w:t>
      </w:r>
      <w:r>
        <w:rPr>
          <w:rFonts w:ascii="Times New Roman" w:hAnsi="Times New Roman"/>
          <w:noProof/>
          <w:color w:val="000000"/>
          <w:lang w:val="nl-NL"/>
        </w:rPr>
        <w:t xml:space="preserve">or de activiteiten van multinationale ondernemingen, heeft de afgelopen jaar bijgedragen tot een betere concurrentiepositie. De particuliere schuld blijft zeer hoog hoewel de daling verder doorzet. De huishoudens hebben hun schulden verder afgebouwd en de </w:t>
      </w:r>
      <w:r>
        <w:rPr>
          <w:rFonts w:ascii="Times New Roman" w:hAnsi="Times New Roman"/>
          <w:noProof/>
          <w:color w:val="000000"/>
          <w:lang w:val="nl-NL"/>
        </w:rPr>
        <w:t>Ierse banken hebben hun blootstellingen aan binnenlandse ondernemingen beperkt, hetgeen wijst op een gestage schuldenafbouw door ondernemingen. De situatie van binnenlandse niet-financiële vennootschappen is moeilijker te interpreteren gezien het gewicht v</w:t>
      </w:r>
      <w:r>
        <w:rPr>
          <w:rFonts w:ascii="Times New Roman" w:hAnsi="Times New Roman"/>
          <w:noProof/>
          <w:color w:val="000000"/>
          <w:lang w:val="nl-NL"/>
        </w:rPr>
        <w:t>an multinationals in de totale schuld van ondernemingen. De groei van de huizenprijzen is zeer dynamisch geweest sinds 2014, vooral ten gevolge van beperkingen aan de aanbodzijde, en dient nauwgezet te worden gevolgd. Als gevolg van de sterke economische g</w:t>
      </w:r>
      <w:r>
        <w:rPr>
          <w:rFonts w:ascii="Times New Roman" w:hAnsi="Times New Roman"/>
          <w:noProof/>
          <w:color w:val="000000"/>
          <w:lang w:val="nl-NL"/>
        </w:rPr>
        <w:t xml:space="preserve">roei is de schuldquote van de overheid aan het dalen maar deze blijft hoog. Het aandeel niet-renderende leningen is de voorbije jaren afgenomen, maar blijft nog groot. Hoewel banken goed gekapitaliseerd zijn, is de hoeveelheid voorzieningen afgenomen. Hun </w:t>
      </w:r>
      <w:r>
        <w:rPr>
          <w:rFonts w:ascii="Times New Roman" w:hAnsi="Times New Roman"/>
          <w:noProof/>
          <w:color w:val="000000"/>
          <w:lang w:val="nl-NL"/>
        </w:rPr>
        <w:t>winstgevendheid blijft nog beperkt maar verbetert geleidelijk.</w:t>
      </w:r>
      <w:r>
        <w:rPr>
          <w:rFonts w:ascii="Times New Roman" w:hAnsi="Times New Roman"/>
          <w:noProof/>
          <w:lang w:val="nl-NL"/>
        </w:rPr>
        <w:t xml:space="preserve"> Het werkloosheidspercentage is gedaald tot onder de MIP-drempel in 2017 en de langdurige en jeugdwerkloosheid blijven teruglopen.</w:t>
      </w:r>
    </w:p>
    <w:p w:rsidR="00222D78" w:rsidRDefault="00E65635">
      <w:pPr>
        <w:spacing w:after="24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w:t>
      </w:r>
      <w:r>
        <w:rPr>
          <w:rFonts w:ascii="Times New Roman" w:hAnsi="Times New Roman"/>
          <w:i/>
          <w:noProof/>
          <w:lang w:val="nl-NL"/>
        </w:rPr>
        <w:t>r problemen zijn in verband met de externe positie en de stand van de particuliere en publieke schuld alsook met de snelle groei van de huizenprijzen en het relatief grote aandeel van niet-renderende leningen. Bijgevolg acht de Commissie het nuttig, mede i</w:t>
      </w:r>
      <w:r>
        <w:rPr>
          <w:rFonts w:ascii="Times New Roman" w:hAnsi="Times New Roman"/>
          <w:i/>
          <w:noProof/>
          <w:lang w:val="nl-NL"/>
        </w:rPr>
        <w:t>n het licht van de vaststelling van onevenwichtigheden in maart 2018, verder te onderzoeken of deze aanhouden dan wel ongedaan worden gemaakt.</w:t>
      </w:r>
    </w:p>
    <w:p w:rsidR="00222D78" w:rsidRDefault="00E65635">
      <w:pPr>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60288" behindDoc="1" locked="0" layoutInCell="1" allowOverlap="1">
            <wp:simplePos x="0" y="0"/>
            <wp:positionH relativeFrom="column">
              <wp:posOffset>3215005</wp:posOffset>
            </wp:positionH>
            <wp:positionV relativeFrom="paragraph">
              <wp:posOffset>231775</wp:posOffset>
            </wp:positionV>
            <wp:extent cx="3088640" cy="27622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864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lang w:val="nl-NL"/>
        </w:rPr>
        <w:br/>
      </w:r>
      <w:r>
        <w:rPr>
          <w:rFonts w:ascii="Times New Roman" w:hAnsi="Times New Roman"/>
          <w:b/>
          <w:noProof/>
          <w:lang w:val="nl-NL"/>
        </w:rPr>
        <w:t>Griekenland:</w:t>
      </w:r>
      <w:r>
        <w:rPr>
          <w:rFonts w:ascii="Times New Roman" w:hAnsi="Times New Roman"/>
          <w:b/>
          <w:i/>
          <w:noProof/>
          <w:lang w:val="nl-NL"/>
        </w:rPr>
        <w:t xml:space="preserve"> </w:t>
      </w:r>
      <w:r>
        <w:rPr>
          <w:rFonts w:ascii="Times New Roman" w:hAnsi="Times New Roman"/>
          <w:noProof/>
          <w:lang w:val="nl-NL"/>
        </w:rPr>
        <w:t>Vanaf 2010 tot kort geleden viel Griekenland onder programma's voor financiële bijstand. Het toezi</w:t>
      </w:r>
      <w:r>
        <w:rPr>
          <w:rFonts w:ascii="Times New Roman" w:hAnsi="Times New Roman"/>
          <w:noProof/>
          <w:lang w:val="nl-NL"/>
        </w:rPr>
        <w:t>cht op onevenwichtigheden en de corrigerende maatregelen maakten daarom deel uit van deze programma's en niet van de MIP. De jongste jaren heeft Griekenland grote stappen ondernomen om zijn stroomonevenwichtigheden te verminderen en de daaraan verbonden ri</w:t>
      </w:r>
      <w:r>
        <w:rPr>
          <w:rFonts w:ascii="Times New Roman" w:hAnsi="Times New Roman"/>
          <w:noProof/>
          <w:lang w:val="nl-NL"/>
        </w:rPr>
        <w:t>sico's te beheren, maar de standonevenwichtigheden uit het verleden zullen naar verwachting blijven bestaan. Dit komt tot uiting in het geactualiseerde scorebord waar een aantal indicatoren onder de indicatieve drempel ligt, namelijk de internationale nett</w:t>
      </w:r>
      <w:r>
        <w:rPr>
          <w:rFonts w:ascii="Times New Roman" w:hAnsi="Times New Roman"/>
          <w:noProof/>
          <w:lang w:val="nl-NL"/>
        </w:rPr>
        <w:t xml:space="preserve">o-investeringspositie (NIIP), het verlies aan exportmarktaandeel, de overheidsschuld en het werkloosheidspercentage. </w:t>
      </w:r>
    </w:p>
    <w:p w:rsidR="00222D78" w:rsidRDefault="00E65635">
      <w:pPr>
        <w:spacing w:after="160" w:line="259" w:lineRule="auto"/>
        <w:jc w:val="both"/>
        <w:rPr>
          <w:rFonts w:ascii="Times New Roman" w:eastAsia="Calibri" w:hAnsi="Times New Roman" w:cs="Times New Roman"/>
          <w:noProof/>
          <w:lang w:val="nl-NL"/>
        </w:rPr>
      </w:pPr>
      <w:r>
        <w:rPr>
          <w:noProof/>
          <w:lang w:val="nl-NL"/>
        </w:rPr>
        <w:t>Terwijl de particuliere sector een positieve NIIP vertoont, leidt de hoge externe schuldenlast van de overheid over het geheel tot een zwa</w:t>
      </w:r>
      <w:r>
        <w:rPr>
          <w:noProof/>
          <w:lang w:val="nl-NL"/>
        </w:rPr>
        <w:t>ar negatieve NIIP.</w:t>
      </w:r>
      <w:r>
        <w:rPr>
          <w:rFonts w:ascii="Times New Roman" w:hAnsi="Times New Roman"/>
          <w:noProof/>
          <w:lang w:val="nl-NL"/>
        </w:rPr>
        <w:t xml:space="preserve"> Hoewel een groot gedeelte van de externe publieke schuld verleend is tegen uiterst gunstige tarieven, zullen de recente verbeteringen in de lopende rekening moeten worden volgehouden in een context van toenemende binnenlandse vraag, wil </w:t>
      </w:r>
      <w:r>
        <w:rPr>
          <w:rFonts w:ascii="Times New Roman" w:hAnsi="Times New Roman"/>
          <w:noProof/>
          <w:lang w:val="nl-NL"/>
        </w:rPr>
        <w:t>de NIIP op lange termijn houdbaar blijven. De laatste vijf jaar zijn aanzienlijke verliezen aan exportmarktaandelen waargenomen maar de trend lijkt in 2017 te zijn gekeerd. De schuldquote van de overheid, die zeer hoog is, zal naar verwachting echter afnem</w:t>
      </w:r>
      <w:r>
        <w:rPr>
          <w:rFonts w:ascii="Times New Roman" w:hAnsi="Times New Roman"/>
          <w:noProof/>
          <w:lang w:val="nl-NL"/>
        </w:rPr>
        <w:t>en en de houdbaarheid daarvan wordt bevestigd door het akkoord van de Eurogroep van juni 2018. De huizenprijzen zijn in 2017 blijven dalen in reële termen maar zijn begin 2018 gestabiliseerd. De kredietgroei blijft negatief aangezien de afbouw van particul</w:t>
      </w:r>
      <w:r>
        <w:rPr>
          <w:rFonts w:ascii="Times New Roman" w:hAnsi="Times New Roman"/>
          <w:noProof/>
          <w:lang w:val="nl-NL"/>
        </w:rPr>
        <w:t>iere schulden voortgaat. Het hoge niveau van niet-renderende leningen belemmert het herstel van een gezonde kredietstroom naar de economie, hetgeen vereist is om de potentiële groei op middellange termijn te ondersteunen. De werkloosheid, met name de langd</w:t>
      </w:r>
      <w:r>
        <w:rPr>
          <w:rFonts w:ascii="Times New Roman" w:hAnsi="Times New Roman"/>
          <w:noProof/>
          <w:lang w:val="nl-NL"/>
        </w:rPr>
        <w:t xml:space="preserve">urige en jeugdwerkloosheid, neemt af maar blijft hoog.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hoge publieke en externe schuld, de lage spaartegoeden en de grote hoeveelheden niet-renderende lening</w:t>
      </w:r>
      <w:r>
        <w:rPr>
          <w:rFonts w:ascii="Times New Roman" w:hAnsi="Times New Roman"/>
          <w:i/>
          <w:noProof/>
          <w:lang w:val="nl-NL"/>
        </w:rPr>
        <w:t>en, dit allemaal in een context van hoge werkloosheid, lage productiviteitsgroei en moeizame investeringen. Derhalve acht de Commissie het nuttig tot een verdere diepgaande analyse van de risico's over te gaan om uit te maken of er van een onevenwichtighei</w:t>
      </w:r>
      <w:r>
        <w:rPr>
          <w:rFonts w:ascii="Times New Roman" w:hAnsi="Times New Roman"/>
          <w:i/>
          <w:noProof/>
          <w:lang w:val="nl-NL"/>
        </w:rPr>
        <w:t>d sprake is.</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autoSpaceDE w:val="0"/>
        <w:autoSpaceDN w:val="0"/>
        <w:adjustRightInd w:val="0"/>
        <w:spacing w:after="160" w:line="259" w:lineRule="auto"/>
        <w:jc w:val="both"/>
        <w:rPr>
          <w:rFonts w:ascii="Times New Roman" w:eastAsia="Calibri" w:hAnsi="Times New Roman" w:cs="Times New Roman"/>
          <w:noProof/>
          <w:lang w:val="nl-NL"/>
        </w:rPr>
      </w:pPr>
      <w:r>
        <w:rPr>
          <w:rFonts w:ascii="Times New Roman" w:hAnsi="Times New Roman"/>
          <w:b/>
          <w:noProof/>
          <w:lang w:val="nl-NL"/>
        </w:rPr>
        <w:t>Spanje</w:t>
      </w:r>
      <w:r>
        <w:rPr>
          <w:rFonts w:ascii="Times New Roman" w:hAnsi="Times New Roman"/>
          <w:noProof/>
          <w:lang w:val="nl-NL"/>
        </w:rPr>
        <w:t xml:space="preserve">: In maart 2018 heeft de Commissie geconcludeerd dat Spanje met </w:t>
      </w:r>
      <w:r>
        <w:rPr>
          <w:rFonts w:ascii="Times New Roman" w:hAnsi="Times New Roman"/>
          <w:i/>
          <w:noProof/>
          <w:lang w:val="nl-NL"/>
        </w:rPr>
        <w:t>macro-economische onevenwichtigheden</w:t>
      </w:r>
      <w:r>
        <w:rPr>
          <w:rFonts w:ascii="Times New Roman" w:hAnsi="Times New Roman"/>
          <w:noProof/>
          <w:lang w:val="nl-NL"/>
        </w:rPr>
        <w:t xml:space="preserve"> werd geconfronteerd. Het ging </w:t>
      </w:r>
      <w:r>
        <w:rPr>
          <w:rFonts w:ascii="Times New Roman" w:hAnsi="Times New Roman"/>
          <w:noProof/>
          <w:lang w:eastAsia="en-GB"/>
        </w:rPr>
        <w:drawing>
          <wp:anchor distT="0" distB="0" distL="114300" distR="114300" simplePos="0" relativeHeight="251687936" behindDoc="0" locked="0" layoutInCell="1" allowOverlap="1">
            <wp:simplePos x="0" y="0"/>
            <wp:positionH relativeFrom="column">
              <wp:posOffset>2995930</wp:posOffset>
            </wp:positionH>
            <wp:positionV relativeFrom="paragraph">
              <wp:posOffset>177800</wp:posOffset>
            </wp:positionV>
            <wp:extent cx="2752725" cy="315277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met name om hoge externe en interne schulden van zowel de particuliere als de overheidssector in een con</w:t>
      </w:r>
      <w:r>
        <w:rPr>
          <w:rFonts w:ascii="Times New Roman" w:hAnsi="Times New Roman"/>
          <w:noProof/>
          <w:lang w:val="nl-NL"/>
        </w:rPr>
        <w:t>text van hoge werkloosheid. In het geactualiseerde scorebord overschrijdt een aantal indicatoren de indicatieve drempelwaarde, namelijk de internationale netto-investeringspositie (INIP), de schuldpositie van de particuliere en de overheidssector, het werk</w:t>
      </w:r>
      <w:r>
        <w:rPr>
          <w:rFonts w:ascii="Times New Roman" w:hAnsi="Times New Roman"/>
          <w:noProof/>
          <w:lang w:val="nl-NL"/>
        </w:rPr>
        <w:t xml:space="preserve">loosheidscijfer en de groei van de activiteitsgraad. </w:t>
      </w:r>
    </w:p>
    <w:p w:rsidR="00222D78" w:rsidRDefault="00E65635">
      <w:pPr>
        <w:autoSpaceDE w:val="0"/>
        <w:autoSpaceDN w:val="0"/>
        <w:adjustRightInd w:val="0"/>
        <w:spacing w:after="120" w:line="259" w:lineRule="auto"/>
        <w:jc w:val="both"/>
        <w:rPr>
          <w:rFonts w:ascii="Times New Roman" w:eastAsia="MS Mincho" w:hAnsi="Times New Roman" w:cs="Times New Roman"/>
          <w:noProof/>
          <w:lang w:val="nl-NL"/>
        </w:rPr>
      </w:pPr>
      <w:r>
        <w:rPr>
          <w:rFonts w:ascii="Times New Roman" w:hAnsi="Times New Roman"/>
          <w:noProof/>
          <w:lang w:val="nl-NL"/>
        </w:rPr>
        <w:t>Er is verdere gewerkt aan het herstel van het externe evenwicht maar dat verloopt vrij langzaam, en de NIIP is verbeterd maar blijft zeer hoog. De nominale arbeidskosten per eenheid product zijn stabiel</w:t>
      </w:r>
      <w:r>
        <w:rPr>
          <w:rFonts w:ascii="Times New Roman" w:hAnsi="Times New Roman"/>
          <w:noProof/>
          <w:lang w:val="nl-NL"/>
        </w:rPr>
        <w:t xml:space="preserve"> gebleven in een context van matige loongroei en lage productiviteitsgroei. De groei van de exportmarkt is over het jaar matig gebleven ondanks de lichte waardestijging van de reële effectieve wisselkoers in 2017. De schuldenlast van de particuliere sector</w:t>
      </w:r>
      <w:r>
        <w:rPr>
          <w:rFonts w:ascii="Times New Roman" w:hAnsi="Times New Roman"/>
          <w:noProof/>
          <w:lang w:val="nl-NL"/>
        </w:rPr>
        <w:t xml:space="preserve"> is in 2017 blijven dalen, vooral voor ondernemingen, maar het blijft noodzakelijk deze schulden af te bouwen. Verder komt de nieuwe kredietstroom weer op gang, hetgeen de opleving van de investeringen zal ondersteunen. Wat de huishoudens betreft, wordt he</w:t>
      </w:r>
      <w:r>
        <w:rPr>
          <w:rFonts w:ascii="Times New Roman" w:hAnsi="Times New Roman"/>
          <w:noProof/>
          <w:lang w:val="nl-NL"/>
        </w:rPr>
        <w:t>t tempo van de schuldenafbouw vertraagd door een sterke opleving van het consumentenkrediet. De huizenprijzen zijn de voorbije jaren hersteld terwijl ze voorheen ondergewaardeerd waren. De jongste jaren is de sterke economische heropleving de voornaamste a</w:t>
      </w:r>
      <w:r>
        <w:rPr>
          <w:rFonts w:ascii="Times New Roman" w:hAnsi="Times New Roman"/>
          <w:noProof/>
          <w:lang w:val="nl-NL"/>
        </w:rPr>
        <w:t xml:space="preserve">andrijver geweest in het terugdringen van het overheidstekort maar de aanhoudende tekorten betekenen dat de schuldquote slechts langzaam naar beneden gaat. De werkloosheid is snel gedaald maar blijft zeer hoog, vooral onder jongeren. Tegelijkertijd brengt </w:t>
      </w:r>
      <w:r>
        <w:rPr>
          <w:rFonts w:ascii="Times New Roman" w:hAnsi="Times New Roman"/>
          <w:noProof/>
          <w:lang w:val="nl-NL"/>
        </w:rPr>
        <w:t xml:space="preserve">de lage productiviteitsgroei mee dat de concurrentiepositie afhankelijk wordt van kostenvoordelen. </w:t>
      </w:r>
    </w:p>
    <w:p w:rsidR="00222D78" w:rsidRDefault="00E65635">
      <w:pPr>
        <w:autoSpaceDE w:val="0"/>
        <w:autoSpaceDN w:val="0"/>
        <w:adjustRightInd w:val="0"/>
        <w:spacing w:after="8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externe houdbaarheid, de particuliere en de publieke schul</w:t>
      </w:r>
      <w:r>
        <w:rPr>
          <w:rFonts w:ascii="Times New Roman" w:hAnsi="Times New Roman"/>
          <w:i/>
          <w:noProof/>
          <w:lang w:val="nl-NL"/>
        </w:rPr>
        <w:t>d en de aanpassing van de arbeidsmarkt tegen een achtergrond van zwakke productiviteitsgroei. Derhalve acht de Commissie het nuttig, mede in het licht van de vaststelling in maart 2018 van onevenwichtigheden en de grensoverschrijdende relevantie ervan, ver</w:t>
      </w:r>
      <w:r>
        <w:rPr>
          <w:rFonts w:ascii="Times New Roman" w:hAnsi="Times New Roman"/>
          <w:i/>
          <w:noProof/>
          <w:lang w:val="nl-NL"/>
        </w:rPr>
        <w:t xml:space="preserve">der te onderzoeken of de onevenwichtigheden aanhouden dan wel ongedaan worden gemaakt. </w:t>
      </w:r>
    </w:p>
    <w:p w:rsidR="00222D78" w:rsidRDefault="00222D78">
      <w:pPr>
        <w:autoSpaceDE w:val="0"/>
        <w:autoSpaceDN w:val="0"/>
        <w:adjustRightInd w:val="0"/>
        <w:spacing w:after="160" w:line="259" w:lineRule="auto"/>
        <w:jc w:val="both"/>
        <w:rPr>
          <w:rFonts w:ascii="Times New Roman" w:eastAsia="MS Mincho" w:hAnsi="Times New Roman" w:cs="Times New Roman"/>
          <w:i/>
          <w:noProof/>
          <w:lang w:val="nl-NL"/>
        </w:rPr>
      </w:pPr>
    </w:p>
    <w:p w:rsidR="00222D78" w:rsidRDefault="00E65635">
      <w:pPr>
        <w:autoSpaceDE w:val="0"/>
        <w:autoSpaceDN w:val="0"/>
        <w:adjustRightInd w:val="0"/>
        <w:spacing w:after="160" w:line="259" w:lineRule="auto"/>
        <w:jc w:val="both"/>
        <w:rPr>
          <w:noProof/>
          <w:lang w:val="nl-NL"/>
        </w:rPr>
      </w:pPr>
      <w:r>
        <w:rPr>
          <w:rFonts w:ascii="Times New Roman" w:hAnsi="Times New Roman"/>
          <w:b/>
          <w:noProof/>
          <w:lang w:val="nl-NL"/>
        </w:rPr>
        <w:t>Frankrijk:</w:t>
      </w:r>
      <w:r>
        <w:rPr>
          <w:rFonts w:ascii="Times New Roman" w:hAnsi="Times New Roman"/>
          <w:noProof/>
          <w:lang w:val="nl-NL"/>
        </w:rPr>
        <w:t xml:space="preserve"> In maart 2018 heeft de Commis</w:t>
      </w:r>
      <w:r>
        <w:rPr>
          <w:noProof/>
          <w:lang w:eastAsia="en-GB"/>
        </w:rPr>
        <w:drawing>
          <wp:anchor distT="0" distB="0" distL="114300" distR="114300" simplePos="0" relativeHeight="251667456" behindDoc="0" locked="0" layoutInCell="1" allowOverlap="1">
            <wp:simplePos x="0" y="0"/>
            <wp:positionH relativeFrom="column">
              <wp:posOffset>3072130</wp:posOffset>
            </wp:positionH>
            <wp:positionV relativeFrom="paragraph">
              <wp:posOffset>2540</wp:posOffset>
            </wp:positionV>
            <wp:extent cx="2524125" cy="2914650"/>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sie geconcludeerd dat Frankrijk </w:t>
      </w:r>
      <w:r>
        <w:rPr>
          <w:rFonts w:ascii="Times New Roman" w:hAnsi="Times New Roman"/>
          <w:i/>
          <w:noProof/>
          <w:lang w:val="nl-NL"/>
        </w:rPr>
        <w:t>macro-economische onevenwichtigheden</w:t>
      </w:r>
      <w:r>
        <w:rPr>
          <w:rFonts w:ascii="Times New Roman" w:hAnsi="Times New Roman"/>
          <w:noProof/>
          <w:lang w:val="nl-NL"/>
        </w:rPr>
        <w:t xml:space="preserve"> ondervond, met name in verband met een hoge publieke schuld en een laag concurrentievermogen in een context van lage productiviteitsgroei. In het geactualiseerde scorebord liggen de indicatoren inzake de schuld van de overheid en de particuliere sector al</w:t>
      </w:r>
      <w:r>
        <w:rPr>
          <w:rFonts w:ascii="Times New Roman" w:hAnsi="Times New Roman"/>
          <w:noProof/>
          <w:lang w:val="nl-NL"/>
        </w:rPr>
        <w:t xml:space="preserve">smede de werkloosheid op of boven de indicatieve drempel. </w:t>
      </w:r>
    </w:p>
    <w:p w:rsidR="00222D78" w:rsidRDefault="00E65635">
      <w:pPr>
        <w:autoSpaceDE w:val="0"/>
        <w:autoSpaceDN w:val="0"/>
        <w:adjustRightInd w:val="0"/>
        <w:spacing w:after="160" w:line="259" w:lineRule="auto"/>
        <w:jc w:val="both"/>
        <w:rPr>
          <w:rFonts w:ascii="Times New Roman" w:eastAsia="Calibri" w:hAnsi="Times New Roman" w:cs="Times New Roman"/>
          <w:bCs/>
          <w:noProof/>
          <w:lang w:val="nl-NL"/>
        </w:rPr>
      </w:pPr>
      <w:r>
        <w:rPr>
          <w:rFonts w:ascii="Times New Roman" w:hAnsi="Times New Roman"/>
          <w:noProof/>
          <w:lang w:val="nl-NL"/>
        </w:rPr>
        <w:t>Het tekort op de lopende rekening was in 2017 vrijwel stabiel terwijl de netto internationale investeringspositie verslechterde. Ondanks een aantrekkende groei van de uitvoer waren er enige beperkt</w:t>
      </w:r>
      <w:r>
        <w:rPr>
          <w:rFonts w:ascii="Times New Roman" w:hAnsi="Times New Roman"/>
          <w:noProof/>
          <w:lang w:val="nl-NL"/>
        </w:rPr>
        <w:t>e verliezen in exportmarktaandelen, terwijl de reële effectieve wisselkoers stabiliseerde. Dankzij een matiging in de loonontwikkeling bleef de groei van de arbeidskosten per eenheid product beperkt. De dynamiek van de productiviteit kwam echter niet op ga</w:t>
      </w:r>
      <w:r>
        <w:rPr>
          <w:rFonts w:ascii="Times New Roman" w:hAnsi="Times New Roman"/>
          <w:noProof/>
          <w:lang w:val="nl-NL"/>
        </w:rPr>
        <w:t>ng. De zwakke punten ten gevolge van de hoge en nog steeds stijgende overheidsschuld blijven grote zorgen baren. De combinatie van hoge overheids- en particuliere schulden vormt nog een bijkomend pijnpunt. De schuld van de particuliere sector is relatief h</w:t>
      </w:r>
      <w:r>
        <w:rPr>
          <w:rFonts w:ascii="Times New Roman" w:hAnsi="Times New Roman"/>
          <w:noProof/>
          <w:lang w:val="nl-NL"/>
        </w:rPr>
        <w:t xml:space="preserve">oog, in het bijzonder voor niet-financiële ondernemingen, terwijl de kredietgroei lichtjes aantrekt. De reële huizenprijzen zijn matig gestegen. De situatie op de arbeidsmarkt verbetert en de werkloosheidsindicator ligt opnieuw onder de drempel. </w:t>
      </w:r>
    </w:p>
    <w:p w:rsidR="00222D78" w:rsidRDefault="00E65635">
      <w:pPr>
        <w:autoSpaceDE w:val="0"/>
        <w:autoSpaceDN w:val="0"/>
        <w:adjustRightInd w:val="0"/>
        <w:spacing w:after="160" w:line="259" w:lineRule="auto"/>
        <w:jc w:val="both"/>
        <w:rPr>
          <w:rFonts w:ascii="Times New Roman" w:eastAsia="Calibri" w:hAnsi="Times New Roman" w:cs="Times New Roman"/>
          <w:bCs/>
          <w:i/>
          <w:noProof/>
          <w:lang w:val="nl-NL"/>
        </w:rPr>
      </w:pPr>
      <w:r>
        <w:rPr>
          <w:rFonts w:ascii="Times New Roman" w:hAnsi="Times New Roman"/>
          <w:i/>
          <w:noProof/>
          <w:lang w:val="nl-NL"/>
        </w:rPr>
        <w:t xml:space="preserve">Over het </w:t>
      </w:r>
      <w:r>
        <w:rPr>
          <w:rFonts w:ascii="Times New Roman" w:hAnsi="Times New Roman"/>
          <w:i/>
          <w:noProof/>
          <w:lang w:val="nl-NL"/>
        </w:rPr>
        <w:t xml:space="preserve">geheel genomen blijkt uit de economische analyse dat er problemen zijn in verband met een hoge schuldenlast en een zwak concurrentievermogen tegen een achtergrond van lage productiviteitsgroei. Bijgevolg acht de Commissie het nuttig, mede in het licht van </w:t>
      </w:r>
      <w:r>
        <w:rPr>
          <w:rFonts w:ascii="Times New Roman" w:hAnsi="Times New Roman"/>
          <w:i/>
          <w:noProof/>
          <w:lang w:val="nl-NL"/>
        </w:rPr>
        <w:t>de vaststelling van een onevenwichtigheid in maart 2018, verder te onderzoeken of deze aanhouden dan wel ongedaan worden gemaakt.</w:t>
      </w:r>
    </w:p>
    <w:p w:rsidR="00222D78" w:rsidRDefault="00222D78">
      <w:pPr>
        <w:autoSpaceDE w:val="0"/>
        <w:autoSpaceDN w:val="0"/>
        <w:adjustRightInd w:val="0"/>
        <w:spacing w:after="160" w:line="259" w:lineRule="auto"/>
        <w:jc w:val="both"/>
        <w:rPr>
          <w:rFonts w:ascii="Times New Roman" w:eastAsia="Calibri" w:hAnsi="Times New Roman" w:cs="Times New Roman"/>
          <w:bCs/>
          <w:i/>
          <w:noProof/>
          <w:lang w:val="nl-NL"/>
        </w:rPr>
      </w:pPr>
    </w:p>
    <w:p w:rsidR="00222D78" w:rsidRDefault="00222D78">
      <w:pPr>
        <w:autoSpaceDE w:val="0"/>
        <w:autoSpaceDN w:val="0"/>
        <w:adjustRightInd w:val="0"/>
        <w:spacing w:after="160" w:line="259" w:lineRule="auto"/>
        <w:jc w:val="both"/>
        <w:rPr>
          <w:rFonts w:ascii="Times New Roman" w:eastAsia="Calibri" w:hAnsi="Times New Roman" w:cs="Times New Roman"/>
          <w:bCs/>
          <w:i/>
          <w:noProof/>
          <w:lang w:val="nl-NL"/>
        </w:rPr>
      </w:pPr>
    </w:p>
    <w:p w:rsidR="00222D78" w:rsidRDefault="00222D78">
      <w:pPr>
        <w:autoSpaceDE w:val="0"/>
        <w:autoSpaceDN w:val="0"/>
        <w:adjustRightInd w:val="0"/>
        <w:spacing w:after="160" w:line="259" w:lineRule="auto"/>
        <w:jc w:val="both"/>
        <w:rPr>
          <w:rFonts w:ascii="Times New Roman" w:eastAsia="Calibri" w:hAnsi="Times New Roman" w:cs="Times New Roman"/>
          <w:bCs/>
          <w:i/>
          <w:noProof/>
          <w:lang w:val="nl-NL"/>
        </w:rPr>
      </w:pPr>
    </w:p>
    <w:p w:rsidR="00222D78" w:rsidRDefault="00222D78">
      <w:pPr>
        <w:autoSpaceDE w:val="0"/>
        <w:autoSpaceDN w:val="0"/>
        <w:adjustRightInd w:val="0"/>
        <w:spacing w:after="160" w:line="259" w:lineRule="auto"/>
        <w:jc w:val="both"/>
        <w:rPr>
          <w:rFonts w:ascii="Times New Roman" w:eastAsia="Calibri" w:hAnsi="Times New Roman" w:cs="Times New Roman"/>
          <w:bCs/>
          <w:i/>
          <w:noProof/>
          <w:lang w:val="nl-NL"/>
        </w:rPr>
      </w:pPr>
    </w:p>
    <w:p w:rsidR="00222D78" w:rsidRDefault="00222D78">
      <w:pPr>
        <w:autoSpaceDE w:val="0"/>
        <w:autoSpaceDN w:val="0"/>
        <w:adjustRightInd w:val="0"/>
        <w:spacing w:after="160" w:line="259" w:lineRule="auto"/>
        <w:jc w:val="both"/>
        <w:rPr>
          <w:rFonts w:ascii="Times New Roman" w:eastAsia="Calibri" w:hAnsi="Times New Roman" w:cs="Times New Roman"/>
          <w:bCs/>
          <w:i/>
          <w:noProof/>
          <w:lang w:val="nl-NL"/>
        </w:rPr>
      </w:pPr>
    </w:p>
    <w:p w:rsidR="00222D78" w:rsidRDefault="00E65635">
      <w:pPr>
        <w:autoSpaceDE w:val="0"/>
        <w:autoSpaceDN w:val="0"/>
        <w:adjustRightInd w:val="0"/>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68480" behindDoc="0" locked="0" layoutInCell="1" allowOverlap="1">
            <wp:simplePos x="0" y="0"/>
            <wp:positionH relativeFrom="column">
              <wp:posOffset>2967355</wp:posOffset>
            </wp:positionH>
            <wp:positionV relativeFrom="paragraph">
              <wp:posOffset>60960</wp:posOffset>
            </wp:positionV>
            <wp:extent cx="2600325" cy="2964180"/>
            <wp:effectExtent l="0" t="0" r="952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nl-NL"/>
        </w:rPr>
        <w:t>Kroatië:</w:t>
      </w:r>
      <w:r>
        <w:rPr>
          <w:rFonts w:ascii="Times New Roman" w:hAnsi="Times New Roman"/>
          <w:noProof/>
          <w:lang w:val="nl-NL"/>
        </w:rPr>
        <w:t xml:space="preserve"> In maart 2018 heeft de Commissie geconcludeerd dat Kroatië, in een context van lage potentiële groei, </w:t>
      </w:r>
      <w:r>
        <w:rPr>
          <w:rFonts w:ascii="Times New Roman" w:hAnsi="Times New Roman"/>
          <w:i/>
          <w:noProof/>
          <w:lang w:val="nl-NL"/>
        </w:rPr>
        <w:t>buitenspo</w:t>
      </w:r>
      <w:r>
        <w:rPr>
          <w:rFonts w:ascii="Times New Roman" w:hAnsi="Times New Roman"/>
          <w:i/>
          <w:noProof/>
          <w:lang w:val="nl-NL"/>
        </w:rPr>
        <w:t>rige macro-economische onevenwichtigheden</w:t>
      </w:r>
      <w:r>
        <w:rPr>
          <w:rFonts w:ascii="Times New Roman" w:hAnsi="Times New Roman"/>
          <w:noProof/>
          <w:lang w:val="nl-NL"/>
        </w:rPr>
        <w:t xml:space="preserve"> ondervond, die verband hielden met hoge niveaus van overheidsschuld, particuliere schuld en buitenlandse schuld, een schuldenlast die grotendeels in vreemde valuta luidt. Op het geactualiseerde scorebord ligt een a</w:t>
      </w:r>
      <w:r>
        <w:rPr>
          <w:rFonts w:ascii="Times New Roman" w:hAnsi="Times New Roman"/>
          <w:noProof/>
          <w:lang w:val="nl-NL"/>
        </w:rPr>
        <w:t xml:space="preserve">antal indicatoren boven de indicatieve drempel, namelijk de netto internationale investeringspositie (NIIP), de overheidsschuld en de werkloosheidsgraad. </w:t>
      </w:r>
    </w:p>
    <w:p w:rsidR="00222D78" w:rsidRDefault="00E65635">
      <w:pPr>
        <w:autoSpaceDE w:val="0"/>
        <w:autoSpaceDN w:val="0"/>
        <w:adjustRightInd w:val="0"/>
        <w:spacing w:after="160" w:line="259" w:lineRule="auto"/>
        <w:jc w:val="both"/>
        <w:rPr>
          <w:rFonts w:ascii="Times New Roman" w:eastAsia="Calibri" w:hAnsi="Times New Roman" w:cs="Times New Roman"/>
          <w:noProof/>
          <w:lang w:val="nl-NL"/>
        </w:rPr>
      </w:pPr>
      <w:r>
        <w:rPr>
          <w:rFonts w:ascii="Times New Roman" w:hAnsi="Times New Roman"/>
          <w:noProof/>
          <w:lang w:val="nl-NL"/>
        </w:rPr>
        <w:t>Het groeiende overschot op de lopende rekening maakt dat de negatieve NIIP, die in ruime mate de buit</w:t>
      </w:r>
      <w:r>
        <w:rPr>
          <w:rFonts w:ascii="Times New Roman" w:hAnsi="Times New Roman"/>
          <w:noProof/>
          <w:lang w:val="nl-NL"/>
        </w:rPr>
        <w:t>enlandse directe investeringen weerspiegelt, verbetert. Deze overschrijdt echter nog steeds de drempel en is blootgesteld aan aanhoudende valutarisico's. De negatieve groei van de nominale arbeidskosten per eenheid product wijst op verdere winst in het kos</w:t>
      </w:r>
      <w:r>
        <w:rPr>
          <w:rFonts w:ascii="Times New Roman" w:hAnsi="Times New Roman"/>
          <w:noProof/>
          <w:lang w:val="nl-NL"/>
        </w:rPr>
        <w:t>tenconcurrentievermogen hoewel de reële effectieve wisselkoers stabiel is gebleven. Ten gevolge daarvan heeft Kroatië in 2017 nog marktaandeel gewonnen maar in een lage tempo dan in de voorbije jaren. De schuld van de particuliere sector is blijven dalen o</w:t>
      </w:r>
      <w:r>
        <w:rPr>
          <w:rFonts w:ascii="Times New Roman" w:hAnsi="Times New Roman"/>
          <w:noProof/>
          <w:lang w:val="nl-NL"/>
        </w:rPr>
        <w:t>ndanks een herstel van de kredietstromen in 2017. Het terugdringen van niet-renderende leningen in de banksector is vertraagd en een aanzienlijk deel van de leningen aan niet-financiële vennootschappen blijft problematisch. De schuldquote van de overheid i</w:t>
      </w:r>
      <w:r>
        <w:rPr>
          <w:rFonts w:ascii="Times New Roman" w:hAnsi="Times New Roman"/>
          <w:noProof/>
          <w:lang w:val="nl-NL"/>
        </w:rPr>
        <w:t>s in 2017 verder gedaald, onder meer dankzij een verbetering van het overheidssaldo. De werkloosheid is blijven dalen. De participatie op de arbeidsmarkt is echter nog steeds zeer laag en blijft wegen op de potentiële groei, in combinatie met de trage ontw</w:t>
      </w:r>
      <w:r>
        <w:rPr>
          <w:rFonts w:ascii="Times New Roman" w:hAnsi="Times New Roman"/>
          <w:noProof/>
          <w:lang w:val="nl-NL"/>
        </w:rPr>
        <w:t xml:space="preserve">ikkeling van de productiviteit. De risico's met betrekking tot de grootste werkgever van het land, namelijk Agrokor, zijn verminderd nadat de schuldeisers een plan voor herstructurering van de schuld aanvaardden. </w:t>
      </w:r>
    </w:p>
    <w:p w:rsidR="00222D78" w:rsidRDefault="00E65635">
      <w:pPr>
        <w:autoSpaceDE w:val="0"/>
        <w:autoSpaceDN w:val="0"/>
        <w:adjustRightInd w:val="0"/>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69504" behindDoc="0" locked="0" layoutInCell="1" allowOverlap="1">
            <wp:simplePos x="0" y="0"/>
            <wp:positionH relativeFrom="column">
              <wp:posOffset>3453130</wp:posOffset>
            </wp:positionH>
            <wp:positionV relativeFrom="paragraph">
              <wp:posOffset>345440</wp:posOffset>
            </wp:positionV>
            <wp:extent cx="2518410" cy="25527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841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Over het geheel genomen blijkt uit de eco</w:t>
      </w:r>
      <w:r>
        <w:rPr>
          <w:rFonts w:ascii="Times New Roman" w:hAnsi="Times New Roman"/>
          <w:i/>
          <w:noProof/>
          <w:lang w:val="nl-NL"/>
        </w:rPr>
        <w:t>nomische analyse dat er nog steeds sprake is van hoge maar verminderende schuldniveaus en blootstelling aan valutarisico’s in alle sectoren van de economie en dat een verhoging van de potentiële groei belangrijk is om te komen tot een houdbare correctie. D</w:t>
      </w:r>
      <w:r>
        <w:rPr>
          <w:rFonts w:ascii="Times New Roman" w:hAnsi="Times New Roman"/>
          <w:i/>
          <w:noProof/>
          <w:lang w:val="nl-NL"/>
        </w:rPr>
        <w:t>erhalve acht de Commissie het nuttig, mede rekening houdend met de vaststelling van een buitensporige onevenwichtigheid in maart 2018, de aanhoudende macro-economische risico's verder te onderzoeken en de vooruitgang bij het ongedaan maken van de buitenspo</w:t>
      </w:r>
      <w:r>
        <w:rPr>
          <w:rFonts w:ascii="Times New Roman" w:hAnsi="Times New Roman"/>
          <w:i/>
          <w:noProof/>
          <w:lang w:val="nl-NL"/>
        </w:rPr>
        <w:t>rige onevenwichtigheden te volgen.</w:t>
      </w:r>
    </w:p>
    <w:p w:rsidR="00222D78" w:rsidRDefault="00222D78">
      <w:pPr>
        <w:rPr>
          <w:rFonts w:ascii="Times New Roman" w:eastAsia="Times New Roman" w:hAnsi="Times New Roman" w:cs="Times New Roman"/>
          <w:b/>
          <w:bCs/>
          <w:noProof/>
          <w:color w:val="000000"/>
          <w:lang w:val="nl-NL"/>
        </w:rPr>
      </w:pPr>
    </w:p>
    <w:p w:rsidR="00222D78" w:rsidRDefault="00E65635">
      <w:pPr>
        <w:autoSpaceDE w:val="0"/>
        <w:autoSpaceDN w:val="0"/>
        <w:adjustRightInd w:val="0"/>
        <w:spacing w:after="0" w:line="240" w:lineRule="auto"/>
        <w:jc w:val="both"/>
        <w:rPr>
          <w:rFonts w:ascii="Times New Roman" w:eastAsia="Times New Roman" w:hAnsi="Times New Roman" w:cs="Times New Roman"/>
          <w:noProof/>
          <w:color w:val="000000"/>
          <w:lang w:val="nl-NL"/>
        </w:rPr>
      </w:pPr>
      <w:r>
        <w:rPr>
          <w:rFonts w:ascii="Times New Roman" w:hAnsi="Times New Roman"/>
          <w:b/>
          <w:noProof/>
          <w:color w:val="000000"/>
          <w:lang w:val="nl-NL"/>
        </w:rPr>
        <w:t>Italië</w:t>
      </w:r>
      <w:r>
        <w:rPr>
          <w:rFonts w:ascii="Times New Roman" w:hAnsi="Times New Roman"/>
          <w:noProof/>
          <w:color w:val="000000"/>
          <w:lang w:val="nl-NL"/>
        </w:rPr>
        <w:t xml:space="preserve">: In maart 2018 heeft de Commissie geconcludeerd dat Italië in een context van hoge percentages niet-renderende leningen en werkloosheid </w:t>
      </w:r>
      <w:r>
        <w:rPr>
          <w:rFonts w:ascii="Times New Roman" w:hAnsi="Times New Roman"/>
          <w:i/>
          <w:noProof/>
          <w:color w:val="000000"/>
          <w:lang w:val="nl-NL"/>
        </w:rPr>
        <w:t>buitensporige macro-economische onevenwichtigheden</w:t>
      </w:r>
      <w:r>
        <w:rPr>
          <w:rFonts w:ascii="Times New Roman" w:hAnsi="Times New Roman"/>
          <w:noProof/>
          <w:color w:val="000000"/>
          <w:lang w:val="nl-NL"/>
        </w:rPr>
        <w:t xml:space="preserve"> ondervond, met name in verband met de risico's van de hoge publieke schuld en een aanhoudend zwakke dynamiek in de productiviteit. Op het geactualiseerde scorebord liggen twee indicatoren boven de indicatieve drempel, namelijk de overheidsschuld en de wer</w:t>
      </w:r>
      <w:r>
        <w:rPr>
          <w:rFonts w:ascii="Times New Roman" w:hAnsi="Times New Roman"/>
          <w:noProof/>
          <w:color w:val="000000"/>
          <w:lang w:val="nl-NL"/>
        </w:rPr>
        <w:t xml:space="preserve">kloosheidsgraad. </w:t>
      </w:r>
    </w:p>
    <w:p w:rsidR="00222D78" w:rsidRDefault="00222D78">
      <w:pPr>
        <w:autoSpaceDE w:val="0"/>
        <w:autoSpaceDN w:val="0"/>
        <w:adjustRightInd w:val="0"/>
        <w:spacing w:after="0" w:line="240" w:lineRule="auto"/>
        <w:jc w:val="both"/>
        <w:rPr>
          <w:rFonts w:ascii="Times New Roman" w:eastAsia="Times New Roman" w:hAnsi="Times New Roman" w:cs="Times New Roman"/>
          <w:noProof/>
          <w:color w:val="000000"/>
          <w:lang w:val="nl-NL"/>
        </w:rPr>
      </w:pPr>
    </w:p>
    <w:p w:rsidR="00222D78" w:rsidRDefault="00E65635">
      <w:pPr>
        <w:autoSpaceDE w:val="0"/>
        <w:autoSpaceDN w:val="0"/>
        <w:adjustRightInd w:val="0"/>
        <w:spacing w:after="0" w:line="240" w:lineRule="auto"/>
        <w:jc w:val="both"/>
        <w:rPr>
          <w:rFonts w:ascii="Times New Roman" w:eastAsia="Times New Roman" w:hAnsi="Times New Roman" w:cs="Times New Roman"/>
          <w:noProof/>
          <w:color w:val="000000"/>
          <w:lang w:val="nl-NL"/>
        </w:rPr>
      </w:pPr>
      <w:r>
        <w:rPr>
          <w:rFonts w:ascii="Times New Roman" w:hAnsi="Times New Roman"/>
          <w:noProof/>
          <w:color w:val="000000"/>
          <w:lang w:val="nl-NL"/>
        </w:rPr>
        <w:t>De externe positie is relatief sterk met overschotten op de lopende rekening en een verbetering van de netto internationale investeringspositie. De schuldquote van de overheid is in 2017 op een zeer hoog niveau gestabiliseerd maar de beg</w:t>
      </w:r>
      <w:r>
        <w:rPr>
          <w:rFonts w:ascii="Times New Roman" w:hAnsi="Times New Roman"/>
          <w:noProof/>
          <w:color w:val="000000"/>
          <w:lang w:val="nl-NL"/>
        </w:rPr>
        <w:t>rotingsplannen van de regering, het zwakker dan verwachte herstel en de hogere financieringskosten belemmeren de toekomstige vermindering van de schuldquote. Tegelijkertijd wegen de zwakke productiviteitsgroei en een krimpende beroepsbevolking op de potent</w:t>
      </w:r>
      <w:r>
        <w:rPr>
          <w:rFonts w:ascii="Times New Roman" w:hAnsi="Times New Roman"/>
          <w:noProof/>
          <w:color w:val="000000"/>
          <w:lang w:val="nl-NL"/>
        </w:rPr>
        <w:t>iële groei van Italië. De lage productiviteitsgroei vindt zijn oorzaak in reeds lang bestaande structurele zwakheden, waaronder een bedrijfsklimaat dat minder gunstig is dan in vergelijkbare landen, financiële beperkingen, een gebrek aan hooggeschoolde wer</w:t>
      </w:r>
      <w:r>
        <w:rPr>
          <w:rFonts w:ascii="Times New Roman" w:hAnsi="Times New Roman"/>
          <w:noProof/>
          <w:color w:val="000000"/>
          <w:lang w:val="nl-NL"/>
        </w:rPr>
        <w:t>knemers en laag niveau van investeringen in immateriële activa. In het herstel van de balans van banken is vooruitgang geboekt en de Italiaanse banksector is in 2017 opnieuw winstgevend geworden. Er blijven echter zwakke punten, vooral voor kleine en midde</w:t>
      </w:r>
      <w:r>
        <w:rPr>
          <w:rFonts w:ascii="Times New Roman" w:hAnsi="Times New Roman"/>
          <w:noProof/>
          <w:color w:val="000000"/>
          <w:lang w:val="nl-NL"/>
        </w:rPr>
        <w:t>lgrote banken, die nog steeds grote hoeveelheden niet-renderende leningen uit het verleden moeten torsen en meer dan grote banken blootgesteld zijn aan risico's met betrekking tot overheidsfinanciën. De marktomstandigheden op de arbeidsmarkt verbeteren gel</w:t>
      </w:r>
      <w:r>
        <w:rPr>
          <w:rFonts w:ascii="Times New Roman" w:hAnsi="Times New Roman"/>
          <w:noProof/>
          <w:color w:val="000000"/>
          <w:lang w:val="nl-NL"/>
        </w:rPr>
        <w:t>eidelijk, maar met name onder jongeren en langdurig werklozen blijft de werkloosheid hoog, ver boven het niveau van vóór de crisis. De algemene participatiegraad stijgt maar blijft onder het gemiddelde van de eurozone. Ten gevolge van het aan de gang zijnd</w:t>
      </w:r>
      <w:r>
        <w:rPr>
          <w:rFonts w:ascii="Times New Roman" w:hAnsi="Times New Roman"/>
          <w:noProof/>
          <w:color w:val="000000"/>
          <w:lang w:val="nl-NL"/>
        </w:rPr>
        <w:t>e herstel is de achteruitgang in Italiës macro-economische variabelen tot stilstand gekomen maar de onevenwichtigheden blijven aanzienlijk en worden slechts geleidelijk afgebouwd. De vertraagde groei van het reële bbp en de opnieuw opstekende spanningen op</w:t>
      </w:r>
      <w:r>
        <w:rPr>
          <w:rFonts w:ascii="Times New Roman" w:hAnsi="Times New Roman"/>
          <w:noProof/>
          <w:color w:val="000000"/>
          <w:lang w:val="nl-NL"/>
        </w:rPr>
        <w:t xml:space="preserve"> de markt van de overheidsobligaties zouden de tot dusver geboekte vooruitgang kunnen ondermijnen. </w:t>
      </w:r>
    </w:p>
    <w:p w:rsidR="00222D78" w:rsidRDefault="00222D78">
      <w:pPr>
        <w:autoSpaceDE w:val="0"/>
        <w:autoSpaceDN w:val="0"/>
        <w:adjustRightInd w:val="0"/>
        <w:spacing w:after="0" w:line="240" w:lineRule="auto"/>
        <w:jc w:val="both"/>
        <w:rPr>
          <w:rFonts w:ascii="Times New Roman" w:eastAsia="Times New Roman" w:hAnsi="Times New Roman" w:cs="Times New Roman"/>
          <w:noProof/>
          <w:color w:val="000000"/>
          <w:lang w:val="nl-NL"/>
        </w:rPr>
      </w:pP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het niveau van de overheidsschuld in een context van sterker</w:t>
      </w:r>
      <w:r>
        <w:rPr>
          <w:rFonts w:ascii="Times New Roman" w:hAnsi="Times New Roman"/>
          <w:i/>
          <w:noProof/>
          <w:lang w:val="nl-NL"/>
        </w:rPr>
        <w:t>e marktvolatiliteit en hoge werkloosheid. De dynamiek van de productiviteit blijft zwak tegen een achtergrond van vernieuwde bezorgdheid over de terugkoppeling tussen banken en overheidsschulden. Derhalve acht de Commissie het nuttig, mede rekening houdend</w:t>
      </w:r>
      <w:r>
        <w:rPr>
          <w:rFonts w:ascii="Times New Roman" w:hAnsi="Times New Roman"/>
          <w:i/>
          <w:noProof/>
          <w:lang w:val="nl-NL"/>
        </w:rPr>
        <w:t xml:space="preserve"> met de vaststelling van een buitensporige onevenwichtigheid in maart 2018, de aanhoudende macro-economische risico's verder te onderzoeken en de vooruitgang te volgen die geboekt wordt bij het ongedaan maken van buitensporige onevenwichtigheden.</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b/>
          <w:noProof/>
          <w:lang w:val="nl-NL"/>
        </w:rPr>
        <w:t>Cyprus:</w:t>
      </w:r>
      <w:r>
        <w:rPr>
          <w:rFonts w:ascii="Times New Roman" w:hAnsi="Times New Roman"/>
          <w:noProof/>
          <w:lang w:val="nl-NL"/>
        </w:rPr>
        <w:t xml:space="preserve"> </w:t>
      </w:r>
      <w:r>
        <w:rPr>
          <w:rFonts w:ascii="Times New Roman" w:hAnsi="Times New Roman"/>
          <w:noProof/>
          <w:lang w:val="nl-NL"/>
        </w:rPr>
        <w:t xml:space="preserve">In maart 2018 heeft de Commissie geconcludeerd dat Cyprus </w:t>
      </w:r>
      <w:r>
        <w:rPr>
          <w:rFonts w:ascii="Times New Roman" w:hAnsi="Times New Roman"/>
          <w:i/>
          <w:noProof/>
          <w:lang w:val="nl-NL"/>
        </w:rPr>
        <w:t>buitensporige macro-economische onevenwichtigheden</w:t>
      </w:r>
      <w:r>
        <w:rPr>
          <w:rFonts w:ascii="Times New Roman" w:hAnsi="Times New Roman"/>
          <w:noProof/>
          <w:lang w:val="nl-NL"/>
        </w:rPr>
        <w:t xml:space="preserve"> ondervond. Het ging daarbij met name om de hoge stand van de particuliere, publieke en externe schuld en het hoge percentage niet-renderende lening</w:t>
      </w:r>
      <w:r>
        <w:rPr>
          <w:rFonts w:ascii="Times New Roman" w:hAnsi="Times New Roman"/>
          <w:noProof/>
          <w:lang w:val="nl-NL"/>
        </w:rPr>
        <w:t>en in het bankwezen. Op het geactualiseerde scorebord blijft een aantal indicatoren in 2017 boven de indicatieve drempel, namelijk de lopende rekening, de netto internationale investeringspositie (NIIP), de reële effectieve wisselkoers (REER), de particuli</w:t>
      </w:r>
      <w:r>
        <w:rPr>
          <w:rFonts w:ascii="Times New Roman" w:hAnsi="Times New Roman"/>
          <w:noProof/>
          <w:lang w:val="nl-NL"/>
        </w:rPr>
        <w:t xml:space="preserve">ere schuld en de overheidsschuld, de werkloosheidsgraad en de verandering in de arbeidsparticipatie. </w:t>
      </w:r>
    </w:p>
    <w:p w:rsidR="00222D78" w:rsidRDefault="00E65635">
      <w:pPr>
        <w:spacing w:after="160" w:line="259" w:lineRule="auto"/>
        <w:jc w:val="both"/>
        <w:rPr>
          <w:rFonts w:ascii="Times New Roman" w:eastAsia="Calibri" w:hAnsi="Times New Roman" w:cs="Times New Roman"/>
          <w:noProof/>
          <w:lang w:val="nl-NL"/>
        </w:rPr>
      </w:pPr>
      <w:r>
        <w:rPr>
          <w:noProof/>
          <w:lang w:val="nl-NL"/>
        </w:rPr>
        <w:t>Het tekort op de lopende rekening is in 20</w:t>
      </w:r>
      <w:r>
        <w:rPr>
          <w:noProof/>
          <w:lang w:eastAsia="en-GB"/>
        </w:rPr>
        <w:drawing>
          <wp:anchor distT="0" distB="0" distL="114300" distR="114300" simplePos="0" relativeHeight="251670528" behindDoc="0" locked="0" layoutInCell="1" allowOverlap="1">
            <wp:simplePos x="0" y="0"/>
            <wp:positionH relativeFrom="column">
              <wp:posOffset>2976880</wp:posOffset>
            </wp:positionH>
            <wp:positionV relativeFrom="paragraph">
              <wp:posOffset>2540</wp:posOffset>
            </wp:positionV>
            <wp:extent cx="2647950" cy="286702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17 toegenomen tegen de achtergrond van een krachtig groeiende invoer en een sterk negatieve NIIP.</w:t>
      </w:r>
      <w:r>
        <w:rPr>
          <w:rFonts w:ascii="Times New Roman" w:hAnsi="Times New Roman"/>
          <w:noProof/>
          <w:lang w:val="nl-NL"/>
        </w:rPr>
        <w:t xml:space="preserve"> De aanpassing</w:t>
      </w:r>
      <w:r>
        <w:rPr>
          <w:rFonts w:ascii="Times New Roman" w:hAnsi="Times New Roman"/>
          <w:noProof/>
          <w:lang w:val="nl-NL"/>
        </w:rPr>
        <w:t xml:space="preserve"> van het kostenconcurrentievermogen is vertraagd terwijl de arbeidskosten per eenheid product marginaal groeiden en de reële effectieve wisselkoers stabiel bleef. Het niveau van de particuliere schuldenlast behoort tot de hoogste van de EU, zowel voor huis</w:t>
      </w:r>
      <w:r>
        <w:rPr>
          <w:rFonts w:ascii="Times New Roman" w:hAnsi="Times New Roman"/>
          <w:noProof/>
          <w:lang w:val="nl-NL"/>
        </w:rPr>
        <w:t>houdens als voor bedrijven, terwijl de schuldenafbouw traag verloopt. Met name de spaarquote van de huishoudens is negatief. De neerwaartse aanpassing van de reële huizenprijzen is door een dal gegaan en de huizenprijzen zijn aan een matige stijging begonn</w:t>
      </w:r>
      <w:r>
        <w:rPr>
          <w:rFonts w:ascii="Times New Roman" w:hAnsi="Times New Roman"/>
          <w:noProof/>
          <w:lang w:val="nl-NL"/>
        </w:rPr>
        <w:t>en. Het zeer hoge niveau van de niet-renderende leningen belemmert de kredietstroom naar de economie, hetgeen vereist is om de potentiële groei op middellange termijn te ondersteunen. De schuldquote van de overheid blijft zeer hoog. De werkloosheid loopt s</w:t>
      </w:r>
      <w:r>
        <w:rPr>
          <w:rFonts w:ascii="Times New Roman" w:hAnsi="Times New Roman"/>
          <w:noProof/>
          <w:lang w:val="nl-NL"/>
        </w:rPr>
        <w:t>nel terug maar blijft nog hoog, met name de jeugdwerkloosheid. De laatste drie jaar is de langdurige en jongerenwerkloosheid aan het verbeteren.</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externe houdb</w:t>
      </w:r>
      <w:r>
        <w:rPr>
          <w:rFonts w:ascii="Times New Roman" w:hAnsi="Times New Roman"/>
          <w:i/>
          <w:noProof/>
          <w:lang w:val="nl-NL"/>
        </w:rPr>
        <w:t>aarheid, de schuld van de particuliere en de overheidssector, de kwetsbaarheid van de financiële sector en de aanpassing van de arbeidsmarkt. Derhalve acht de Commissie het nuttig, mede rekening houdend met de vaststelling van een buitensporige onevenwicht</w:t>
      </w:r>
      <w:r>
        <w:rPr>
          <w:rFonts w:ascii="Times New Roman" w:hAnsi="Times New Roman"/>
          <w:i/>
          <w:noProof/>
          <w:lang w:val="nl-NL"/>
        </w:rPr>
        <w:t>igheid in maart 2018, de aanhoudende macro-economische risico's verder te onderzoeken en de vooruitgang te volgen bij het ongedaan maken van buitensporige onevenwichtigheden.</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rPr>
          <w:rFonts w:ascii="Times New Roman" w:eastAsia="Calibri" w:hAnsi="Times New Roman" w:cs="Times New Roman"/>
          <w:b/>
          <w:bCs/>
          <w:noProof/>
          <w:lang w:val="nl-NL"/>
        </w:rPr>
      </w:pPr>
      <w:r>
        <w:rPr>
          <w:noProof/>
          <w:lang w:eastAsia="en-GB"/>
        </w:rPr>
        <w:drawing>
          <wp:anchor distT="0" distB="0" distL="114300" distR="114300" simplePos="0" relativeHeight="251671552" behindDoc="0" locked="0" layoutInCell="1" allowOverlap="1">
            <wp:simplePos x="0" y="0"/>
            <wp:positionH relativeFrom="column">
              <wp:posOffset>2814955</wp:posOffset>
            </wp:positionH>
            <wp:positionV relativeFrom="paragraph">
              <wp:posOffset>40640</wp:posOffset>
            </wp:positionV>
            <wp:extent cx="2867025" cy="286702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nl-NL"/>
        </w:rPr>
        <w:t xml:space="preserve">Letland: </w:t>
      </w:r>
      <w:r>
        <w:rPr>
          <w:rFonts w:ascii="Times New Roman" w:hAnsi="Times New Roman"/>
          <w:noProof/>
          <w:lang w:val="nl-NL"/>
        </w:rPr>
        <w:t xml:space="preserve">Tijdens de vorige MIP-ronde zijn in Letland </w:t>
      </w:r>
      <w:r>
        <w:rPr>
          <w:rFonts w:ascii="Times New Roman" w:hAnsi="Times New Roman"/>
          <w:i/>
          <w:noProof/>
          <w:lang w:val="nl-NL"/>
        </w:rPr>
        <w:t>geen macro-economische one</w:t>
      </w:r>
      <w:r>
        <w:rPr>
          <w:rFonts w:ascii="Times New Roman" w:hAnsi="Times New Roman"/>
          <w:i/>
          <w:noProof/>
          <w:lang w:val="nl-NL"/>
        </w:rPr>
        <w:t>venwichtigheden</w:t>
      </w:r>
      <w:r>
        <w:rPr>
          <w:rFonts w:ascii="Times New Roman" w:hAnsi="Times New Roman"/>
          <w:noProof/>
          <w:lang w:val="nl-NL"/>
        </w:rPr>
        <w:t xml:space="preserve"> geconstateerd. Op het geactualiseerde scorebord ligt een aantal indicatoren, namelijk de netto internationale investeringspositie (NIIP) en de groei van de arbeidskosten per eenheid product, boven de indicatieve drempel. </w:t>
      </w:r>
    </w:p>
    <w:p w:rsidR="00222D78" w:rsidRDefault="00E65635">
      <w:pPr>
        <w:autoSpaceDE w:val="0"/>
        <w:autoSpaceDN w:val="0"/>
        <w:adjustRightInd w:val="0"/>
        <w:spacing w:after="0" w:line="240" w:lineRule="auto"/>
        <w:jc w:val="both"/>
        <w:rPr>
          <w:rFonts w:ascii="Times New Roman" w:eastAsia="Calibri" w:hAnsi="Times New Roman" w:cs="Times New Roman"/>
          <w:noProof/>
          <w:lang w:val="nl-NL"/>
        </w:rPr>
      </w:pPr>
      <w:r>
        <w:rPr>
          <w:noProof/>
          <w:lang w:val="nl-NL"/>
        </w:rPr>
        <w:t>De lopende rekenin</w:t>
      </w:r>
      <w:r>
        <w:rPr>
          <w:noProof/>
          <w:lang w:val="nl-NL"/>
        </w:rPr>
        <w:t>g is min of meer in evenwicht en de negatieve NIIP, die grotendeels bestaat uit directe buitenlandse investeringen, is verbeterd vanwege de sterke groei van het nominale bbp, maar blijft boven de drempelwaarde.</w:t>
      </w:r>
      <w:r>
        <w:rPr>
          <w:rFonts w:ascii="Times New Roman" w:hAnsi="Times New Roman"/>
          <w:noProof/>
          <w:lang w:val="nl-NL"/>
        </w:rPr>
        <w:t xml:space="preserve"> De arbeidskosten per eenheid product zijn een</w:t>
      </w:r>
      <w:r>
        <w:rPr>
          <w:rFonts w:ascii="Times New Roman" w:hAnsi="Times New Roman"/>
          <w:noProof/>
          <w:lang w:val="nl-NL"/>
        </w:rPr>
        <w:t xml:space="preserve"> aantal jaar in vergelijking sterk blijven groeien en weerspiegelen de sterke loonstijgingen en een krappe arbeidsmarkt. Zodoende is de indicator sinds 2014 boven de drempel van het scorebord gebleven. De gevolgen voor het externe prijzenconcurrentievermog</w:t>
      </w:r>
      <w:r>
        <w:rPr>
          <w:rFonts w:ascii="Times New Roman" w:hAnsi="Times New Roman"/>
          <w:noProof/>
          <w:lang w:val="nl-NL"/>
        </w:rPr>
        <w:t>en en de uitvoerprestaties zijn tot nu toe beperkt gebleven omdat ze opgevangen werden door bescheiden winstmarges. Voor de toekomst wordt verwacht dat de loongroei sterk zal blijven vanwege de steeds krapper wordende arbeidsmarkt. Samen bekeken vormen dez</w:t>
      </w:r>
      <w:r>
        <w:rPr>
          <w:rFonts w:ascii="Times New Roman" w:hAnsi="Times New Roman"/>
          <w:noProof/>
          <w:lang w:val="nl-NL"/>
        </w:rPr>
        <w:t>e ontwikkelingen een risico voor het concurrentievermogen van het land en voor de groeivooruitzichten op middellange termijn. De groei van de reële huizenprijzen blijft dynamisch. Terwijl de huizenprijzen in 2017 minder snel stegen dan in 2016, zijn ze opn</w:t>
      </w:r>
      <w:r>
        <w:rPr>
          <w:rFonts w:ascii="Times New Roman" w:hAnsi="Times New Roman"/>
          <w:noProof/>
          <w:lang w:val="nl-NL"/>
        </w:rPr>
        <w:t xml:space="preserve">ieuw omhooggegaan in het eerste halfjaar van 2018. De kredietgroei is in het algemeen gematigd gebleven. De overheidsschuld en de particuliere schulden zijn relatief laag. </w:t>
      </w:r>
    </w:p>
    <w:p w:rsidR="00222D78" w:rsidRDefault="00222D78">
      <w:pPr>
        <w:autoSpaceDE w:val="0"/>
        <w:autoSpaceDN w:val="0"/>
        <w:adjustRightInd w:val="0"/>
        <w:spacing w:after="0" w:line="240" w:lineRule="auto"/>
        <w:jc w:val="both"/>
        <w:rPr>
          <w:rFonts w:ascii="Times New Roman" w:eastAsia="Calibri" w:hAnsi="Times New Roman" w:cs="Times New Roman"/>
          <w:noProof/>
          <w:lang w:val="nl-NL"/>
        </w:rPr>
      </w:pPr>
    </w:p>
    <w:p w:rsidR="00222D78" w:rsidRDefault="00E65635">
      <w:pPr>
        <w:autoSpaceDE w:val="0"/>
        <w:autoSpaceDN w:val="0"/>
        <w:adjustRightInd w:val="0"/>
        <w:spacing w:after="0" w:line="240" w:lineRule="auto"/>
        <w:jc w:val="both"/>
        <w:rPr>
          <w:rFonts w:ascii="Times New Roman" w:eastAsia="Calibri" w:hAnsi="Times New Roman" w:cs="Times New Roman"/>
          <w:i/>
          <w:noProof/>
          <w:lang w:val="nl-NL"/>
        </w:rPr>
      </w:pPr>
      <w:r>
        <w:rPr>
          <w:rFonts w:ascii="Times New Roman" w:hAnsi="Times New Roman"/>
          <w:i/>
          <w:noProof/>
          <w:lang w:val="nl-NL"/>
        </w:rPr>
        <w:t xml:space="preserve">Over het geheel genomen blijkt uit de economische analyse dat er problemen zijn met betrekking tot de dynamiek in de arbeidsmarkt en het externe concurrentievermogen, hoewel de risico's in dit stadium beperkt lijken. Bijgevolg acht de Commissie het in dit </w:t>
      </w:r>
      <w:r>
        <w:rPr>
          <w:rFonts w:ascii="Times New Roman" w:hAnsi="Times New Roman"/>
          <w:i/>
          <w:noProof/>
          <w:lang w:val="nl-NL"/>
        </w:rPr>
        <w:t xml:space="preserve">stadium niet noodzakelijk een verdere diepgaande analyse te verrichten in het kader van de MIP. </w:t>
      </w:r>
    </w:p>
    <w:p w:rsidR="00222D78" w:rsidRDefault="00222D78">
      <w:pPr>
        <w:spacing w:after="160" w:line="259" w:lineRule="auto"/>
        <w:rPr>
          <w:rFonts w:ascii="Times New Roman" w:eastAsia="Calibri" w:hAnsi="Times New Roman" w:cs="Times New Roman"/>
          <w:noProof/>
          <w:lang w:val="nl-NL"/>
        </w:rPr>
      </w:pP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b/>
          <w:noProof/>
          <w:lang w:val="nl-NL"/>
        </w:rPr>
        <w:t>Litouwen:</w:t>
      </w:r>
      <w:r>
        <w:rPr>
          <w:rFonts w:ascii="Times New Roman" w:hAnsi="Times New Roman"/>
          <w:noProof/>
          <w:lang w:val="nl-NL"/>
        </w:rPr>
        <w:t xml:space="preserve"> Tijdens vorige MIP-ronden werden </w:t>
      </w:r>
      <w:r>
        <w:rPr>
          <w:noProof/>
          <w:lang w:eastAsia="en-GB"/>
        </w:rPr>
        <w:drawing>
          <wp:anchor distT="0" distB="0" distL="114300" distR="114300" simplePos="0" relativeHeight="251672576" behindDoc="0" locked="0" layoutInCell="1" allowOverlap="1">
            <wp:simplePos x="0" y="0"/>
            <wp:positionH relativeFrom="column">
              <wp:posOffset>2786380</wp:posOffset>
            </wp:positionH>
            <wp:positionV relativeFrom="paragraph">
              <wp:posOffset>3810</wp:posOffset>
            </wp:positionV>
            <wp:extent cx="2867660" cy="267652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766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in Litouwen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ligt een aan</w:t>
      </w:r>
      <w:r>
        <w:rPr>
          <w:rFonts w:ascii="Times New Roman" w:hAnsi="Times New Roman"/>
          <w:noProof/>
          <w:lang w:val="nl-NL"/>
        </w:rPr>
        <w:t>tal indicatoren, namelijk de negatieve netto internationale investeringspositie (NIIP) en de arbeidskosten per eenheid product, boven de indicatieve drempels.</w:t>
      </w:r>
      <w:r>
        <w:rPr>
          <w:rFonts w:ascii="Times New Roman" w:hAnsi="Times New Roman"/>
          <w:i/>
          <w:noProof/>
          <w:lang w:val="nl-NL"/>
        </w:rPr>
        <w:t xml:space="preserve"> </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De lopende rekening is min of meer in evenwicht en de negatieve NIIP, die grotendeels uit direct</w:t>
      </w:r>
      <w:r>
        <w:rPr>
          <w:rFonts w:ascii="Times New Roman" w:hAnsi="Times New Roman"/>
          <w:noProof/>
          <w:lang w:val="nl-NL"/>
        </w:rPr>
        <w:t>e buitenlandse investeringen bestaat, is verbeterd vanwege de sterke groei van het nominale bbp, maar blijft lichtjes boven de drempelwaarde. In vergelijking is de groei van de arbeidskosten per eenheid product al jaren hoog en de indicator ligt sinds 2015</w:t>
      </w:r>
      <w:r>
        <w:rPr>
          <w:rFonts w:ascii="Times New Roman" w:hAnsi="Times New Roman"/>
          <w:noProof/>
          <w:lang w:val="nl-NL"/>
        </w:rPr>
        <w:t xml:space="preserve"> boven de drempelwaarde van het scorebord, aangedreven door de hoge loongroei, die een weerspiegeling is van de krapte op de arbeidsmarkt, en naast andere factoren, door de sterke stijging van het minimumloon sinds 2016. De weerslag van de stijgende arbeid</w:t>
      </w:r>
      <w:r>
        <w:rPr>
          <w:rFonts w:ascii="Times New Roman" w:hAnsi="Times New Roman"/>
          <w:noProof/>
          <w:lang w:val="nl-NL"/>
        </w:rPr>
        <w:t>skosten op het externe concurrentievermogen en de uitvoerprestaties is tot nu toe beperkt gebleven omdat deze opgevangen werden door lage winstmarges, hetgeen op zich mogelijk niet houdbaar is op lange termijn. Voor de toekomst wordt verwacht dat de loongr</w:t>
      </w:r>
      <w:r>
        <w:rPr>
          <w:rFonts w:ascii="Times New Roman" w:hAnsi="Times New Roman"/>
          <w:noProof/>
          <w:lang w:val="nl-NL"/>
        </w:rPr>
        <w:t>oei sterk zal blijven vanwege de dalende werkloosheid en de steeds krapper wordende arbeidsmarkt. Samen bekeken kunnen deze ontwikkelingen wegen op het concurrentievermogen van het land en op de groeivooruitzichten op middellange termijn. De stijging van d</w:t>
      </w:r>
      <w:r>
        <w:rPr>
          <w:rFonts w:ascii="Times New Roman" w:hAnsi="Times New Roman"/>
          <w:noProof/>
          <w:lang w:val="nl-NL"/>
        </w:rPr>
        <w:t>e huizenprijzen is de laatste jaren dynamisch geweest. Hoewel deze geleidelijk stijgen, vallen ze nog steeds onder de drempel. De kredietgroei is opnieuw op gang gekomen. De niveaus van de publieke en particuliere schuld blijven relatief laag en stabiel.</w:t>
      </w:r>
    </w:p>
    <w:p w:rsidR="00222D78" w:rsidRDefault="00E65635">
      <w:pPr>
        <w:autoSpaceDE w:val="0"/>
        <w:autoSpaceDN w:val="0"/>
        <w:adjustRightInd w:val="0"/>
        <w:spacing w:after="0" w:line="240" w:lineRule="auto"/>
        <w:jc w:val="both"/>
        <w:rPr>
          <w:rFonts w:ascii="Times New Roman" w:eastAsia="Calibri" w:hAnsi="Times New Roman" w:cs="Times New Roman"/>
          <w:i/>
          <w:noProof/>
          <w:lang w:val="nl-NL"/>
        </w:rPr>
      </w:pPr>
      <w:r>
        <w:rPr>
          <w:noProof/>
          <w:lang w:eastAsia="en-GB"/>
        </w:rPr>
        <w:drawing>
          <wp:anchor distT="0" distB="0" distL="114300" distR="114300" simplePos="0" relativeHeight="251673600" behindDoc="0" locked="0" layoutInCell="1" allowOverlap="1">
            <wp:simplePos x="0" y="0"/>
            <wp:positionH relativeFrom="column">
              <wp:posOffset>3441700</wp:posOffset>
            </wp:positionH>
            <wp:positionV relativeFrom="paragraph">
              <wp:posOffset>758825</wp:posOffset>
            </wp:positionV>
            <wp:extent cx="2615565" cy="276225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556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Over het geheel genomen blijkt uit de economische analyse dat er problemen zijn met betrekking tot de dynamiek van de arbeidskosten per eenheid product en het externe concurrentievermogen, hoewel de risico's in dit stadium beperkt lijken. Bijgevolg acht de</w:t>
      </w:r>
      <w:r>
        <w:rPr>
          <w:rFonts w:ascii="Times New Roman" w:hAnsi="Times New Roman"/>
          <w:i/>
          <w:noProof/>
          <w:lang w:val="nl-NL"/>
        </w:rPr>
        <w:t xml:space="preserve"> Commissie het in dit stadium niet noodzakelijk een verdere diepgaande analyse te verrichten in het kader van de MIP.</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noProof/>
          <w:lang w:val="nl-NL"/>
        </w:rPr>
      </w:pPr>
      <w:r>
        <w:rPr>
          <w:b/>
          <w:noProof/>
          <w:lang w:val="nl-NL"/>
        </w:rPr>
        <w:t>Luxemburg:</w:t>
      </w:r>
      <w:r>
        <w:rPr>
          <w:rFonts w:ascii="Times New Roman" w:hAnsi="Times New Roman"/>
          <w:noProof/>
          <w:lang w:val="nl-NL"/>
        </w:rPr>
        <w:t xml:space="preserve"> Tijdens de vorige MIP-ronde zijn in Luxemburg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w:t>
      </w:r>
      <w:r>
        <w:rPr>
          <w:rFonts w:ascii="Times New Roman" w:hAnsi="Times New Roman"/>
          <w:noProof/>
          <w:lang w:val="nl-NL"/>
        </w:rPr>
        <w:t xml:space="preserve">scorebord ligt een aantal indicatoren boven de indicatieve drempel, namelijk de schuldenlast van de particuliere sector alsmede de verandering in de activiteitsgraad en de langdurige werkloosheid. </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De externe positie vertoont nog steeds een stabiel oversch</w:t>
      </w:r>
      <w:r>
        <w:rPr>
          <w:rFonts w:ascii="Times New Roman" w:hAnsi="Times New Roman"/>
          <w:noProof/>
          <w:lang w:val="nl-NL"/>
        </w:rPr>
        <w:t>ot op de lopende rekening en een positieve en constante NIIP. De positie van het land als internationaal financieel centrum heeft echter een grotere impact op de cijfers dan de activiteiten van de binnenlandse economie. De gecumuleerde winst aan exportmark</w:t>
      </w:r>
      <w:r>
        <w:rPr>
          <w:rFonts w:ascii="Times New Roman" w:hAnsi="Times New Roman"/>
          <w:noProof/>
          <w:lang w:val="nl-NL"/>
        </w:rPr>
        <w:t>taandelen is stabiel geworden. Recentelijk zijn echter enige marktverliezen opgetekend, deels in de hand gewerkt door het verslechterende kostenconcurrentievermogen, dat op zijn beurt aangetast is door de sterkere groei van de arbeidskosten per eenheid pro</w:t>
      </w:r>
      <w:r>
        <w:rPr>
          <w:rFonts w:ascii="Times New Roman" w:hAnsi="Times New Roman"/>
          <w:noProof/>
          <w:lang w:val="nl-NL"/>
        </w:rPr>
        <w:t>duct en de stijging van de invoerprijzen. De laatste tien jaar zijn de reële huizenprijzen in een vrij hoog tempo aan het stijgen, hetgeen in het algemeen een nauwlettend toezicht op de situatie blijft rechtvaardigen. De stijging van de huizenprijzen vindt</w:t>
      </w:r>
      <w:r>
        <w:rPr>
          <w:rFonts w:ascii="Times New Roman" w:hAnsi="Times New Roman"/>
          <w:noProof/>
          <w:lang w:val="nl-NL"/>
        </w:rPr>
        <w:t xml:space="preserve"> plaats tegen de achtergrond van een dynamische arbeidsmarkt gecombineerd met omvangrijke nettomigratie en gunstige financieringsvoorwaarden. Het aanbod is anderzijds vrij beperkt en ontoereikend om de sterke vraag op te vangen. Vanwege de constant stijgen</w:t>
      </w:r>
      <w:r>
        <w:rPr>
          <w:rFonts w:ascii="Times New Roman" w:hAnsi="Times New Roman"/>
          <w:noProof/>
          <w:lang w:val="nl-NL"/>
        </w:rPr>
        <w:t xml:space="preserve">de huizenprijzen worden huizen steeds minder betaalbaar. De schuldenlast van de ondernemingen is zeer hoog maar houdt voornamelijk verband met grensoverschrijdende intragroepsleningen. De schuldenlast van de huishoudens, meestal in de vorm van hypotheken, </w:t>
      </w:r>
      <w:r>
        <w:rPr>
          <w:rFonts w:ascii="Times New Roman" w:hAnsi="Times New Roman"/>
          <w:noProof/>
          <w:lang w:val="nl-NL"/>
        </w:rPr>
        <w:t>is gestaag blijven stijgen en weerspiegelt het dynamisme van de vastgoedmarkt en de gunstige kredietvoorwaarden. Hoewel lagere rentevoeten en langere hypotheken geleid hebben tot een verlichting van de financiële druk voor de huishoudens en de meeste nieuw</w:t>
      </w:r>
      <w:r>
        <w:rPr>
          <w:rFonts w:ascii="Times New Roman" w:hAnsi="Times New Roman"/>
          <w:noProof/>
          <w:lang w:val="nl-NL"/>
        </w:rPr>
        <w:t xml:space="preserve">e hypotheken tegen vaste rentevoeten worden gesloten, blijft een groot deel van de huishoudens met schulden blootgesteld aan rentestijgingen. De risico's voor de financiële stabiliteit van het land zijn echter beperkt door de sterkte van het bankwezen. De </w:t>
      </w:r>
      <w:r>
        <w:rPr>
          <w:rFonts w:ascii="Times New Roman" w:hAnsi="Times New Roman"/>
          <w:noProof/>
          <w:lang w:val="nl-NL"/>
        </w:rPr>
        <w:t>overheidsschuld blijft zeer laag. Ondanks de recente vertraging van de economie wordt de arbeidsmarkt steeds krapper en daalt de werkloosheid verder.</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komt uit de economische analyse vooral een aantal beperkte risico's naar voren met</w:t>
      </w:r>
      <w:r>
        <w:rPr>
          <w:rFonts w:ascii="Times New Roman" w:hAnsi="Times New Roman"/>
          <w:i/>
          <w:noProof/>
          <w:lang w:val="nl-NL"/>
        </w:rPr>
        <w:t xml:space="preserve"> betrekking tot de voortdurend stijgende huizenprijzen en de schulden van huishoudens. Bijgevolg zal de Commissie in dit stadium niet overgaan tot een verdere diepgaande analyse in de context van de MIP.</w:t>
      </w:r>
    </w:p>
    <w:p w:rsidR="00222D78" w:rsidRDefault="00222D78">
      <w:pPr>
        <w:rPr>
          <w:rFonts w:ascii="Times New Roman" w:eastAsia="Calibri" w:hAnsi="Times New Roman" w:cs="Times New Roman"/>
          <w:b/>
          <w:bCs/>
          <w:noProof/>
          <w:lang w:val="nl-NL"/>
        </w:rPr>
      </w:pPr>
    </w:p>
    <w:p w:rsidR="00222D78" w:rsidRDefault="00E65635">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86912" behindDoc="0" locked="0" layoutInCell="1" allowOverlap="1">
            <wp:simplePos x="0" y="0"/>
            <wp:positionH relativeFrom="column">
              <wp:posOffset>3144520</wp:posOffset>
            </wp:positionH>
            <wp:positionV relativeFrom="paragraph">
              <wp:posOffset>746760</wp:posOffset>
            </wp:positionV>
            <wp:extent cx="2907030" cy="307086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703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nl-NL"/>
        </w:rPr>
        <w:t xml:space="preserve">Hongarije: </w:t>
      </w:r>
      <w:r>
        <w:rPr>
          <w:rFonts w:ascii="Times New Roman" w:hAnsi="Times New Roman"/>
          <w:noProof/>
          <w:lang w:val="nl-NL"/>
        </w:rPr>
        <w:t>Tijdens de vorige MIP-ronde werden in H</w:t>
      </w:r>
      <w:r>
        <w:rPr>
          <w:rFonts w:ascii="Times New Roman" w:hAnsi="Times New Roman"/>
          <w:noProof/>
          <w:lang w:val="nl-NL"/>
        </w:rPr>
        <w:t xml:space="preserve">ongarije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liggen enkele indicatoren boven de indicatieve drempel, namelijk de netto internationale investeringspositie (NIIP) en de overheidsschuld. </w:t>
      </w:r>
    </w:p>
    <w:p w:rsidR="00222D78" w:rsidRDefault="00E65635">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nl-NL"/>
        </w:rPr>
      </w:pPr>
      <w:r>
        <w:rPr>
          <w:noProof/>
          <w:lang w:val="nl-NL"/>
        </w:rPr>
        <w:t xml:space="preserve">Het overschot op </w:t>
      </w:r>
      <w:r>
        <w:rPr>
          <w:noProof/>
          <w:lang w:val="nl-NL"/>
        </w:rPr>
        <w:t>de lopende rekening van de afgelopen jaren heeft geleid tot een snelle en continue verbetering in de negatieve NIIP, die ook in ruime mate de buitenlandse directe investeringen weerspiegelt.</w:t>
      </w:r>
      <w:r>
        <w:rPr>
          <w:rFonts w:ascii="Times New Roman" w:hAnsi="Times New Roman"/>
          <w:noProof/>
          <w:lang w:val="nl-NL"/>
        </w:rPr>
        <w:t xml:space="preserve"> De exportmarktaandelen zijn in 2017 gestegen, hetgeen onder meer </w:t>
      </w:r>
      <w:r>
        <w:rPr>
          <w:rFonts w:ascii="Times New Roman" w:hAnsi="Times New Roman"/>
          <w:noProof/>
          <w:lang w:val="nl-NL"/>
        </w:rPr>
        <w:t>het effect is van de groeiende auto-industrie. De nominale arbeidskosten per eenheid product zijn aanzienlijk gestegen in een steeds krapper wordende arbeidsmarkt. De stijgingen van de administratieve loonkosten, bovenop de stijgingen van de arbeidskost, z</w:t>
      </w:r>
      <w:r>
        <w:rPr>
          <w:rFonts w:ascii="Times New Roman" w:hAnsi="Times New Roman"/>
          <w:noProof/>
          <w:lang w:val="nl-NL"/>
        </w:rPr>
        <w:t>ijn gedeeltelijk gecompenseerd door een verlaging van de socialezekerheidsbijdragen van de werkgevers. De kredietstromen naar de particuliere sector zijn positief geworden terwijl de hoeveelheid uitstaande kredieten van de particuliere sector in 2017 is bl</w:t>
      </w:r>
      <w:r>
        <w:rPr>
          <w:rFonts w:ascii="Times New Roman" w:hAnsi="Times New Roman"/>
          <w:noProof/>
          <w:lang w:val="nl-NL"/>
        </w:rPr>
        <w:t>ijven dalen. De groei van de reële huizenprijzen is matig geworden na de aanzienlijke stijgingen van de voorgaande jaren. Niettemin moeten de hoge waardeschattingen in bepaalde regio’s en de snelle uitbreiding van de hypotheekverlening aandachtig worden ge</w:t>
      </w:r>
      <w:r>
        <w:rPr>
          <w:rFonts w:ascii="Times New Roman" w:hAnsi="Times New Roman"/>
          <w:noProof/>
          <w:lang w:val="nl-NL"/>
        </w:rPr>
        <w:t>volgd. Het aan de gang zijnde herstel in de vastgoedmarkt kan bijdragen tot een verdere vermindering van het aantal niet-renderende leningen, dat nog steeds hoog is. De winstgevendheid en de schokbestendigheid van de banksector zijn verbeterd. Ondanks de g</w:t>
      </w:r>
      <w:r>
        <w:rPr>
          <w:rFonts w:ascii="Times New Roman" w:hAnsi="Times New Roman"/>
          <w:noProof/>
          <w:lang w:val="nl-NL"/>
        </w:rPr>
        <w:t>unstige economische conjunctuur is de overheidsschuld slechts geleidelijk afgenomen als gevolg van een procyclisch begrotingsbeleid. De werkloosheid is gedaald tot een historisch laag niveau en de krapper wordende arbeidsmarkt heeft bijgedragen tot een sne</w:t>
      </w:r>
      <w:r>
        <w:rPr>
          <w:rFonts w:ascii="Times New Roman" w:hAnsi="Times New Roman"/>
          <w:noProof/>
          <w:lang w:val="nl-NL"/>
        </w:rPr>
        <w:t xml:space="preserve">lle groei van de lonen, die nog steeds boven de productiviteitswinsten uitstijgt. </w:t>
      </w:r>
    </w:p>
    <w:p w:rsidR="00222D78" w:rsidRDefault="00E65635">
      <w:pPr>
        <w:autoSpaceDE w:val="0"/>
        <w:autoSpaceDN w:val="0"/>
        <w:adjustRightInd w:val="0"/>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huizenmarkt en de krapper wordende arbeidsmarkt, hoewel de risico's beperkt</w:t>
      </w:r>
      <w:r>
        <w:rPr>
          <w:rFonts w:ascii="Times New Roman" w:hAnsi="Times New Roman"/>
          <w:i/>
          <w:noProof/>
          <w:lang w:val="nl-NL"/>
        </w:rPr>
        <w:t xml:space="preserve"> lijken. De Commissie zal in dit stadium niet overgaan tot een verdere diepgaande analyse in de context van de MIP. </w:t>
      </w:r>
    </w:p>
    <w:p w:rsidR="00222D78" w:rsidRDefault="00222D78">
      <w:pPr>
        <w:spacing w:after="160" w:line="259" w:lineRule="auto"/>
        <w:rPr>
          <w:rFonts w:ascii="Times New Roman" w:eastAsia="Calibri" w:hAnsi="Times New Roman" w:cs="Times New Roman"/>
          <w:noProof/>
          <w:lang w:val="nl-NL"/>
        </w:rPr>
      </w:pP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b/>
          <w:noProof/>
          <w:color w:val="000000"/>
          <w:lang w:val="nl-NL"/>
        </w:rPr>
        <w:t>Malta</w:t>
      </w:r>
      <w:r>
        <w:rPr>
          <w:rFonts w:ascii="Times New Roman" w:hAnsi="Times New Roman"/>
          <w:noProof/>
          <w:color w:val="000000"/>
          <w:lang w:val="nl-NL"/>
        </w:rPr>
        <w:t xml:space="preserve">: Tijdens de vorige MIP-ronde werden in Malta </w:t>
      </w:r>
      <w:r>
        <w:rPr>
          <w:rFonts w:ascii="Times New Roman" w:hAnsi="Times New Roman"/>
          <w:i/>
          <w:noProof/>
          <w:color w:val="000000"/>
          <w:lang w:val="nl-NL"/>
        </w:rPr>
        <w:t>geen macro-economische onevenwichtigheden</w:t>
      </w:r>
      <w:r>
        <w:rPr>
          <w:rFonts w:ascii="Times New Roman" w:hAnsi="Times New Roman"/>
          <w:noProof/>
          <w:color w:val="000000"/>
          <w:lang w:val="nl-NL"/>
        </w:rPr>
        <w:t xml:space="preserve"> geconstateerd. Op het geactualiseerde scorebord ligt het saldo van de lopende rekening boven de indicatieve drempel.</w:t>
      </w:r>
      <w:r>
        <w:rPr>
          <w:noProof/>
          <w:lang w:val="nl-NL"/>
        </w:rPr>
        <w:t xml:space="preserve"> </w:t>
      </w:r>
    </w:p>
    <w:p w:rsidR="00222D78" w:rsidRDefault="00E65635">
      <w:pPr>
        <w:autoSpaceDE w:val="0"/>
        <w:autoSpaceDN w:val="0"/>
        <w:adjustRightInd w:val="0"/>
        <w:spacing w:before="120"/>
        <w:jc w:val="both"/>
        <w:rPr>
          <w:rFonts w:ascii="Times New Roman" w:eastAsia="Times New Roman" w:hAnsi="Times New Roman" w:cs="Times New Roman"/>
          <w:noProof/>
          <w:color w:val="000000"/>
          <w:lang w:val="nl-NL"/>
        </w:rPr>
      </w:pPr>
      <w:r>
        <w:rPr>
          <w:noProof/>
          <w:lang w:val="nl-NL"/>
        </w:rPr>
        <w:t xml:space="preserve">Het hoge overschot op de lopende rekening </w:t>
      </w:r>
      <w:r>
        <w:rPr>
          <w:noProof/>
          <w:lang w:eastAsia="en-GB"/>
        </w:rPr>
        <w:drawing>
          <wp:anchor distT="0" distB="0" distL="114300" distR="114300" simplePos="0" relativeHeight="251674624" behindDoc="0" locked="0" layoutInCell="1" allowOverlap="1">
            <wp:simplePos x="0" y="0"/>
            <wp:positionH relativeFrom="column">
              <wp:posOffset>2491105</wp:posOffset>
            </wp:positionH>
            <wp:positionV relativeFrom="paragraph">
              <wp:posOffset>-3810</wp:posOffset>
            </wp:positionV>
            <wp:extent cx="3019425" cy="318135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is in 2017 verder toegenomen en heeft een zeer hoog niveau bereikt, dat samenvalt met een ster</w:t>
      </w:r>
      <w:r>
        <w:rPr>
          <w:noProof/>
          <w:lang w:val="nl-NL"/>
        </w:rPr>
        <w:t>ke verbetering van de reeds positieve netto internationale investeringspositie.</w:t>
      </w:r>
      <w:r>
        <w:rPr>
          <w:rFonts w:ascii="Times New Roman" w:hAnsi="Times New Roman"/>
          <w:noProof/>
          <w:color w:val="000000"/>
          <w:lang w:val="nl-NL"/>
        </w:rPr>
        <w:t xml:space="preserve"> De externe positie vormt echter de weerslag van schommelingen in het internationaal georiënteerde bedrijfsleven meer dan van binnenlandse ontwikkelingen. De ontwikkelingen in h</w:t>
      </w:r>
      <w:r>
        <w:rPr>
          <w:rFonts w:ascii="Times New Roman" w:hAnsi="Times New Roman"/>
          <w:noProof/>
          <w:color w:val="000000"/>
          <w:lang w:val="nl-NL"/>
        </w:rPr>
        <w:t>et kostenconcurrentievermogen en de reële effectieve wisselkoers zijn betrekkelijk gunstig geweest terwijl matige loonontwikkelingen, gecombineerd met een vrij sterke groei van de arbeidsproductiviteit, gezorgd hebben voor een beperkte groei van de arbeids</w:t>
      </w:r>
      <w:r>
        <w:rPr>
          <w:rFonts w:ascii="Times New Roman" w:hAnsi="Times New Roman"/>
          <w:noProof/>
          <w:color w:val="000000"/>
          <w:lang w:val="nl-NL"/>
        </w:rPr>
        <w:t>kosten per eenheid product. De schuldquote van de particuliere sector is in 2017 aanzienlijk gedaald steunende op een sterke groei van het nominale bbp. Terwijl de schuldenlast van de ondernemingen hoog blijft, is de groei van de kredietverlening aan huish</w:t>
      </w:r>
      <w:r>
        <w:rPr>
          <w:rFonts w:ascii="Times New Roman" w:hAnsi="Times New Roman"/>
          <w:noProof/>
          <w:color w:val="000000"/>
          <w:lang w:val="nl-NL"/>
        </w:rPr>
        <w:t>oudens aan het verzwakken. De trend van de overheidsschuldquote is sterk neerwaarts gericht. De reële huizenprijzen zijn in 2017 gestegen, hetgeen verdere monitoring rechtvaardigt. De sterke economische activiteit en de beperkte mogelijkheden om particulie</w:t>
      </w:r>
      <w:r>
        <w:rPr>
          <w:rFonts w:ascii="Times New Roman" w:hAnsi="Times New Roman"/>
          <w:noProof/>
          <w:color w:val="000000"/>
          <w:lang w:val="nl-NL"/>
        </w:rPr>
        <w:t xml:space="preserve">re spaartegoeden te beleggen hebben met name geleid tot hernieuwde interesse in de woningmarkt. De kwaliteit van de activa in de binnenlandse banksector verbetert en de beschikbare kapitaalbuffers blijken te volstaan om onmiddellijke risico's op te vangen </w:t>
      </w:r>
      <w:r>
        <w:rPr>
          <w:rFonts w:ascii="Times New Roman" w:hAnsi="Times New Roman"/>
          <w:noProof/>
          <w:color w:val="000000"/>
          <w:lang w:val="nl-NL"/>
        </w:rPr>
        <w:t>die zich kunnen voordoen op de woningmarkt of zouden voortvloeien uit de perceptie van het institutionele kader. De arbeidsmarkt blijft puike prestaties leveren, met een sterke groei van de werkgelegenheid samen met een lage en verder afnemende werklooshei</w:t>
      </w:r>
      <w:r>
        <w:rPr>
          <w:rFonts w:ascii="Times New Roman" w:hAnsi="Times New Roman"/>
          <w:noProof/>
          <w:color w:val="000000"/>
          <w:lang w:val="nl-NL"/>
        </w:rPr>
        <w:t xml:space="preserve">d. </w:t>
      </w:r>
    </w:p>
    <w:p w:rsidR="00222D78" w:rsidRDefault="00E65635">
      <w:pPr>
        <w:autoSpaceDE w:val="0"/>
        <w:autoSpaceDN w:val="0"/>
        <w:adjustRightInd w:val="0"/>
        <w:spacing w:before="120"/>
        <w:jc w:val="both"/>
        <w:rPr>
          <w:rFonts w:ascii="Times New Roman" w:eastAsia="Times New Roman" w:hAnsi="Times New Roman" w:cs="Times New Roman"/>
          <w:i/>
          <w:iCs/>
          <w:noProof/>
          <w:color w:val="000000"/>
          <w:lang w:val="nl-NL"/>
        </w:rPr>
      </w:pPr>
      <w:r>
        <w:rPr>
          <w:rFonts w:ascii="Times New Roman" w:hAnsi="Times New Roman"/>
          <w:i/>
          <w:noProof/>
          <w:color w:val="000000"/>
          <w:lang w:val="nl-NL"/>
        </w:rPr>
        <w:t>Over het geheel genomen blijkt uit de economische analyse dat er problemen zijn met betrekking tot de externe positie en de woningmarkten tegen een achtergrond van robuuste economische groei met in dit stadium weliswaar beperkte risico's. Bijgevolg zal</w:t>
      </w:r>
      <w:r>
        <w:rPr>
          <w:rFonts w:ascii="Times New Roman" w:hAnsi="Times New Roman"/>
          <w:i/>
          <w:noProof/>
          <w:color w:val="000000"/>
          <w:lang w:val="nl-NL"/>
        </w:rPr>
        <w:t xml:space="preserve"> de Commissie in dit stadium niet overgaan tot een verdere diepgaande analyse in de context van de MIP.</w:t>
      </w:r>
    </w:p>
    <w:p w:rsidR="00222D78" w:rsidRDefault="00222D78">
      <w:pPr>
        <w:spacing w:after="160" w:line="259" w:lineRule="auto"/>
        <w:jc w:val="both"/>
        <w:rPr>
          <w:rFonts w:ascii="Times New Roman" w:eastAsia="Calibri" w:hAnsi="Times New Roman" w:cs="Times New Roman"/>
          <w:b/>
          <w:noProof/>
          <w:lang w:val="nl-NL"/>
        </w:rPr>
      </w:pPr>
    </w:p>
    <w:p w:rsidR="00222D78" w:rsidRDefault="00E65635">
      <w:pPr>
        <w:spacing w:after="160" w:line="259" w:lineRule="auto"/>
        <w:jc w:val="both"/>
        <w:rPr>
          <w:noProof/>
          <w:lang w:val="nl-NL"/>
        </w:rPr>
      </w:pPr>
      <w:r>
        <w:rPr>
          <w:rFonts w:ascii="Times New Roman" w:hAnsi="Times New Roman"/>
          <w:b/>
          <w:noProof/>
          <w:lang w:val="nl-NL"/>
        </w:rPr>
        <w:t>Nederland:</w:t>
      </w:r>
      <w:r>
        <w:rPr>
          <w:rFonts w:ascii="Times New Roman" w:hAnsi="Times New Roman"/>
          <w:noProof/>
          <w:lang w:val="nl-NL"/>
        </w:rPr>
        <w:t xml:space="preserve"> In maart 2018 heeft de Commissie geconcludeerd dat Nederland</w:t>
      </w:r>
      <w:r>
        <w:rPr>
          <w:rFonts w:ascii="Times New Roman" w:hAnsi="Times New Roman"/>
          <w:i/>
          <w:noProof/>
          <w:lang w:val="nl-NL"/>
        </w:rPr>
        <w:t xml:space="preserve"> macro-economische onevenwichtigheden</w:t>
      </w:r>
      <w:r>
        <w:rPr>
          <w:rFonts w:ascii="Times New Roman" w:hAnsi="Times New Roman"/>
          <w:noProof/>
          <w:lang w:val="nl-NL"/>
        </w:rPr>
        <w:t xml:space="preserve"> ondervond, met name in verband met de hoge</w:t>
      </w:r>
      <w:r>
        <w:rPr>
          <w:rFonts w:ascii="Times New Roman" w:hAnsi="Times New Roman"/>
          <w:noProof/>
          <w:lang w:val="nl-NL"/>
        </w:rPr>
        <w:t xml:space="preserve"> hoeveelheid particuliere schulden en het grote overschot op de lopende rekening. Op het geactualiseerde scorebord ligt een aantal indicatoren boven de indicatieve drempel, namelijk het driejaarlijkse gemiddelde saldo van de lopende rekening, de schuld van</w:t>
      </w:r>
      <w:r>
        <w:rPr>
          <w:rFonts w:ascii="Times New Roman" w:hAnsi="Times New Roman"/>
          <w:noProof/>
          <w:lang w:val="nl-NL"/>
        </w:rPr>
        <w:t xml:space="preserve"> de particuliere sector en de groei van de reële huizenprijzen. </w:t>
      </w:r>
    </w:p>
    <w:p w:rsidR="00222D78" w:rsidRDefault="00E65635">
      <w:pPr>
        <w:spacing w:after="160" w:line="259" w:lineRule="auto"/>
        <w:jc w:val="both"/>
        <w:rPr>
          <w:rFonts w:ascii="Times New Roman" w:eastAsia="Calibri" w:hAnsi="Times New Roman" w:cs="Times New Roman"/>
          <w:noProof/>
          <w:lang w:val="nl-NL"/>
        </w:rPr>
      </w:pPr>
      <w:r>
        <w:rPr>
          <w:noProof/>
          <w:lang w:val="nl-NL"/>
        </w:rPr>
        <w:t>Het overschot op de lopende rekening b</w:t>
      </w:r>
      <w:r>
        <w:rPr>
          <w:noProof/>
          <w:lang w:eastAsia="en-GB"/>
        </w:rPr>
        <w:drawing>
          <wp:anchor distT="0" distB="0" distL="114300" distR="114300" simplePos="0" relativeHeight="251675648" behindDoc="0" locked="0" layoutInCell="1" allowOverlap="1">
            <wp:simplePos x="0" y="0"/>
            <wp:positionH relativeFrom="column">
              <wp:posOffset>2653030</wp:posOffset>
            </wp:positionH>
            <wp:positionV relativeFrom="paragraph">
              <wp:posOffset>-2540</wp:posOffset>
            </wp:positionV>
            <wp:extent cx="2905125" cy="290512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lijft bijzonder hoog en is in 2017 verder toegenomen terwijl de positieve netto internationale investeringspositie licht gedaald is.</w:t>
      </w:r>
      <w:r>
        <w:rPr>
          <w:rFonts w:ascii="Times New Roman" w:hAnsi="Times New Roman"/>
          <w:noProof/>
          <w:lang w:val="nl-NL"/>
        </w:rPr>
        <w:t xml:space="preserve"> Terwijl alle sectoren nettobesparingen opleveren, werd de stijging van het overschot op de lopende rekening in 2017 voornamelijk aangedreven door niet-financiële vennootschappen met een spaaroverschot dat verband houdt met een betrekkelijk hoge winstgeven</w:t>
      </w:r>
      <w:r>
        <w:rPr>
          <w:rFonts w:ascii="Times New Roman" w:hAnsi="Times New Roman"/>
          <w:noProof/>
          <w:lang w:val="nl-NL"/>
        </w:rPr>
        <w:t>dheid van de ondernemingen en een in vergelijking lage investeringsquote. De arbeidskosten per eenheid product zijn gematigd met een loongroei die overeenstemt met de ontwikkeling van de productiviteit. De particuliere schuld ligt hoog maar de schuld van d</w:t>
      </w:r>
      <w:r>
        <w:rPr>
          <w:rFonts w:ascii="Times New Roman" w:hAnsi="Times New Roman"/>
          <w:noProof/>
          <w:lang w:val="nl-NL"/>
        </w:rPr>
        <w:t>e ondernemingen is ook te verklaren door de intragroepsschulden van multinationale ondernemingen. De schulden van de huishoudens zijn hoog en worden gevoed door een genereuze fiscale behandeling van vastgoed voor woningbezitters en door gunstige hypotheekt</w:t>
      </w:r>
      <w:r>
        <w:rPr>
          <w:rFonts w:ascii="Times New Roman" w:hAnsi="Times New Roman"/>
          <w:noProof/>
          <w:lang w:val="nl-NL"/>
        </w:rPr>
        <w:t>arieven. Terwijl de schuld van huishoudens als percentage van het bbp een dalende trend vertoont, is de nominale schuld opnieuw aan het stijgen. Op de woningmarkt zet het herstel zich krachtig voort terwijl de huizenprijzen in 2017 sneller stegen, ook reke</w:t>
      </w:r>
      <w:r>
        <w:rPr>
          <w:rFonts w:ascii="Times New Roman" w:hAnsi="Times New Roman"/>
          <w:noProof/>
          <w:lang w:val="nl-NL"/>
        </w:rPr>
        <w:t>ning houdende met het feit dat de huurmarkt niet optimaal functioneert. De arbeidsmarkt wordt steeds krapper en de werkloosheid is laag en valt verder terug.</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 xml:space="preserve">Over het geheel genomen blijkt uit de economische analyse dat er problemen zijn in verband met de </w:t>
      </w:r>
      <w:r>
        <w:rPr>
          <w:rFonts w:ascii="Times New Roman" w:hAnsi="Times New Roman"/>
          <w:i/>
          <w:noProof/>
          <w:lang w:val="nl-NL"/>
        </w:rPr>
        <w:t xml:space="preserve">hoge schuldenlast van huishoudens en het hoge binnenlandse spaaroverschot. Bijgevolg acht de Commissie het nuttig, mede in het licht van de vaststelling van een onevenwichtigheid in maart 2018, verder te onderzoeken of deze aanhoudt dan wel ongedaan wordt </w:t>
      </w:r>
      <w:r>
        <w:rPr>
          <w:rFonts w:ascii="Times New Roman" w:hAnsi="Times New Roman"/>
          <w:i/>
          <w:noProof/>
          <w:lang w:val="nl-NL"/>
        </w:rPr>
        <w:t>gemaakt.</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rPr>
          <w:rFonts w:ascii="Times New Roman" w:eastAsia="Calibri" w:hAnsi="Times New Roman" w:cs="Times New Roman"/>
          <w:b/>
          <w:noProof/>
          <w:lang w:val="nl-NL"/>
        </w:rPr>
      </w:pPr>
      <w:r>
        <w:rPr>
          <w:noProof/>
          <w:lang w:val="nl-NL"/>
        </w:rPr>
        <w:br w:type="page"/>
      </w:r>
    </w:p>
    <w:p w:rsidR="00222D78" w:rsidRDefault="00E65635">
      <w:pPr>
        <w:rPr>
          <w:rFonts w:ascii="Times New Roman" w:eastAsia="Calibri" w:hAnsi="Times New Roman" w:cs="Times New Roman"/>
          <w:b/>
          <w:noProof/>
          <w:lang w:val="nl-NL"/>
        </w:rPr>
      </w:pPr>
      <w:r>
        <w:rPr>
          <w:rFonts w:ascii="Times New Roman" w:hAnsi="Times New Roman"/>
          <w:b/>
          <w:noProof/>
          <w:lang w:val="nl-NL"/>
        </w:rPr>
        <w:t>Oostenrijk:</w:t>
      </w:r>
      <w:r>
        <w:rPr>
          <w:rFonts w:ascii="Times New Roman" w:hAnsi="Times New Roman"/>
          <w:noProof/>
          <w:lang w:val="nl-NL"/>
        </w:rPr>
        <w:t xml:space="preserve"> Tijdens de vorige MIP-ronde werden in Oostenrijk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ligt alleen de overheidsschuldindicator boven de indicatieve drempel. </w:t>
      </w:r>
    </w:p>
    <w:p w:rsidR="00222D78" w:rsidRDefault="00E65635">
      <w:pPr>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76672" behindDoc="0" locked="0" layoutInCell="1" allowOverlap="1">
            <wp:simplePos x="0" y="0"/>
            <wp:positionH relativeFrom="column">
              <wp:posOffset>2929255</wp:posOffset>
            </wp:positionH>
            <wp:positionV relativeFrom="paragraph">
              <wp:posOffset>16510</wp:posOffset>
            </wp:positionV>
            <wp:extent cx="2828925" cy="29908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92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 xml:space="preserve">Het overschot op de </w:t>
      </w:r>
      <w:r>
        <w:rPr>
          <w:noProof/>
          <w:lang w:val="nl-NL"/>
        </w:rPr>
        <w:t>lopende rekening is in 2017 stabiel gebleven op een matig niveau, met een licht positieve netto internationale investeringspositie.</w:t>
      </w:r>
      <w:r>
        <w:rPr>
          <w:rFonts w:ascii="Times New Roman" w:hAnsi="Times New Roman"/>
          <w:noProof/>
          <w:lang w:val="nl-NL"/>
        </w:rPr>
        <w:t xml:space="preserve"> De exportmarktaandelen zijn stabiel gebleven. De groei van de arbeidskosten per eenheid product is laag ondersteund door een</w:t>
      </w:r>
      <w:r>
        <w:rPr>
          <w:rFonts w:ascii="Times New Roman" w:hAnsi="Times New Roman"/>
          <w:noProof/>
          <w:lang w:val="nl-NL"/>
        </w:rPr>
        <w:t xml:space="preserve"> stijging van de arbeidsproductiviteit in combinatie met een beperkte loongroei. De reële huizenprijzen lieten nog steeds een groeiende trend zien maar vertraagden in 2017 in vergelijking met 2016. Hoewel verdere monitoring van deze ontwikkelingen noodzake</w:t>
      </w:r>
      <w:r>
        <w:rPr>
          <w:rFonts w:ascii="Times New Roman" w:hAnsi="Times New Roman"/>
          <w:noProof/>
          <w:lang w:val="nl-NL"/>
        </w:rPr>
        <w:t>lijk is, blijkt de stijging van de prijzen niet aangedreven door kredietverstrekking en is weinig versnelling van de kredietgroei merkbaar. Voorts zijn de schuldquotes van zowel ondernemingen als huishoudens langzaam aan het dalen. Ook de overheidsschuld v</w:t>
      </w:r>
      <w:r>
        <w:rPr>
          <w:rFonts w:ascii="Times New Roman" w:hAnsi="Times New Roman"/>
          <w:noProof/>
          <w:lang w:val="nl-NL"/>
        </w:rPr>
        <w:t xml:space="preserve">olgt zijn neerwaarts pad en is in 2017 afgenomen ten gevolge van de sterke economische groei en de voortgaande afwikkeling van activa van genationaliseerde financiële instellingen. De situatie in de banksector is verder verbeterd hetgeen ook verband houdt </w:t>
      </w:r>
      <w:r>
        <w:rPr>
          <w:rFonts w:ascii="Times New Roman" w:hAnsi="Times New Roman"/>
          <w:noProof/>
          <w:lang w:val="nl-NL"/>
        </w:rPr>
        <w:t xml:space="preserve">met het herstel in de buurlanden. In deze gunstige economische omstandigheden met een sterke groei van de werkgelegenheid is het werkloosheidspercentage merkbaar afgenomen. </w:t>
      </w:r>
    </w:p>
    <w:p w:rsidR="00222D78" w:rsidRDefault="00E65635">
      <w:pPr>
        <w:spacing w:after="160" w:line="259" w:lineRule="auto"/>
        <w:jc w:val="both"/>
        <w:rPr>
          <w:rFonts w:ascii="Times New Roman" w:eastAsia="Calibri" w:hAnsi="Times New Roman" w:cs="Times New Roman"/>
          <w:i/>
          <w:noProof/>
          <w:lang w:val="nl-NL"/>
        </w:rPr>
      </w:pPr>
      <w:r>
        <w:rPr>
          <w:noProof/>
          <w:lang w:eastAsia="en-GB"/>
        </w:rPr>
        <w:drawing>
          <wp:anchor distT="0" distB="0" distL="114300" distR="114300" simplePos="0" relativeHeight="251677696" behindDoc="0" locked="0" layoutInCell="1" allowOverlap="1">
            <wp:simplePos x="0" y="0"/>
            <wp:positionH relativeFrom="column">
              <wp:posOffset>3491230</wp:posOffset>
            </wp:positionH>
            <wp:positionV relativeFrom="paragraph">
              <wp:posOffset>699770</wp:posOffset>
            </wp:positionV>
            <wp:extent cx="2409825" cy="2837180"/>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982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Over het geheel genomen blijkt uit de economische analyse dat er problemen zijn m</w:t>
      </w:r>
      <w:r>
        <w:rPr>
          <w:rFonts w:ascii="Times New Roman" w:hAnsi="Times New Roman"/>
          <w:i/>
          <w:noProof/>
          <w:lang w:val="nl-NL"/>
        </w:rPr>
        <w:t>et betrekking tot de woningsector, maar de risico's lijken beperkt. Bijgevolg acht de Commissie het in dit stadium niet noodzakelijk een verdere diepgaande analyse te verrichten in het kader van de MIP.</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b/>
          <w:noProof/>
          <w:lang w:val="nl-NL"/>
        </w:rPr>
        <w:t>Polen</w:t>
      </w:r>
      <w:r>
        <w:rPr>
          <w:rFonts w:ascii="Times New Roman" w:hAnsi="Times New Roman"/>
          <w:noProof/>
          <w:lang w:val="nl-NL"/>
        </w:rPr>
        <w:t xml:space="preserve">: Tijdens de vorige MIP-ronde werden in Polen </w:t>
      </w:r>
      <w:r>
        <w:rPr>
          <w:rFonts w:ascii="Times New Roman" w:hAnsi="Times New Roman"/>
          <w:i/>
          <w:noProof/>
          <w:lang w:val="nl-NL"/>
        </w:rPr>
        <w:t>g</w:t>
      </w:r>
      <w:r>
        <w:rPr>
          <w:rFonts w:ascii="Times New Roman" w:hAnsi="Times New Roman"/>
          <w:i/>
          <w:noProof/>
          <w:lang w:val="nl-NL"/>
        </w:rPr>
        <w:t>een macro-economische onevenwichtigheden</w:t>
      </w:r>
      <w:r>
        <w:rPr>
          <w:rFonts w:ascii="Times New Roman" w:hAnsi="Times New Roman"/>
          <w:noProof/>
          <w:lang w:val="nl-NL"/>
        </w:rPr>
        <w:t xml:space="preserve"> geconstateerd. Op het geactualiseerde scorebord ligt de netto internationale investeringspositie (NIIP) boven de indicatieve drempel. </w:t>
      </w:r>
    </w:p>
    <w:p w:rsidR="00222D78" w:rsidRDefault="00E65635">
      <w:pPr>
        <w:spacing w:after="160" w:line="259" w:lineRule="auto"/>
        <w:jc w:val="both"/>
        <w:rPr>
          <w:rFonts w:ascii="Times New Roman" w:eastAsia="Calibri" w:hAnsi="Times New Roman" w:cs="Times New Roman"/>
          <w:noProof/>
          <w:lang w:val="nl-NL"/>
        </w:rPr>
      </w:pPr>
      <w:r>
        <w:rPr>
          <w:noProof/>
          <w:lang w:val="nl-NL"/>
        </w:rPr>
        <w:t>Het saldo van de lopende rekening is in 2017 verbeterd tot een min of meer evenw</w:t>
      </w:r>
      <w:r>
        <w:rPr>
          <w:noProof/>
          <w:lang w:val="nl-NL"/>
        </w:rPr>
        <w:t>ichtige situatie terwijl de negatieve NIIP stabiel is gebleven.</w:t>
      </w:r>
      <w:r>
        <w:rPr>
          <w:rFonts w:ascii="Times New Roman" w:hAnsi="Times New Roman"/>
          <w:noProof/>
          <w:lang w:val="nl-NL"/>
        </w:rPr>
        <w:t xml:space="preserve"> De externe zwakke punten blijven beperkt aangezien de buitenlandse directe investeringen een groot deel van de buitenlandse passiva uitmaken. De toename van de exportmarktaandelen was in 2017 </w:t>
      </w:r>
      <w:r>
        <w:rPr>
          <w:rFonts w:ascii="Times New Roman" w:hAnsi="Times New Roman"/>
          <w:noProof/>
          <w:lang w:val="nl-NL"/>
        </w:rPr>
        <w:t xml:space="preserve">opnieuw aanzienlijk. Terwijl de productiviteit aanzienlijk is toegenomen en de lonen sterk zijn gestegen, is de groei van de nominale arbeidskosten per eenheid product beperkt gebleven. De schuldquote van de particuliere sector is in 2017 gedaald, hetgeen </w:t>
      </w:r>
      <w:r>
        <w:rPr>
          <w:rFonts w:ascii="Times New Roman" w:hAnsi="Times New Roman"/>
          <w:noProof/>
          <w:lang w:val="nl-NL"/>
        </w:rPr>
        <w:t>een weerslag is van de sterke bbp-groei en de waardevermeerdering van de zloty ten opzichte van de valuta’s waarin een deel van de uitstaande schuld is uitgedrukt. De overheidsschuld als percentage van het bbp is verder afgenomen, komende van een reeds bet</w:t>
      </w:r>
      <w:r>
        <w:rPr>
          <w:rFonts w:ascii="Times New Roman" w:hAnsi="Times New Roman"/>
          <w:noProof/>
          <w:lang w:val="nl-NL"/>
        </w:rPr>
        <w:t xml:space="preserve">rekkelijk laag niveau, en dit ten gevolge van de snelle nominale economische groei, het lagere nominale tekort en de waardevermeerdering van de zloty. De risico's in de banksector zijn beperkt gebleven. In de arbeidsmarkt zijn aanhoudend sterke prestaties </w:t>
      </w:r>
      <w:r>
        <w:rPr>
          <w:rFonts w:ascii="Times New Roman" w:hAnsi="Times New Roman"/>
          <w:noProof/>
          <w:lang w:val="nl-NL"/>
        </w:rPr>
        <w:t>opgetekend, hetgeen geleid heeft tot een daling van de werkloosheid tot een zeer laag niveau.</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problemen zijn in verband met de netto internationale investeringspositie, maar de risico's lijke</w:t>
      </w:r>
      <w:r>
        <w:rPr>
          <w:rFonts w:ascii="Times New Roman" w:hAnsi="Times New Roman"/>
          <w:i/>
          <w:noProof/>
          <w:lang w:val="nl-NL"/>
        </w:rPr>
        <w:t xml:space="preserve">n beperkt. Derhalve acht de Commissie het in dit stadium niet noodzakelijk een diepgaande analyse te verrichten in het kader van de MIP. </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b/>
          <w:noProof/>
          <w:lang w:val="nl-NL"/>
        </w:rPr>
      </w:pPr>
      <w:r>
        <w:rPr>
          <w:rFonts w:ascii="Times New Roman" w:hAnsi="Times New Roman"/>
          <w:b/>
          <w:noProof/>
          <w:lang w:val="nl-NL"/>
        </w:rPr>
        <w:t xml:space="preserve">Portugal: </w:t>
      </w:r>
      <w:r>
        <w:rPr>
          <w:rFonts w:ascii="Times New Roman" w:hAnsi="Times New Roman"/>
          <w:noProof/>
          <w:lang w:val="nl-NL"/>
        </w:rPr>
        <w:t>In maart 2018 heeft de Commissi</w:t>
      </w:r>
      <w:r>
        <w:rPr>
          <w:noProof/>
          <w:lang w:eastAsia="en-GB"/>
        </w:rPr>
        <w:drawing>
          <wp:anchor distT="0" distB="0" distL="114300" distR="114300" simplePos="0" relativeHeight="251678720" behindDoc="0" locked="0" layoutInCell="1" allowOverlap="1">
            <wp:simplePos x="0" y="0"/>
            <wp:positionH relativeFrom="column">
              <wp:posOffset>2976880</wp:posOffset>
            </wp:positionH>
            <wp:positionV relativeFrom="paragraph">
              <wp:posOffset>635</wp:posOffset>
            </wp:positionV>
            <wp:extent cx="2724150" cy="279717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415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e geconcludeerd dat Portugal </w:t>
      </w:r>
      <w:r>
        <w:rPr>
          <w:rFonts w:ascii="Times New Roman" w:hAnsi="Times New Roman"/>
          <w:i/>
          <w:noProof/>
          <w:lang w:val="nl-NL"/>
        </w:rPr>
        <w:t>macro-economische onevenwichtigheden</w:t>
      </w:r>
      <w:r>
        <w:rPr>
          <w:rFonts w:ascii="Times New Roman" w:hAnsi="Times New Roman"/>
          <w:noProof/>
          <w:lang w:val="nl-NL"/>
        </w:rPr>
        <w:t xml:space="preserve"> ondervond</w:t>
      </w:r>
      <w:r>
        <w:rPr>
          <w:rFonts w:ascii="Times New Roman" w:hAnsi="Times New Roman"/>
          <w:noProof/>
          <w:lang w:val="nl-NL"/>
        </w:rPr>
        <w:t>. Het ging daarbij met name om de hoge stand van de netto externe passiva, de publieke en de particuliere schuld en een hoog aandeel niet-renderende leningen tegen een achtergrond van lage productiviteitsgroei. Op het geactualiseerde scorebord ligt een aan</w:t>
      </w:r>
      <w:r>
        <w:rPr>
          <w:rFonts w:ascii="Times New Roman" w:hAnsi="Times New Roman"/>
          <w:noProof/>
          <w:lang w:val="nl-NL"/>
        </w:rPr>
        <w:t>tal indicatoren boven de indicatieve drempel, namelijk de netto internationale investeringspositie (NIIP), de overheidsschuld, de particuliere schuld, de werkloosheid en de reële huizenprijzen.</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 xml:space="preserve">De positie van de lopende rekening is stabiel en vertoont een </w:t>
      </w:r>
      <w:r>
        <w:rPr>
          <w:rFonts w:ascii="Times New Roman" w:hAnsi="Times New Roman"/>
          <w:noProof/>
          <w:lang w:val="nl-NL"/>
        </w:rPr>
        <w:t>klein overschot, terwijl de NIIP sterk negatief blijft en het tempo van de aanpassing volgens de verwachtingen zeer traag zal blijven. Het prijsconcurrentievermogen is in 2017 licht verslechterd en de reële effectieve wisselkoers is marginaal in waarde ges</w:t>
      </w:r>
      <w:r>
        <w:rPr>
          <w:rFonts w:ascii="Times New Roman" w:hAnsi="Times New Roman"/>
          <w:noProof/>
          <w:lang w:val="nl-NL"/>
        </w:rPr>
        <w:t xml:space="preserve">tegen. De nominale arbeidskosten per eenheid product zijn matig gestegen terwijl de groei van de arbeidsproductiviteit in 2017 negatief was. Deze ontwikkelingen stemmen in grote lijnen overeen met die van de handelspartners en in de exportmarktaandelen is </w:t>
      </w:r>
      <w:r>
        <w:rPr>
          <w:rFonts w:ascii="Times New Roman" w:hAnsi="Times New Roman"/>
          <w:noProof/>
          <w:lang w:val="nl-NL"/>
        </w:rPr>
        <w:t>winst opgetekend. De afbouw van de particuliere schulden gaat voort en de kredietgroei blijft zwak. De overheidsschuld is nog steeds zeer hoog maar zou volgens de verwachtingen gestaag afnemen. De banken hebben hun balans en netto-inkomen aanzienlijk verst</w:t>
      </w:r>
      <w:r>
        <w:rPr>
          <w:rFonts w:ascii="Times New Roman" w:hAnsi="Times New Roman"/>
          <w:noProof/>
          <w:lang w:val="nl-NL"/>
        </w:rPr>
        <w:t xml:space="preserve">erkt maar er blijven zwakke punten bestaan aangezien de stand van niet-renderende leningen nog steeds hoog is ondanks recente dalingen. De huizenprijzen blijven een sterke groei vertonen, weliswaar in een situatie waarin voorheen sprake was van een sterke </w:t>
      </w:r>
      <w:r>
        <w:rPr>
          <w:rFonts w:ascii="Times New Roman" w:hAnsi="Times New Roman"/>
          <w:noProof/>
          <w:lang w:val="nl-NL"/>
        </w:rPr>
        <w:t>onderwaardering en de hoeveelheid hypotheekleningen overwegend stabiel blijft. Onder de gunstige invloed van de positieve economische conjunctuur heeft de arbeidsmarkt de jongste jaren een breedschalige aanpassing ondergaan en is de werkloosheid aanzienlij</w:t>
      </w:r>
      <w:r>
        <w:rPr>
          <w:rFonts w:ascii="Times New Roman" w:hAnsi="Times New Roman"/>
          <w:noProof/>
          <w:lang w:val="nl-NL"/>
        </w:rPr>
        <w:t xml:space="preserve">k teruggelopen.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 xml:space="preserve">Over het geheel genomen blijkt uit de economische analyse dat er problemen zijn in verband met onevenwichtigheden in standvariabelen, met name met betrekking tot de externe passiva, de publieke en de particuliere schuld, de kwetsbaarheden </w:t>
      </w:r>
      <w:r>
        <w:rPr>
          <w:rFonts w:ascii="Times New Roman" w:hAnsi="Times New Roman"/>
          <w:i/>
          <w:noProof/>
          <w:lang w:val="nl-NL"/>
        </w:rPr>
        <w:t>van de banksector en de zwakke productiviteitsgroei. Bijgevolg acht de Commissie het nuttig, mede in het licht van de vaststelling van een onevenwichtigheid in maart 2018, verder te onderzoeken of deze aanhoudt dan wel ongedaan wordt maakt.</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noProof/>
          <w:lang w:val="nl-NL"/>
        </w:rPr>
      </w:pPr>
      <w:r>
        <w:rPr>
          <w:rFonts w:ascii="Times New Roman" w:hAnsi="Times New Roman"/>
          <w:b/>
          <w:noProof/>
          <w:lang w:val="nl-NL"/>
        </w:rPr>
        <w:t>Roemenië:</w:t>
      </w:r>
      <w:r>
        <w:rPr>
          <w:rFonts w:ascii="Times New Roman" w:hAnsi="Times New Roman"/>
          <w:noProof/>
          <w:lang w:val="nl-NL"/>
        </w:rPr>
        <w:t xml:space="preserve"> Tijd</w:t>
      </w:r>
      <w:r>
        <w:rPr>
          <w:rFonts w:ascii="Times New Roman" w:hAnsi="Times New Roman"/>
          <w:noProof/>
          <w:lang w:val="nl-NL"/>
        </w:rPr>
        <w:t xml:space="preserve">ens de vorige MIP-ronde werden in Roemenië </w:t>
      </w:r>
      <w:r>
        <w:rPr>
          <w:rFonts w:ascii="Times New Roman" w:hAnsi="Times New Roman"/>
          <w:i/>
          <w:noProof/>
          <w:lang w:val="nl-NL"/>
        </w:rPr>
        <w:t>geen macro-economische onevenwichtigheden</w:t>
      </w:r>
      <w:r>
        <w:rPr>
          <w:rFonts w:ascii="Times New Roman" w:hAnsi="Times New Roman"/>
          <w:noProof/>
          <w:lang w:val="nl-NL"/>
        </w:rPr>
        <w:t xml:space="preserve"> geconstateerd. In het geactualiseerde scorebord overschrijdt één indicator de indicatieve drempelwaarde, namelijk de internationale netto-investeringspositie.</w:t>
      </w:r>
      <w:r>
        <w:rPr>
          <w:rFonts w:ascii="Times New Roman" w:hAnsi="Times New Roman"/>
          <w:i/>
          <w:noProof/>
          <w:lang w:val="nl-NL"/>
        </w:rPr>
        <w:t xml:space="preserve"> </w:t>
      </w:r>
    </w:p>
    <w:p w:rsidR="00222D78" w:rsidRDefault="00E65635">
      <w:pPr>
        <w:spacing w:after="160" w:line="259" w:lineRule="auto"/>
        <w:jc w:val="both"/>
        <w:rPr>
          <w:rFonts w:ascii="Times New Roman" w:eastAsia="Calibri" w:hAnsi="Times New Roman" w:cs="Times New Roman"/>
          <w:noProof/>
          <w:lang w:val="nl-NL"/>
        </w:rPr>
      </w:pPr>
      <w:r>
        <w:rPr>
          <w:noProof/>
          <w:lang w:val="nl-NL"/>
        </w:rPr>
        <w:t xml:space="preserve">Het tekort </w:t>
      </w:r>
      <w:r>
        <w:rPr>
          <w:noProof/>
          <w:lang w:val="nl-NL"/>
        </w:rPr>
        <w:t xml:space="preserve">op de lopende rekening is in 2017 verder </w:t>
      </w:r>
      <w:r>
        <w:rPr>
          <w:noProof/>
          <w:lang w:eastAsia="en-GB"/>
        </w:rPr>
        <w:drawing>
          <wp:anchor distT="0" distB="0" distL="114300" distR="114300" simplePos="0" relativeHeight="251679744" behindDoc="0" locked="0" layoutInCell="1" allowOverlap="1">
            <wp:simplePos x="0" y="0"/>
            <wp:positionH relativeFrom="column">
              <wp:posOffset>2986405</wp:posOffset>
            </wp:positionH>
            <wp:positionV relativeFrom="paragraph">
              <wp:posOffset>1270</wp:posOffset>
            </wp:positionV>
            <wp:extent cx="2771775" cy="309562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177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verslechterd als gevolg van de snel oplopende invoer, vooral van consumptiegoederen.</w:t>
      </w:r>
      <w:r>
        <w:rPr>
          <w:rFonts w:ascii="Times New Roman" w:hAnsi="Times New Roman"/>
          <w:noProof/>
          <w:lang w:val="nl-NL"/>
        </w:rPr>
        <w:t xml:space="preserve"> Ondanks het toenemende tekort op de lopende rekening is de NIIP, die grotendeels bestaat uit buitenlandse directe investeringen, </w:t>
      </w:r>
      <w:r>
        <w:rPr>
          <w:rFonts w:ascii="Times New Roman" w:hAnsi="Times New Roman"/>
          <w:noProof/>
          <w:lang w:val="nl-NL"/>
        </w:rPr>
        <w:t>verder verbeterd vanwege de sterke groei van het nominale bbp. De uitvoer heeft in 2017 goed gepresteerd en Roemenië heeft verdere exportmarktaandelen verworven. De arbeidskosten per eenheid product zijn in 2017 echter zeer sterk gestegen ten gevolge van d</w:t>
      </w:r>
      <w:r>
        <w:rPr>
          <w:rFonts w:ascii="Times New Roman" w:hAnsi="Times New Roman"/>
          <w:noProof/>
          <w:lang w:val="nl-NL"/>
        </w:rPr>
        <w:t xml:space="preserve">e hogere loongroei, vooral in de overheidssector. Terwijl Roemenië tot dusver puike uitvoerprestaties heeft geleverd, blijkt uit gegevens van het verleden dat de groei van de overheidslonen mogelijk kan overslaan naar de particuliere sector, hetgeen in de </w:t>
      </w:r>
      <w:r>
        <w:rPr>
          <w:rFonts w:ascii="Times New Roman" w:hAnsi="Times New Roman"/>
          <w:noProof/>
          <w:lang w:val="nl-NL"/>
        </w:rPr>
        <w:t>toekomst verliezen aan kostenconcurrentievermogen zou kunnen teweegbrengen. De groei van de reële huizenprijzen is in 2017 iets teruggelopen en blijft matig. De banksector blijft goed gekapitaliseerd en liquide. De groei van de kredietverlening aan de part</w:t>
      </w:r>
      <w:r>
        <w:rPr>
          <w:rFonts w:ascii="Times New Roman" w:hAnsi="Times New Roman"/>
          <w:noProof/>
          <w:lang w:val="nl-NL"/>
        </w:rPr>
        <w:t xml:space="preserve">iculiere sector is enigszins hersteld, maar blijft bescheiden. De werkloosheidsgraad is in 2017 verder gedaald en weerspiegelt een krapper wordende arbeidsmarkt, terwijl de activiteitsgraad enigszins is verbeterd. Gelet op de sterke groei van het nominale </w:t>
      </w:r>
      <w:r>
        <w:rPr>
          <w:rFonts w:ascii="Times New Roman" w:hAnsi="Times New Roman"/>
          <w:noProof/>
          <w:lang w:val="nl-NL"/>
        </w:rPr>
        <w:t>bbp zijn zowel de particuliere als de overheidsschuld procentueel gedaald ten opzichte van het bbp. In beide gevallen blijft de schuld relatief laag. Het begrotingsbeleid zou op middellange termijn echter expansief blijven ondanks de gunstige economische o</w:t>
      </w:r>
      <w:r>
        <w:rPr>
          <w:rFonts w:ascii="Times New Roman" w:hAnsi="Times New Roman"/>
          <w:noProof/>
          <w:lang w:val="nl-NL"/>
        </w:rPr>
        <w:t>mstandigheden, hetgeen een negatief effect zou kunnen hebben op de ontwikkelingen in de overheidsschuld en de lopende rekening. Zowel het verslechterende handelstekort als de snel oplopende arbeidskosten per eenheid product hebben te maken met de volgehoud</w:t>
      </w:r>
      <w:r>
        <w:rPr>
          <w:rFonts w:ascii="Times New Roman" w:hAnsi="Times New Roman"/>
          <w:noProof/>
          <w:lang w:val="nl-NL"/>
        </w:rPr>
        <w:t>en procyclische begrotingskoers van de regering, die een reeds sterk groeiende economie heeft gestimuleerd door middel van herhaalde belastingverlagingen en loonsverhogingen in de overheidssector. Frequente en onvoorspelbare veranderingen in de wetgeving d</w:t>
      </w:r>
      <w:r>
        <w:rPr>
          <w:rFonts w:ascii="Times New Roman" w:hAnsi="Times New Roman"/>
          <w:noProof/>
          <w:lang w:val="nl-NL"/>
        </w:rPr>
        <w:t xml:space="preserve">ragen bovendien bij tot onzekerheid in het ondernemingsklimaat, met negatieve repercussies voor zakelijke beslissingen en investeringen, en dit kan invloed hebben op de aantrekkelijkheid van het land voor buitenlandse investeerders.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Uit de economische ana</w:t>
      </w:r>
      <w:r>
        <w:rPr>
          <w:rFonts w:ascii="Times New Roman" w:hAnsi="Times New Roman"/>
          <w:i/>
          <w:noProof/>
          <w:lang w:val="nl-NL"/>
        </w:rPr>
        <w:t>lyse blijkt dat de kwetsbaarheden zijn toegenomen, met name wat de externe positie en het concurrentievermogen betreft. Derhalve acht de Commissie het nuttig tot een verdere diepgaande analyse van de gelopen risico's over te gaan om te beoordelen of er spr</w:t>
      </w:r>
      <w:r>
        <w:rPr>
          <w:rFonts w:ascii="Times New Roman" w:hAnsi="Times New Roman"/>
          <w:i/>
          <w:noProof/>
          <w:lang w:val="nl-NL"/>
        </w:rPr>
        <w:t>ake is van onevenwichtigheden.</w:t>
      </w:r>
    </w:p>
    <w:p w:rsidR="00222D78" w:rsidRDefault="00222D78">
      <w:pPr>
        <w:autoSpaceDE w:val="0"/>
        <w:autoSpaceDN w:val="0"/>
        <w:adjustRightInd w:val="0"/>
        <w:spacing w:after="0"/>
        <w:jc w:val="both"/>
        <w:rPr>
          <w:rFonts w:ascii="Times New Roman" w:eastAsia="Calibri" w:hAnsi="Times New Roman" w:cs="Times New Roman"/>
          <w:i/>
          <w:noProof/>
          <w:lang w:val="nl-NL"/>
        </w:rPr>
      </w:pPr>
    </w:p>
    <w:p w:rsidR="00222D78" w:rsidRDefault="00E65635">
      <w:pPr>
        <w:autoSpaceDE w:val="0"/>
        <w:autoSpaceDN w:val="0"/>
        <w:adjustRightInd w:val="0"/>
        <w:spacing w:after="0"/>
        <w:jc w:val="both"/>
        <w:rPr>
          <w:rFonts w:ascii="Times New Roman" w:eastAsia="Times New Roman" w:hAnsi="Times New Roman" w:cs="Times New Roman"/>
          <w:noProof/>
          <w:color w:val="000000"/>
          <w:lang w:val="nl-NL"/>
        </w:rPr>
      </w:pPr>
      <w:r>
        <w:rPr>
          <w:noProof/>
          <w:lang w:eastAsia="en-GB"/>
        </w:rPr>
        <w:drawing>
          <wp:anchor distT="0" distB="0" distL="114300" distR="114300" simplePos="0" relativeHeight="251680768" behindDoc="0" locked="0" layoutInCell="1" allowOverlap="1">
            <wp:simplePos x="0" y="0"/>
            <wp:positionH relativeFrom="column">
              <wp:posOffset>3014980</wp:posOffset>
            </wp:positionH>
            <wp:positionV relativeFrom="paragraph">
              <wp:posOffset>-45085</wp:posOffset>
            </wp:positionV>
            <wp:extent cx="2743200" cy="27686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nl-NL"/>
        </w:rPr>
        <w:t xml:space="preserve">Slovenië: </w:t>
      </w:r>
      <w:r>
        <w:rPr>
          <w:rFonts w:ascii="Times New Roman" w:hAnsi="Times New Roman"/>
          <w:noProof/>
          <w:color w:val="000000"/>
          <w:lang w:val="nl-NL"/>
        </w:rPr>
        <w:t xml:space="preserve">In maart 2018 heeft de Commissie geconcludeerd dat Slovenië </w:t>
      </w:r>
      <w:r>
        <w:rPr>
          <w:rFonts w:ascii="Times New Roman" w:hAnsi="Times New Roman"/>
          <w:i/>
          <w:noProof/>
          <w:color w:val="000000"/>
          <w:lang w:val="nl-NL"/>
        </w:rPr>
        <w:t>niet langer macro-economische onevenwichtigheden ondervond</w:t>
      </w:r>
      <w:r>
        <w:rPr>
          <w:rFonts w:ascii="Times New Roman" w:hAnsi="Times New Roman"/>
          <w:noProof/>
          <w:color w:val="000000"/>
          <w:lang w:val="nl-NL"/>
        </w:rPr>
        <w:t xml:space="preserve">. Op het geactualiseerde scorebord liggen de overheidsschuld en de groei van de reële huizenprijzen boven de indicatieve drempel. </w:t>
      </w:r>
    </w:p>
    <w:p w:rsidR="00222D78" w:rsidRDefault="00E65635">
      <w:pPr>
        <w:autoSpaceDE w:val="0"/>
        <w:autoSpaceDN w:val="0"/>
        <w:adjustRightInd w:val="0"/>
        <w:spacing w:after="0" w:line="259" w:lineRule="auto"/>
        <w:jc w:val="both"/>
        <w:rPr>
          <w:rFonts w:ascii="Times New Roman" w:eastAsia="Calibri" w:hAnsi="Times New Roman" w:cs="Times New Roman"/>
          <w:noProof/>
          <w:lang w:val="nl-NL"/>
        </w:rPr>
      </w:pPr>
      <w:r>
        <w:rPr>
          <w:rFonts w:ascii="Times New Roman" w:hAnsi="Times New Roman"/>
          <w:noProof/>
          <w:lang w:val="nl-NL"/>
        </w:rPr>
        <w:t xml:space="preserve">Het grote overschot op de lopende rekening is in 2017 verder toegenomen dankzij de sterke groei van de uitvoer. De negatieve </w:t>
      </w:r>
      <w:r>
        <w:rPr>
          <w:rFonts w:ascii="Times New Roman" w:hAnsi="Times New Roman"/>
          <w:noProof/>
          <w:lang w:val="nl-NL"/>
        </w:rPr>
        <w:t>NIIP is aanzienlijk verbeterd en ligt niet langer boven de drempel. De exportmarktaandelen zijn gestegen terwijl de groei van de arbeidskosten per eenheid product beperkt bleef en de reële effectieve wisselkoers is gedaald. De particuliere schuld is verder</w:t>
      </w:r>
      <w:r>
        <w:rPr>
          <w:rFonts w:ascii="Times New Roman" w:hAnsi="Times New Roman"/>
          <w:noProof/>
          <w:lang w:val="nl-NL"/>
        </w:rPr>
        <w:t xml:space="preserve"> afgenomen, gedreven door de ondernemingen, terwijl de kredietverlening aan de particuliere sector weer positief is geworden. De investeringen zijn sterk aan het verbeteren maar blijven nog onder de historische gemiddelden. De huizenprijzen zijn iets snell</w:t>
      </w:r>
      <w:r>
        <w:rPr>
          <w:rFonts w:ascii="Times New Roman" w:hAnsi="Times New Roman"/>
          <w:noProof/>
          <w:lang w:val="nl-NL"/>
        </w:rPr>
        <w:t>er gestegen dan in de vorige jaren maar de investeringen in woningbouw zijn stabiel en de groei van de hypothecaire kredieten blijft beperkt. De overheidsschuld blijft hoog maar is afgenomen sinds de piek van 2015. De verwachte kosten van de vergrijzing bl</w:t>
      </w:r>
      <w:r>
        <w:rPr>
          <w:rFonts w:ascii="Times New Roman" w:hAnsi="Times New Roman"/>
          <w:noProof/>
          <w:lang w:val="nl-NL"/>
        </w:rPr>
        <w:t xml:space="preserve">ijven risico's inhouden voor de houdbaarheid van de begroting op middellange en lange termijn. De banksector heeft zich gestabiliseerd, de schuldenlast is dalend en het nog steeds vrij hoge aandeel van niet-renderende leningen blijft een neerwaartse trend </w:t>
      </w:r>
      <w:r>
        <w:rPr>
          <w:rFonts w:ascii="Times New Roman" w:hAnsi="Times New Roman"/>
          <w:noProof/>
          <w:lang w:val="nl-NL"/>
        </w:rPr>
        <w:t xml:space="preserve">vertonen met verdere dalingen in het vooruitzicht. De arbeidsmarkt vertoont verdere beterschap en de activiteitsgraad stijgt terwijl de werkloosheid afneemt. De arbeidsproductiviteit is in 2017 ook licht aangetrokken. </w:t>
      </w:r>
    </w:p>
    <w:p w:rsidR="00222D78" w:rsidRDefault="00222D78">
      <w:pPr>
        <w:autoSpaceDE w:val="0"/>
        <w:autoSpaceDN w:val="0"/>
        <w:adjustRightInd w:val="0"/>
        <w:spacing w:after="0" w:line="259" w:lineRule="auto"/>
        <w:jc w:val="both"/>
        <w:rPr>
          <w:rFonts w:ascii="Times New Roman" w:eastAsia="Calibri" w:hAnsi="Times New Roman" w:cs="Times New Roman"/>
          <w:noProof/>
          <w:lang w:val="nl-NL"/>
        </w:rPr>
      </w:pPr>
    </w:p>
    <w:p w:rsidR="00222D78" w:rsidRDefault="00E65635">
      <w:pPr>
        <w:autoSpaceDE w:val="0"/>
        <w:autoSpaceDN w:val="0"/>
        <w:adjustRightInd w:val="0"/>
        <w:spacing w:after="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w:t>
      </w:r>
      <w:r>
        <w:rPr>
          <w:rFonts w:ascii="Times New Roman" w:hAnsi="Times New Roman"/>
          <w:i/>
          <w:noProof/>
          <w:lang w:val="nl-NL"/>
        </w:rPr>
        <w:t>e economische analyse dat er problemen zijn die voornamelijk verband houden met de houdbaarheid van de begroting op lange termijn. Bijgevolg acht de Commissie het in dit stadium niet noodzakelijk een verdere diepgaande analyse te verrichten in het kader va</w:t>
      </w:r>
      <w:r>
        <w:rPr>
          <w:rFonts w:ascii="Times New Roman" w:hAnsi="Times New Roman"/>
          <w:i/>
          <w:noProof/>
          <w:lang w:val="nl-NL"/>
        </w:rPr>
        <w:t>n de MIP.</w:t>
      </w:r>
    </w:p>
    <w:p w:rsidR="00222D78" w:rsidRDefault="00222D78">
      <w:pPr>
        <w:spacing w:after="160" w:line="259" w:lineRule="auto"/>
        <w:jc w:val="both"/>
        <w:rPr>
          <w:rFonts w:ascii="Times New Roman" w:eastAsia="Calibri" w:hAnsi="Times New Roman" w:cs="Times New Roman"/>
          <w:noProof/>
          <w:lang w:val="nl-NL"/>
        </w:rPr>
      </w:pPr>
    </w:p>
    <w:p w:rsidR="00222D78" w:rsidRDefault="00E65635">
      <w:pPr>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81792" behindDoc="0" locked="0" layoutInCell="1" allowOverlap="1">
            <wp:simplePos x="0" y="0"/>
            <wp:positionH relativeFrom="column">
              <wp:posOffset>3643630</wp:posOffset>
            </wp:positionH>
            <wp:positionV relativeFrom="paragraph">
              <wp:posOffset>421005</wp:posOffset>
            </wp:positionV>
            <wp:extent cx="2324100" cy="274193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4100" cy="2741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nl-NL"/>
        </w:rPr>
        <w:t>Slowakije:</w:t>
      </w:r>
      <w:r>
        <w:rPr>
          <w:rFonts w:ascii="Times New Roman" w:hAnsi="Times New Roman"/>
          <w:noProof/>
          <w:lang w:val="nl-NL"/>
        </w:rPr>
        <w:t xml:space="preserve"> Tijdens de vorige MIP-ronde werden in Slowakije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overschrijden de netto internationale investeringspositie (NIIP) en de totale passiva van de financiële sector de indicatieve drempel.</w:t>
      </w:r>
    </w:p>
    <w:p w:rsidR="00222D78" w:rsidRDefault="00E65635">
      <w:pPr>
        <w:spacing w:after="160" w:line="259" w:lineRule="auto"/>
        <w:jc w:val="both"/>
        <w:rPr>
          <w:rFonts w:ascii="Times New Roman" w:eastAsia="Calibri" w:hAnsi="Times New Roman" w:cs="Times New Roman"/>
          <w:noProof/>
          <w:lang w:val="nl-NL"/>
        </w:rPr>
      </w:pPr>
      <w:r>
        <w:rPr>
          <w:noProof/>
          <w:lang w:val="nl-NL"/>
        </w:rPr>
        <w:t>Het tekort op de lopende rekening is in 2017 verder toegenomen maar blij</w:t>
      </w:r>
      <w:r>
        <w:rPr>
          <w:noProof/>
          <w:lang w:val="nl-NL"/>
        </w:rPr>
        <w:t>ft al bij al bescheiden.</w:t>
      </w:r>
      <w:r>
        <w:rPr>
          <w:rFonts w:ascii="Times New Roman" w:hAnsi="Times New Roman"/>
          <w:noProof/>
          <w:lang w:val="nl-NL"/>
        </w:rPr>
        <w:t xml:space="preserve"> De NIIP is duidelijk negatief ook al is recentelijk enige beterschap te merken, terwijl de risico's beperkt zijn aangezien een groot deel van de buitenlandse passiva betrekking hebben op buitenlandse directe investeringen, vooral i</w:t>
      </w:r>
      <w:r>
        <w:rPr>
          <w:rFonts w:ascii="Times New Roman" w:hAnsi="Times New Roman"/>
          <w:noProof/>
          <w:lang w:val="nl-NL"/>
        </w:rPr>
        <w:t xml:space="preserve">n de groeiende auto-industrie en in de financiële sector. De exportmarktaandelen en de reële effectieve wisselkoers zijn in grote lijnen stabiel gebleven. De nominale arbeidskosten per eenheid product zijn gestegen, aangejaagd door een krachtige groei van </w:t>
      </w:r>
      <w:r>
        <w:rPr>
          <w:rFonts w:ascii="Times New Roman" w:hAnsi="Times New Roman"/>
          <w:noProof/>
          <w:lang w:val="nl-NL"/>
        </w:rPr>
        <w:t>de lonen tegen de achtergrond van een krapper wordende arbeidsmarkt. De groei van de huizenprijzen blijft sterk in 2017 maar heeft vaart verminderd ten opzichte van 2016 en is juist onder de drempelwaarde uitgekomen. De groei van de kredietverlening aan de</w:t>
      </w:r>
      <w:r>
        <w:rPr>
          <w:rFonts w:ascii="Times New Roman" w:hAnsi="Times New Roman"/>
          <w:noProof/>
          <w:lang w:val="nl-NL"/>
        </w:rPr>
        <w:t xml:space="preserve"> particuliere sector is enigszins afgenomen, terwijl de particuliere schuldquote in het algemeen is blijven toenemen. De banksector, die grotendeels in buitenlandse handen is, is voldoende gekapitaliseerd. Verdere dalingen van de werkloosheid, zowel voor d</w:t>
      </w:r>
      <w:r>
        <w:rPr>
          <w:rFonts w:ascii="Times New Roman" w:hAnsi="Times New Roman"/>
          <w:noProof/>
          <w:lang w:val="nl-NL"/>
        </w:rPr>
        <w:t xml:space="preserve">e totale als de langdurige werkloosheid, gingen gepaard met stijgingen van de participatiegraad.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 xml:space="preserve">Over het geheel genomen blijkt uit de economische analyse dat er problemen zijn in verband met externe aspecten, de huizenmarkt en de kredietgroei, hoewel de </w:t>
      </w:r>
      <w:r>
        <w:rPr>
          <w:rFonts w:ascii="Times New Roman" w:hAnsi="Times New Roman"/>
          <w:i/>
          <w:noProof/>
          <w:lang w:val="nl-NL"/>
        </w:rPr>
        <w:t xml:space="preserve">risico's tot dusver beperkt lijken. Bijgevolg zal de Commissie in dit stadium niet overgaan tot een verdere diepgaande analyse in de context van de MIP. </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b/>
          <w:noProof/>
          <w:lang w:val="nl-NL"/>
        </w:rPr>
      </w:pPr>
      <w:r>
        <w:rPr>
          <w:rFonts w:ascii="Times New Roman" w:hAnsi="Times New Roman"/>
          <w:b/>
          <w:noProof/>
          <w:lang w:val="nl-NL"/>
        </w:rPr>
        <w:t xml:space="preserve">Finland: </w:t>
      </w:r>
      <w:r>
        <w:rPr>
          <w:rFonts w:ascii="Times New Roman" w:hAnsi="Times New Roman"/>
          <w:noProof/>
          <w:lang w:val="nl-NL"/>
        </w:rPr>
        <w:t xml:space="preserve">Tijdens de vorige MIP-ronde werden in Finland </w:t>
      </w:r>
      <w:r>
        <w:rPr>
          <w:rFonts w:ascii="Times New Roman" w:hAnsi="Times New Roman"/>
          <w:i/>
          <w:noProof/>
          <w:lang w:val="nl-NL"/>
        </w:rPr>
        <w:t>geen macro-economische onevenwichtigheden</w:t>
      </w:r>
      <w:r>
        <w:rPr>
          <w:rFonts w:ascii="Times New Roman" w:hAnsi="Times New Roman"/>
          <w:noProof/>
          <w:lang w:val="nl-NL"/>
        </w:rPr>
        <w:t xml:space="preserve"> geco</w:t>
      </w:r>
      <w:r>
        <w:rPr>
          <w:rFonts w:ascii="Times New Roman" w:hAnsi="Times New Roman"/>
          <w:noProof/>
          <w:lang w:val="nl-NL"/>
        </w:rPr>
        <w:t xml:space="preserve">nstateerd. Op het geactualiseerde scorebord ligt een aantal indicatoren boven de indicatieve drempel, namelijk de schuld van de particuliere sector en de overheidsschuld. </w:t>
      </w:r>
    </w:p>
    <w:p w:rsidR="00222D78" w:rsidRDefault="00E65635">
      <w:pPr>
        <w:spacing w:after="160" w:line="259" w:lineRule="auto"/>
        <w:jc w:val="both"/>
        <w:rPr>
          <w:rFonts w:ascii="Times New Roman" w:eastAsia="Calibri" w:hAnsi="Times New Roman" w:cs="Times New Roman"/>
          <w:noProof/>
          <w:lang w:val="nl-NL"/>
        </w:rPr>
      </w:pPr>
      <w:r>
        <w:rPr>
          <w:noProof/>
          <w:lang w:eastAsia="en-GB"/>
        </w:rPr>
        <w:drawing>
          <wp:anchor distT="0" distB="0" distL="114300" distR="114300" simplePos="0" relativeHeight="251682816" behindDoc="0" locked="0" layoutInCell="1" allowOverlap="1">
            <wp:simplePos x="0" y="0"/>
            <wp:positionH relativeFrom="column">
              <wp:posOffset>3176905</wp:posOffset>
            </wp:positionH>
            <wp:positionV relativeFrom="paragraph">
              <wp:posOffset>17145</wp:posOffset>
            </wp:positionV>
            <wp:extent cx="2686050" cy="29146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60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rPr>
        <w:t>Het saldo op de lopende rekening is in 2017 lichtjes negatief gebleven na verschill</w:t>
      </w:r>
      <w:r>
        <w:rPr>
          <w:noProof/>
          <w:lang w:val="nl-NL"/>
        </w:rPr>
        <w:t>ende jaren van tekorten, terwijl de netto internationale investeringspositie licht positief is.</w:t>
      </w:r>
      <w:r>
        <w:rPr>
          <w:rFonts w:ascii="Times New Roman" w:hAnsi="Times New Roman"/>
          <w:noProof/>
          <w:lang w:val="nl-NL"/>
        </w:rPr>
        <w:t xml:space="preserve"> De exportmarktaandelen hebben zich voor het tweede jaar op rij hersteld terwijl de indicator voor kostenconcurrentievermogen verbeterde nu de arbeidskosten per eenheid product terugvielen en de reële effectieve wisselkoers daalde. In 2018 en 2019 zal de g</w:t>
      </w:r>
      <w:r>
        <w:rPr>
          <w:rFonts w:ascii="Times New Roman" w:hAnsi="Times New Roman"/>
          <w:noProof/>
          <w:lang w:val="nl-NL"/>
        </w:rPr>
        <w:t>roei van de uitvoer waarschijnlijk nog steeds uitstijgen boven de groei van de invoer. Toch zullen de indicatoren voor het kostenconcurrentievermogen naar verwachting stabiliseren aangezien de positieve effecten van het pact voor het concurrentievermogen v</w:t>
      </w:r>
      <w:r>
        <w:rPr>
          <w:rFonts w:ascii="Times New Roman" w:hAnsi="Times New Roman"/>
          <w:noProof/>
          <w:lang w:val="nl-NL"/>
        </w:rPr>
        <w:t>oor een deel wegebben. De schuldquotes van de overheid en de particuliere sector zijn in 2017 verder gedaald, hetgeen wijst op een sterk herstel van de output. Door de gunstige kredietvoorwaarden, de lage rentetarieven en de verbeterde economische vooruitz</w:t>
      </w:r>
      <w:r>
        <w:rPr>
          <w:rFonts w:ascii="Times New Roman" w:hAnsi="Times New Roman"/>
          <w:noProof/>
          <w:lang w:val="nl-NL"/>
        </w:rPr>
        <w:t xml:space="preserve">ichten is de groei van de particuliere kredieten echter versneld, hetgeen een domper op de schuldafbouw kan zetten terwijl de particuliere schuld nog steeds hoog blijft. De schulden van de huishoudens zijn hoog en de spaarquote ligt op een historisch laag </w:t>
      </w:r>
      <w:r>
        <w:rPr>
          <w:rFonts w:ascii="Times New Roman" w:hAnsi="Times New Roman"/>
          <w:noProof/>
          <w:lang w:val="nl-NL"/>
        </w:rPr>
        <w:t>peil. De financiële sector blijft goed gekapitaliseerd, waardoor de risico's voor de financiële stabiliteit beperkt blijven, terwijl de relatief stabiele huizenprijzen beperkte risico's inhouden voor de schulden van de huishoudens. De overheidsschuld daalt</w:t>
      </w:r>
      <w:r>
        <w:rPr>
          <w:rFonts w:ascii="Times New Roman" w:hAnsi="Times New Roman"/>
          <w:noProof/>
          <w:lang w:val="nl-NL"/>
        </w:rPr>
        <w:t xml:space="preserve">, hetgeen het groeibevorderende economisch klimaat weerspiegelt. De werkgelegenheid blijft toenemen en de werkloosheid valt verder terug ten gevolge van de hogere economische activiteit. </w:t>
      </w:r>
    </w:p>
    <w:p w:rsidR="00222D78" w:rsidRDefault="00E65635">
      <w:pPr>
        <w:spacing w:after="160" w:line="259" w:lineRule="auto"/>
        <w:jc w:val="both"/>
        <w:rPr>
          <w:rFonts w:ascii="Times New Roman" w:eastAsia="Calibri" w:hAnsi="Times New Roman" w:cs="Times New Roman"/>
          <w:i/>
          <w:noProof/>
          <w:lang w:val="nl-NL"/>
        </w:rPr>
      </w:pPr>
      <w:r>
        <w:rPr>
          <w:rFonts w:ascii="Times New Roman" w:hAnsi="Times New Roman"/>
          <w:i/>
          <w:noProof/>
          <w:lang w:val="nl-NL"/>
        </w:rPr>
        <w:t>Over het geheel genomen blijkt uit de economische analyse dat er pro</w:t>
      </w:r>
      <w:r>
        <w:rPr>
          <w:rFonts w:ascii="Times New Roman" w:hAnsi="Times New Roman"/>
          <w:i/>
          <w:noProof/>
          <w:lang w:val="nl-NL"/>
        </w:rPr>
        <w:t xml:space="preserve">blemen zijn in verband met de schuld van de particuliere sector, maar de risico's blijven beperkt. Over het geheel genomen acht de Commissie het in dit stadium niet noodzakelijk een verdere diepgaande analyse te verrichten in het kader van de MIP. </w:t>
      </w:r>
    </w:p>
    <w:p w:rsidR="00222D78" w:rsidRDefault="00222D78">
      <w:pPr>
        <w:spacing w:after="160" w:line="259" w:lineRule="auto"/>
        <w:jc w:val="both"/>
        <w:rPr>
          <w:rFonts w:ascii="Times New Roman" w:eastAsia="Calibri" w:hAnsi="Times New Roman" w:cs="Times New Roman"/>
          <w:i/>
          <w:noProof/>
          <w:lang w:val="nl-NL"/>
        </w:rPr>
      </w:pPr>
    </w:p>
    <w:p w:rsidR="00222D78" w:rsidRDefault="00E65635">
      <w:pPr>
        <w:spacing w:before="120" w:after="160" w:line="259" w:lineRule="auto"/>
        <w:jc w:val="both"/>
        <w:rPr>
          <w:rFonts w:ascii="Times New Roman" w:eastAsia="Calibri" w:hAnsi="Times New Roman" w:cs="Times New Roman"/>
          <w:noProof/>
          <w:lang w:val="nl-NL"/>
        </w:rPr>
      </w:pPr>
      <w:r>
        <w:rPr>
          <w:rFonts w:ascii="Times New Roman" w:hAnsi="Times New Roman"/>
          <w:b/>
          <w:noProof/>
          <w:lang w:val="nl-NL"/>
        </w:rPr>
        <w:t>Zweden</w:t>
      </w:r>
      <w:r>
        <w:rPr>
          <w:rFonts w:ascii="Times New Roman" w:hAnsi="Times New Roman"/>
          <w:b/>
          <w:noProof/>
          <w:lang w:val="nl-NL"/>
        </w:rPr>
        <w:t>:</w:t>
      </w:r>
      <w:r>
        <w:rPr>
          <w:rFonts w:ascii="Times New Roman" w:hAnsi="Times New Roman"/>
          <w:noProof/>
          <w:lang w:val="nl-NL"/>
        </w:rPr>
        <w:t xml:space="preserve"> In maart 2018 heeft de Commissi</w:t>
      </w:r>
      <w:r>
        <w:rPr>
          <w:noProof/>
          <w:lang w:eastAsia="en-GB"/>
        </w:rPr>
        <w:drawing>
          <wp:anchor distT="0" distB="0" distL="114300" distR="114300" simplePos="0" relativeHeight="251683840" behindDoc="0" locked="0" layoutInCell="1" allowOverlap="1">
            <wp:simplePos x="0" y="0"/>
            <wp:positionH relativeFrom="column">
              <wp:posOffset>3262630</wp:posOffset>
            </wp:positionH>
            <wp:positionV relativeFrom="paragraph">
              <wp:posOffset>2540</wp:posOffset>
            </wp:positionV>
            <wp:extent cx="2438400" cy="30067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l-NL"/>
        </w:rPr>
        <w:t xml:space="preserve">e geconcludeerd dat Zweden </w:t>
      </w:r>
      <w:r>
        <w:rPr>
          <w:rFonts w:ascii="Times New Roman" w:hAnsi="Times New Roman"/>
          <w:i/>
          <w:noProof/>
          <w:lang w:val="nl-NL"/>
        </w:rPr>
        <w:t>onevenwichtigheden</w:t>
      </w:r>
      <w:r>
        <w:rPr>
          <w:rFonts w:ascii="Times New Roman" w:hAnsi="Times New Roman"/>
          <w:noProof/>
          <w:lang w:val="nl-NL"/>
        </w:rPr>
        <w:t xml:space="preserve"> ondervond, met name in verband met de overwaardering van de huizenprijzen, in combinatie met een aanhoudende stijging van de schuld van huishoudens. Op het geactualiseerde scor</w:t>
      </w:r>
      <w:r>
        <w:rPr>
          <w:rFonts w:ascii="Times New Roman" w:hAnsi="Times New Roman"/>
          <w:noProof/>
          <w:lang w:val="nl-NL"/>
        </w:rPr>
        <w:t xml:space="preserve">ebord ligt de schuld van de particuliere sector boven de indicatieve drempel. </w:t>
      </w:r>
    </w:p>
    <w:p w:rsidR="00222D78" w:rsidRDefault="00E65635">
      <w:pPr>
        <w:spacing w:before="120" w:after="160" w:line="259" w:lineRule="auto"/>
        <w:jc w:val="both"/>
        <w:rPr>
          <w:rFonts w:ascii="Times New Roman" w:eastAsia="Calibri" w:hAnsi="Times New Roman" w:cs="Times New Roman"/>
          <w:noProof/>
          <w:lang w:val="nl-NL"/>
        </w:rPr>
      </w:pPr>
      <w:r>
        <w:rPr>
          <w:rFonts w:ascii="Times New Roman" w:hAnsi="Times New Roman"/>
          <w:noProof/>
          <w:lang w:val="nl-NL"/>
        </w:rPr>
        <w:t xml:space="preserve">Het overschot op de lopende rekening blijft matig en is in 2017 verkleind. De NIIP is lichtjes teruggevallen en is nu nagenoeg in evenwicht. De verliezen aan exportmarktaandeel </w:t>
      </w:r>
      <w:r>
        <w:rPr>
          <w:rFonts w:ascii="Times New Roman" w:hAnsi="Times New Roman"/>
          <w:noProof/>
          <w:lang w:val="nl-NL"/>
        </w:rPr>
        <w:t>zijn afgenomen en de indicator ligt nu iets onder de drempelwaarde. De groei van de arbeidskosten per eenheid product is beperkt gebleven en de reële effectieve wisselkoers is gedaald. De schulden van de huishoudens liggen hoog en zijn voortdurend gestegen</w:t>
      </w:r>
      <w:r>
        <w:rPr>
          <w:rFonts w:ascii="Times New Roman" w:hAnsi="Times New Roman"/>
          <w:noProof/>
          <w:lang w:val="nl-NL"/>
        </w:rPr>
        <w:t xml:space="preserve"> sinds 2008, en opnieuw in 2017.</w:t>
      </w:r>
      <w:r>
        <w:rPr>
          <w:rFonts w:ascii="Times New Roman" w:hAnsi="Times New Roman"/>
          <w:noProof/>
          <w:color w:val="000000"/>
          <w:lang w:val="nl-NL"/>
        </w:rPr>
        <w:t xml:space="preserve"> Deze stijging ging gepaard met een stijging van de huizenprijzen, hetgeen risico's voor de macro-economische stabiliteit meebrengt. In het najaar van 2017 zijn de huizenprijzen gemiddeld enigszins gedaald maar zij blijven o</w:t>
      </w:r>
      <w:r>
        <w:rPr>
          <w:rFonts w:ascii="Times New Roman" w:hAnsi="Times New Roman"/>
          <w:noProof/>
          <w:color w:val="000000"/>
          <w:lang w:val="nl-NL"/>
        </w:rPr>
        <w:t>ver het algemeen zeer hoog. De huizenprijzen en de schulden van de huishoudens worden opgedreven door een gunstige fiscale behandeling van het huizenbezit, lage hypotheekrentevoeten en specifieke kenmerken van de hypotheekmarkt. De risico’s in het bankweze</w:t>
      </w:r>
      <w:r>
        <w:rPr>
          <w:rFonts w:ascii="Times New Roman" w:hAnsi="Times New Roman"/>
          <w:noProof/>
          <w:color w:val="000000"/>
          <w:lang w:val="nl-NL"/>
        </w:rPr>
        <w:t>n blijken beperkt, aangezien de kwaliteit van de activa en de winstgevendheid hoog blijven en de financiën van de huishoudens doorgaans sterk zijn. De arbeidsmarkt wordt krapper en de werkloosheid valt verder terug.</w:t>
      </w:r>
      <w:r>
        <w:rPr>
          <w:noProof/>
          <w:lang w:val="nl-NL"/>
        </w:rPr>
        <w:t xml:space="preserve"> </w:t>
      </w:r>
    </w:p>
    <w:p w:rsidR="00222D78" w:rsidRDefault="00E65635">
      <w:pPr>
        <w:spacing w:before="120" w:after="160" w:line="259" w:lineRule="auto"/>
        <w:jc w:val="both"/>
        <w:rPr>
          <w:rFonts w:ascii="Times New Roman" w:eastAsia="Calibri" w:hAnsi="Times New Roman" w:cs="Times New Roman"/>
          <w:i/>
          <w:noProof/>
          <w:lang w:val="nl-NL"/>
        </w:rPr>
      </w:pPr>
      <w:r>
        <w:rPr>
          <w:noProof/>
          <w:lang w:eastAsia="en-GB"/>
        </w:rPr>
        <w:drawing>
          <wp:anchor distT="0" distB="0" distL="114300" distR="114300" simplePos="0" relativeHeight="251684864" behindDoc="0" locked="0" layoutInCell="1" allowOverlap="1">
            <wp:simplePos x="0" y="0"/>
            <wp:positionH relativeFrom="column">
              <wp:posOffset>3329305</wp:posOffset>
            </wp:positionH>
            <wp:positionV relativeFrom="paragraph">
              <wp:posOffset>837565</wp:posOffset>
            </wp:positionV>
            <wp:extent cx="2371725" cy="3105150"/>
            <wp:effectExtent l="0" t="0" r="952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7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lang w:val="nl-NL"/>
        </w:rPr>
        <w:t xml:space="preserve">Over het geheel genomen blijkt uit de </w:t>
      </w:r>
      <w:r>
        <w:rPr>
          <w:rFonts w:ascii="Times New Roman" w:hAnsi="Times New Roman"/>
          <w:i/>
          <w:noProof/>
          <w:lang w:val="nl-NL"/>
        </w:rPr>
        <w:t>economische analyse dat er problemen zijn in verband met de hoge particuliere schuld en de woningsector. Bijgevolg acht de Commissie het nuttig, mede in het licht van de vaststelling van een onevenwichtigheid in maart 2018, verder na te gaan of de onevenwi</w:t>
      </w:r>
      <w:r>
        <w:rPr>
          <w:rFonts w:ascii="Times New Roman" w:hAnsi="Times New Roman"/>
          <w:i/>
          <w:noProof/>
          <w:lang w:val="nl-NL"/>
        </w:rPr>
        <w:t>chtigheden aanhouden dan wel ongedaan worden gemaakt.</w:t>
      </w:r>
    </w:p>
    <w:p w:rsidR="00222D78" w:rsidRDefault="00222D78">
      <w:pPr>
        <w:spacing w:before="120" w:after="160" w:line="259" w:lineRule="auto"/>
        <w:jc w:val="both"/>
        <w:rPr>
          <w:rFonts w:ascii="Times New Roman" w:eastAsia="Calibri" w:hAnsi="Times New Roman" w:cs="Times New Roman"/>
          <w:i/>
          <w:noProof/>
          <w:lang w:val="nl-NL"/>
        </w:rPr>
      </w:pPr>
    </w:p>
    <w:p w:rsidR="00222D78" w:rsidRDefault="00E65635">
      <w:pPr>
        <w:spacing w:after="160" w:line="259" w:lineRule="auto"/>
        <w:jc w:val="both"/>
        <w:rPr>
          <w:rFonts w:ascii="Times New Roman" w:eastAsia="Calibri" w:hAnsi="Times New Roman" w:cs="Times New Roman"/>
          <w:noProof/>
          <w:lang w:val="nl-NL"/>
        </w:rPr>
      </w:pPr>
      <w:r>
        <w:rPr>
          <w:b/>
          <w:noProof/>
          <w:lang w:val="nl-NL"/>
        </w:rPr>
        <w:t>Verenigd Koninkrijk:</w:t>
      </w:r>
      <w:r>
        <w:rPr>
          <w:rFonts w:ascii="Times New Roman" w:hAnsi="Times New Roman"/>
          <w:noProof/>
          <w:lang w:val="nl-NL"/>
        </w:rPr>
        <w:t xml:space="preserve"> Tijdens de vorige MIP-ronde werden in het Verenigd Koninkrijk </w:t>
      </w:r>
      <w:r>
        <w:rPr>
          <w:rFonts w:ascii="Times New Roman" w:hAnsi="Times New Roman"/>
          <w:i/>
          <w:noProof/>
          <w:lang w:val="nl-NL"/>
        </w:rPr>
        <w:t>geen macro-economische onevenwichtigheden</w:t>
      </w:r>
      <w:r>
        <w:rPr>
          <w:rFonts w:ascii="Times New Roman" w:hAnsi="Times New Roman"/>
          <w:noProof/>
          <w:lang w:val="nl-NL"/>
        </w:rPr>
        <w:t xml:space="preserve"> geconstateerd. Op het geactualiseerde scorebord ligt een aantal indicatoren </w:t>
      </w:r>
      <w:r>
        <w:rPr>
          <w:rFonts w:ascii="Times New Roman" w:hAnsi="Times New Roman"/>
          <w:noProof/>
          <w:lang w:val="nl-NL"/>
        </w:rPr>
        <w:t>boven de indicatieve drempel, namelijk het tekort op de lopende rekening, de schuld van de particuliere sector en de overheidsschuld.</w:t>
      </w:r>
    </w:p>
    <w:p w:rsidR="00222D78" w:rsidRDefault="00E65635">
      <w:pPr>
        <w:spacing w:after="160" w:line="259" w:lineRule="auto"/>
        <w:jc w:val="both"/>
        <w:rPr>
          <w:rFonts w:ascii="Times New Roman" w:eastAsia="Calibri" w:hAnsi="Times New Roman" w:cs="Times New Roman"/>
          <w:noProof/>
          <w:lang w:val="nl-NL"/>
        </w:rPr>
      </w:pPr>
      <w:r>
        <w:rPr>
          <w:rFonts w:ascii="Times New Roman" w:hAnsi="Times New Roman"/>
          <w:noProof/>
          <w:lang w:val="nl-NL"/>
        </w:rPr>
        <w:t>De lopende rekening is in 2017 lichtjes geslonken, vooral door de verbetering van het saldo van het primaire inkomen, maar</w:t>
      </w:r>
      <w:r>
        <w:rPr>
          <w:rFonts w:ascii="Times New Roman" w:hAnsi="Times New Roman"/>
          <w:noProof/>
          <w:lang w:val="nl-NL"/>
        </w:rPr>
        <w:t xml:space="preserve"> het grote tekort en de daaraan verbonden omvangrijke externe financieringsbehoeften blijven bestaan. De waardevermindering van het pond sterling heeft de licht negatieve netto internationale investeringspositie ondersteund en gezorgd voor een beter prijsc</w:t>
      </w:r>
      <w:r>
        <w:rPr>
          <w:rFonts w:ascii="Times New Roman" w:hAnsi="Times New Roman"/>
          <w:noProof/>
          <w:lang w:val="nl-NL"/>
        </w:rPr>
        <w:t>oncurrentievermogen in een context van matige groei van de arbeidskosten per eenheid product. De netto handelsrespons op het zwakkere pond sterling is tot dusver echter teleurstellend geweest. Na een aantal jaren geleidelijke schuldafbouw is de schuldquote</w:t>
      </w:r>
      <w:r>
        <w:rPr>
          <w:rFonts w:ascii="Times New Roman" w:hAnsi="Times New Roman"/>
          <w:noProof/>
          <w:lang w:val="nl-NL"/>
        </w:rPr>
        <w:t xml:space="preserve"> van de particuliere sector uitgebodemd. Met name de schuld van de huishoudens blijft hoog en rechtvaardigt nog altijd nauwlettende monitoring. De groei van de reële huizenprijzen is vertraagd en de kosten voor huisvesting zijn gestabiliseerd, weliswaar op</w:t>
      </w:r>
      <w:r>
        <w:rPr>
          <w:rFonts w:ascii="Times New Roman" w:hAnsi="Times New Roman"/>
          <w:noProof/>
          <w:lang w:val="nl-NL"/>
        </w:rPr>
        <w:t xml:space="preserve"> een hoog niveau. De overheidsschuld is hoog en over het algemeen stabiel. De sterke groei van de werkgelegenheid bleef gepaard gaan met een lage en dalende werkloosheid, hoewel de arbeidsproductiviteit zwak blijft. </w:t>
      </w:r>
    </w:p>
    <w:p w:rsidR="00222D78" w:rsidRDefault="00E65635">
      <w:pPr>
        <w:spacing w:after="160" w:line="259" w:lineRule="auto"/>
        <w:jc w:val="both"/>
        <w:rPr>
          <w:rFonts w:ascii="Times New Roman" w:eastAsia="Calibri" w:hAnsi="Times New Roman" w:cs="Times New Roman"/>
          <w:i/>
          <w:iCs/>
          <w:noProof/>
          <w:lang w:val="nl-NL"/>
        </w:rPr>
      </w:pPr>
      <w:r>
        <w:rPr>
          <w:rFonts w:ascii="Times New Roman" w:hAnsi="Times New Roman"/>
          <w:i/>
          <w:noProof/>
          <w:lang w:val="nl-NL"/>
        </w:rPr>
        <w:t>Over het geheel genomen blijkt uit de e</w:t>
      </w:r>
      <w:r>
        <w:rPr>
          <w:rFonts w:ascii="Times New Roman" w:hAnsi="Times New Roman"/>
          <w:i/>
          <w:noProof/>
          <w:lang w:val="nl-NL"/>
        </w:rPr>
        <w:t>conomische analyse dat er een aantal problemen zijn met betrekking tot de particuliere schuld, de huizenmarkt en de externe zijde van de economie. Deze problemen lijken op korte termijn beperkte risico's voor de stabiliteit in te houden. Over het geheel ge</w:t>
      </w:r>
      <w:r>
        <w:rPr>
          <w:rFonts w:ascii="Times New Roman" w:hAnsi="Times New Roman"/>
          <w:i/>
          <w:noProof/>
          <w:lang w:val="nl-NL"/>
        </w:rPr>
        <w:t xml:space="preserve">nomen acht de Commissie het in dit stadium niet noodzakelijk een verdere diepgaande analyse te verrichten in het kader van de MIP. </w:t>
      </w:r>
    </w:p>
    <w:p w:rsidR="00222D78" w:rsidRDefault="00222D78">
      <w:pPr>
        <w:spacing w:after="160" w:line="259" w:lineRule="auto"/>
        <w:rPr>
          <w:rFonts w:ascii="Times New Roman" w:eastAsia="Calibri" w:hAnsi="Times New Roman" w:cs="Times New Roman"/>
          <w:b/>
          <w:noProof/>
          <w:lang w:val="nl-NL"/>
        </w:rPr>
      </w:pPr>
    </w:p>
    <w:p w:rsidR="00222D78" w:rsidRDefault="00222D78">
      <w:pPr>
        <w:spacing w:after="160" w:line="259" w:lineRule="auto"/>
        <w:rPr>
          <w:rFonts w:ascii="Times New Roman" w:eastAsia="Calibri" w:hAnsi="Times New Roman" w:cs="Times New Roman"/>
          <w:b/>
          <w:noProof/>
          <w:lang w:val="nl-NL"/>
        </w:rPr>
      </w:pPr>
    </w:p>
    <w:p w:rsidR="00222D78" w:rsidRDefault="00222D78">
      <w:pPr>
        <w:jc w:val="both"/>
        <w:rPr>
          <w:rFonts w:ascii="Times New Roman" w:hAnsi="Times New Roman" w:cs="Times New Roman"/>
          <w:i/>
          <w:noProof/>
          <w:sz w:val="24"/>
          <w:szCs w:val="24"/>
          <w:lang w:val="nl-NL"/>
        </w:rPr>
      </w:pPr>
    </w:p>
    <w:p w:rsidR="00222D78" w:rsidRDefault="00E65635">
      <w:pPr>
        <w:rPr>
          <w:rFonts w:ascii="Times New Roman" w:hAnsi="Times New Roman" w:cs="Times New Roman"/>
          <w:b/>
          <w:noProof/>
          <w:lang w:val="nl-NL"/>
        </w:rPr>
      </w:pPr>
      <w:r>
        <w:rPr>
          <w:noProof/>
          <w:lang w:val="nl-NL"/>
        </w:rPr>
        <w:br w:type="page"/>
      </w:r>
    </w:p>
    <w:p w:rsidR="00222D78" w:rsidRPr="00E65635" w:rsidRDefault="00222D78">
      <w:pPr>
        <w:spacing w:before="120" w:after="120" w:line="240" w:lineRule="auto"/>
        <w:jc w:val="both"/>
        <w:rPr>
          <w:rFonts w:ascii="Times New Roman" w:hAnsi="Times New Roman" w:cs="Times New Roman"/>
          <w:b/>
          <w:noProof/>
          <w:lang w:val="nl-NL"/>
        </w:rPr>
        <w:sectPr w:rsidR="00222D78" w:rsidRPr="00E65635">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222D78" w:rsidRDefault="00E65635">
      <w:pPr>
        <w:spacing w:before="120" w:after="120" w:line="240" w:lineRule="auto"/>
        <w:jc w:val="both"/>
        <w:rPr>
          <w:rFonts w:ascii="Times New Roman" w:hAnsi="Times New Roman" w:cs="Times New Roman"/>
          <w:b/>
          <w:noProof/>
        </w:rPr>
      </w:pPr>
      <w:r>
        <w:rPr>
          <w:noProof/>
          <w:lang w:eastAsia="en-GB"/>
        </w:rPr>
        <w:drawing>
          <wp:inline distT="0" distB="0" distL="0" distR="0">
            <wp:extent cx="9160027" cy="5272644"/>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61088" cy="5273255"/>
                    </a:xfrm>
                    <a:prstGeom prst="rect">
                      <a:avLst/>
                    </a:prstGeom>
                    <a:noFill/>
                    <a:ln>
                      <a:noFill/>
                    </a:ln>
                  </pic:spPr>
                </pic:pic>
              </a:graphicData>
            </a:graphic>
          </wp:inline>
        </w:drawing>
      </w:r>
      <w:r>
        <w:rPr>
          <w:noProof/>
          <w:lang w:eastAsia="en-GB"/>
        </w:rPr>
        <w:drawing>
          <wp:inline distT="0" distB="0" distL="0" distR="0">
            <wp:extent cx="8658238" cy="511232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58092" cy="5112241"/>
                    </a:xfrm>
                    <a:prstGeom prst="rect">
                      <a:avLst/>
                    </a:prstGeom>
                    <a:noFill/>
                    <a:ln>
                      <a:noFill/>
                    </a:ln>
                  </pic:spPr>
                </pic:pic>
              </a:graphicData>
            </a:graphic>
          </wp:inline>
        </w:drawing>
      </w:r>
    </w:p>
    <w:p w:rsidR="00222D78" w:rsidRDefault="00E65635">
      <w:pPr>
        <w:spacing w:before="120" w:after="120" w:line="240" w:lineRule="auto"/>
        <w:jc w:val="both"/>
        <w:rPr>
          <w:rFonts w:ascii="Times New Roman" w:hAnsi="Times New Roman" w:cs="Times New Roman"/>
          <w:b/>
          <w:noProof/>
        </w:rPr>
      </w:pPr>
      <w:r>
        <w:rPr>
          <w:rFonts w:ascii="Times New Roman" w:hAnsi="Times New Roman" w:cs="Times New Roman"/>
          <w:b/>
          <w:noProof/>
        </w:rPr>
        <w:t xml:space="preserve"> </w:t>
      </w:r>
      <w:r>
        <w:rPr>
          <w:noProof/>
          <w:lang w:eastAsia="en-GB"/>
        </w:rPr>
        <w:drawing>
          <wp:inline distT="0" distB="0" distL="0" distR="0">
            <wp:extent cx="8288977" cy="523604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96268" cy="5240650"/>
                    </a:xfrm>
                    <a:prstGeom prst="rect">
                      <a:avLst/>
                    </a:prstGeom>
                    <a:noFill/>
                    <a:ln>
                      <a:noFill/>
                    </a:ln>
                  </pic:spPr>
                </pic:pic>
              </a:graphicData>
            </a:graphic>
          </wp:inline>
        </w:drawing>
      </w:r>
      <w:r>
        <w:rPr>
          <w:rFonts w:ascii="Times New Roman" w:hAnsi="Times New Roman"/>
          <w:b/>
          <w:noProof/>
        </w:rPr>
        <w:t xml:space="preserve"> </w:t>
      </w:r>
    </w:p>
    <w:p w:rsidR="00222D78" w:rsidRDefault="00222D78">
      <w:pPr>
        <w:spacing w:before="120" w:after="120" w:line="240" w:lineRule="auto"/>
        <w:jc w:val="both"/>
        <w:rPr>
          <w:rFonts w:ascii="Times New Roman" w:hAnsi="Times New Roman" w:cs="Times New Roman"/>
          <w:b/>
          <w:noProof/>
        </w:rPr>
      </w:pPr>
    </w:p>
    <w:sectPr w:rsidR="00222D78">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D78" w:rsidRDefault="00E65635">
      <w:pPr>
        <w:spacing w:after="0" w:line="240" w:lineRule="auto"/>
      </w:pPr>
      <w:r>
        <w:separator/>
      </w:r>
    </w:p>
  </w:endnote>
  <w:endnote w:type="continuationSeparator" w:id="0">
    <w:p w:rsidR="00222D78" w:rsidRDefault="00E65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FooterCoverPage"/>
      <w:rPr>
        <w:rFonts w:ascii="Arial" w:hAnsi="Arial" w:cs="Arial"/>
        <w:b/>
        <w:sz w:val="48"/>
      </w:rPr>
    </w:pPr>
    <w:r w:rsidRPr="00E65635">
      <w:rPr>
        <w:rFonts w:ascii="Arial" w:hAnsi="Arial" w:cs="Arial"/>
        <w:b/>
        <w:sz w:val="48"/>
      </w:rPr>
      <w:t>NL</w:t>
    </w:r>
    <w:r w:rsidRPr="00E65635">
      <w:rPr>
        <w:rFonts w:ascii="Arial" w:hAnsi="Arial" w:cs="Arial"/>
        <w:b/>
        <w:sz w:val="48"/>
      </w:rPr>
      <w:tab/>
    </w:r>
    <w:r w:rsidRPr="00E65635">
      <w:rPr>
        <w:rFonts w:ascii="Arial" w:hAnsi="Arial" w:cs="Arial"/>
        <w:b/>
        <w:sz w:val="48"/>
      </w:rPr>
      <w:tab/>
    </w:r>
    <w:r w:rsidRPr="00E65635">
      <w:tab/>
    </w:r>
    <w:r w:rsidRPr="00E65635">
      <w:rPr>
        <w:rFonts w:ascii="Arial" w:hAnsi="Arial" w:cs="Arial"/>
        <w:b/>
        <w:sz w:val="48"/>
      </w:rPr>
      <w:t>NL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E65635">
    <w:r>
      <w:fldChar w:fldCharType="begin"/>
    </w:r>
    <w:r>
      <w:instrText xml:space="preserve">PAGE  </w:instrText>
    </w:r>
    <w:r>
      <w:fldChar w:fldCharType="separate"/>
    </w:r>
    <w:r>
      <w:rPr>
        <w:noProof/>
      </w:rPr>
      <w:t>22</w:t>
    </w:r>
    <w:r>
      <w:fldChar w:fldCharType="end"/>
    </w:r>
  </w:p>
  <w:p w:rsidR="00222D78" w:rsidRDefault="00222D7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222D78" w:rsidRDefault="00E65635">
        <w:pPr>
          <w:jc w:val="center"/>
        </w:pPr>
        <w:r>
          <w:fldChar w:fldCharType="begin"/>
        </w:r>
        <w:r>
          <w:instrText xml:space="preserve"> PAGE   \* MERGEFORMAT </w:instrText>
        </w:r>
        <w:r>
          <w:fldChar w:fldCharType="separate"/>
        </w:r>
        <w:r>
          <w:rPr>
            <w:noProof/>
          </w:rPr>
          <w:t>1</w:t>
        </w:r>
        <w:r>
          <w:rPr>
            <w:noProof/>
          </w:rPr>
          <w:fldChar w:fldCharType="end"/>
        </w:r>
      </w:p>
    </w:sdtContent>
  </w:sdt>
  <w:p w:rsidR="00222D78" w:rsidRDefault="00222D78">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E6563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222D78" w:rsidRDefault="00222D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222D78" w:rsidRDefault="00E65635">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rsidR="00222D78" w:rsidRDefault="00222D78">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D78" w:rsidRDefault="00E65635">
      <w:pPr>
        <w:spacing w:after="0" w:line="240" w:lineRule="auto"/>
      </w:pPr>
      <w:r>
        <w:separator/>
      </w:r>
    </w:p>
  </w:footnote>
  <w:footnote w:type="continuationSeparator" w:id="0">
    <w:p w:rsidR="00222D78" w:rsidRDefault="00E65635">
      <w:pPr>
        <w:spacing w:after="0" w:line="240" w:lineRule="auto"/>
      </w:pPr>
      <w:r>
        <w:continuationSeparator/>
      </w:r>
    </w:p>
  </w:footnote>
  <w:footnote w:id="1">
    <w:p w:rsidR="00222D78" w:rsidRDefault="00E65635">
      <w:pPr>
        <w:jc w:val="both"/>
        <w:rPr>
          <w:rFonts w:ascii="Times New Roman" w:hAnsi="Times New Roman" w:cs="Times New Roman"/>
          <w:lang w:val="nl-NL"/>
        </w:rPr>
      </w:pPr>
      <w:r>
        <w:rPr>
          <w:rFonts w:ascii="Times New Roman" w:hAnsi="Times New Roman"/>
          <w:vertAlign w:val="superscript"/>
        </w:rPr>
        <w:footnoteRef/>
      </w:r>
      <w:r>
        <w:rPr>
          <w:rFonts w:ascii="Times New Roman" w:hAnsi="Times New Roman"/>
          <w:lang w:val="nl-NL"/>
        </w:rPr>
        <w:t xml:space="preserve"> Voorliggend verslag gaat vergezeld van een </w:t>
      </w:r>
      <w:r>
        <w:rPr>
          <w:rFonts w:ascii="Times New Roman" w:hAnsi="Times New Roman"/>
          <w:i/>
          <w:lang w:val="nl-NL"/>
        </w:rPr>
        <w:t>statistische bijlage</w:t>
      </w:r>
      <w:r>
        <w:rPr>
          <w:rFonts w:ascii="Times New Roman" w:hAnsi="Times New Roman"/>
          <w:lang w:val="nl-NL"/>
        </w:rPr>
        <w:t xml:space="preserve"> met een uitgebreide reeks statistieken waarop voorliggend verslag onder meer is gebaseerd. </w:t>
      </w:r>
    </w:p>
  </w:footnote>
  <w:footnote w:id="2">
    <w:p w:rsidR="00222D78" w:rsidRDefault="00E65635">
      <w:pPr>
        <w:jc w:val="both"/>
        <w:rPr>
          <w:rFonts w:ascii="Times New Roman" w:hAnsi="Times New Roman" w:cs="Times New Roman"/>
          <w:lang w:val="nl-NL"/>
        </w:rPr>
      </w:pPr>
      <w:r>
        <w:rPr>
          <w:rFonts w:ascii="Times New Roman" w:hAnsi="Times New Roman"/>
          <w:vertAlign w:val="superscript"/>
        </w:rPr>
        <w:footnoteRef/>
      </w:r>
      <w:r>
        <w:rPr>
          <w:rFonts w:ascii="Times New Roman" w:hAnsi="Times New Roman"/>
          <w:lang w:val="nl-NL"/>
        </w:rPr>
        <w:t xml:space="preserve"> Zie artikel 5 van Verordening (EU) nr. 1176/2011.</w:t>
      </w:r>
    </w:p>
  </w:footnote>
  <w:footnote w:id="3">
    <w:p w:rsidR="00222D78" w:rsidRDefault="00E65635">
      <w:pPr>
        <w:jc w:val="both"/>
        <w:rPr>
          <w:rFonts w:ascii="Times New Roman" w:hAnsi="Times New Roman" w:cs="Times New Roman"/>
          <w:lang w:val="nl-NL"/>
        </w:rPr>
      </w:pPr>
      <w:r>
        <w:rPr>
          <w:rFonts w:ascii="Times New Roman" w:hAnsi="Times New Roman"/>
          <w:vertAlign w:val="superscript"/>
        </w:rPr>
        <w:footnoteRef/>
      </w:r>
      <w:r>
        <w:rPr>
          <w:rFonts w:ascii="Times New Roman" w:hAnsi="Times New Roman"/>
          <w:lang w:val="nl-NL"/>
        </w:rPr>
        <w:t xml:space="preserve"> In het verslag van 22 juni 2015 ʽDe voltooiing van de Economische en Monetaire Unie' van Jean-Claude Juncker, Donald Tusk, Jeroen Dijsselbloem, Mario Draghi en Martin Schulz is voorgesteld meer aandacht te besteden aan de eurozone-dimensie van onevenwicht</w:t>
      </w:r>
      <w:r>
        <w:rPr>
          <w:rFonts w:ascii="Times New Roman" w:hAnsi="Times New Roman"/>
          <w:lang w:val="nl-NL"/>
        </w:rPr>
        <w:t>igheden. De rol van wisselwerkingen en systeemimplicaties van onevenwichtigheden wordt erkend in Verordening (EU) nr. 1176/2011, die "onevenwichtigheden" omschrijft als "elke trend die macro-economische ontwikkelingen in de hand werkt, welke een ongunstige</w:t>
      </w:r>
      <w:r>
        <w:rPr>
          <w:rFonts w:ascii="Times New Roman" w:hAnsi="Times New Roman"/>
          <w:lang w:val="nl-NL"/>
        </w:rPr>
        <w:t xml:space="preserve"> invloed uitoefenen of kunnen uitoefenen op de goede werking van de economie van een lidstaat dan wel van de economische en monetaire unie of van de Unie als geheel".</w:t>
      </w:r>
    </w:p>
  </w:footnote>
  <w:footnote w:id="4">
    <w:p w:rsidR="00222D78" w:rsidRDefault="00E65635">
      <w:pPr>
        <w:rPr>
          <w:lang w:val="nl-NL"/>
        </w:rPr>
      </w:pPr>
      <w:r>
        <w:rPr>
          <w:rStyle w:val="FootnoteReference"/>
        </w:rPr>
        <w:footnoteRef/>
      </w:r>
      <w:r>
        <w:rPr>
          <w:lang w:val="nl-NL"/>
        </w:rPr>
        <w:t xml:space="preserve"> Zie bv. ECB, Economic Bulletin, 5/2018.</w:t>
      </w:r>
    </w:p>
  </w:footnote>
  <w:footnote w:id="5">
    <w:p w:rsidR="00222D78" w:rsidRDefault="00E65635">
      <w:r>
        <w:rPr>
          <w:rStyle w:val="FootnoteReference"/>
        </w:rPr>
        <w:footnoteRef/>
      </w:r>
      <w:r>
        <w:t xml:space="preserve"> Zie ook International Monetary Fund, World Ec</w:t>
      </w:r>
      <w:r>
        <w:t>onomic Outlook, October 2018.</w:t>
      </w:r>
    </w:p>
  </w:footnote>
  <w:footnote w:id="6">
    <w:p w:rsidR="00222D78" w:rsidRDefault="00E65635">
      <w:pPr>
        <w:rPr>
          <w:lang w:val="nl-NL"/>
        </w:rPr>
      </w:pPr>
      <w:r>
        <w:rPr>
          <w:rStyle w:val="FootnoteReference"/>
        </w:rPr>
        <w:footnoteRef/>
      </w:r>
      <w:r>
        <w:rPr>
          <w:lang w:val="nl-NL"/>
        </w:rPr>
        <w:t xml:space="preserve"> Zie kader 3 voor een overzicht van de belangrijkste recente werkgelegenheids- en sociale ontwikkelingen in de EU.</w:t>
      </w:r>
    </w:p>
  </w:footnote>
  <w:footnote w:id="7">
    <w:p w:rsidR="00222D78" w:rsidRDefault="00E65635">
      <w:pPr>
        <w:rPr>
          <w:lang w:val="nl-NL"/>
        </w:rPr>
      </w:pPr>
      <w:r>
        <w:rPr>
          <w:rStyle w:val="FootnoteReference"/>
        </w:rPr>
        <w:footnoteRef/>
      </w:r>
      <w:r>
        <w:rPr>
          <w:lang w:val="nl-NL"/>
        </w:rPr>
        <w:t xml:space="preserve"> Zie ook Europese Commissie, Jaarlijkse groeianalyse 2019.</w:t>
      </w:r>
    </w:p>
  </w:footnote>
  <w:footnote w:id="8">
    <w:p w:rsidR="00222D78" w:rsidRDefault="00E65635">
      <w:pPr>
        <w:jc w:val="both"/>
        <w:rPr>
          <w:rFonts w:ascii="Times New Roman" w:hAnsi="Times New Roman" w:cs="Times New Roman"/>
          <w:lang w:val="nl-NL"/>
        </w:rPr>
      </w:pPr>
      <w:r>
        <w:rPr>
          <w:rFonts w:ascii="Times New Roman" w:hAnsi="Times New Roman"/>
          <w:vertAlign w:val="superscript"/>
        </w:rPr>
        <w:footnoteRef/>
      </w:r>
      <w:r>
        <w:rPr>
          <w:rFonts w:ascii="Times New Roman" w:hAnsi="Times New Roman"/>
          <w:lang w:val="nl-NL"/>
        </w:rPr>
        <w:t xml:space="preserve"> Artikel 6 van Verordening (EU) nr. 1176/2011.</w:t>
      </w:r>
    </w:p>
  </w:footnote>
  <w:footnote w:id="9">
    <w:p w:rsidR="00222D78" w:rsidRDefault="00E65635">
      <w:pPr>
        <w:jc w:val="both"/>
        <w:rPr>
          <w:rFonts w:ascii="Times New Roman" w:hAnsi="Times New Roman" w:cs="Times New Roman"/>
          <w:lang w:val="nl-NL"/>
        </w:rPr>
      </w:pPr>
      <w:r>
        <w:rPr>
          <w:rFonts w:ascii="Times New Roman" w:hAnsi="Times New Roman"/>
          <w:vertAlign w:val="superscript"/>
        </w:rPr>
        <w:footnoteRef/>
      </w:r>
      <w:r>
        <w:rPr>
          <w:rFonts w:ascii="Times New Roman" w:hAnsi="Times New Roman"/>
          <w:lang w:val="nl-NL"/>
        </w:rPr>
        <w:t xml:space="preserve"> Zie 'Europees semester 2018: beoordeling van structurele hervormingen, preventie en correctie van macro-economische onevenwichtigheden, en resultaten van diepgaande evaluaties ingevolge Verordening (EU) nr. 1176/2011' - COM(2018) 120 final/2 van 7.3.2018.</w:t>
      </w:r>
      <w:r>
        <w:rPr>
          <w:rFonts w:ascii="Times New Roman" w:hAnsi="Times New Roman"/>
          <w:lang w:val="nl-NL"/>
        </w:rPr>
        <w:t xml:space="preserve"> </w:t>
      </w:r>
    </w:p>
  </w:footnote>
  <w:footnote w:id="10">
    <w:p w:rsidR="00222D78" w:rsidRDefault="00E65635">
      <w:pPr>
        <w:jc w:val="both"/>
        <w:rPr>
          <w:lang w:val="nl-NL"/>
        </w:rPr>
      </w:pPr>
      <w:r>
        <w:rPr>
          <w:rStyle w:val="FootnoteReference"/>
        </w:rPr>
        <w:footnoteRef/>
      </w:r>
      <w:r>
        <w:rPr>
          <w:lang w:val="nl-NL"/>
        </w:rPr>
        <w:t xml:space="preserve"> Lidstaten die onder macro-economische aanpassingsprogramma's in verband met financiële bijstand vallen, zijn vrijgesteld van toezicht op grond van het MIP (artikel 11 van Verordening (EU) nr. 472/2013 van het Europees Parlement en van de Raad van 21 me</w:t>
      </w:r>
      <w:r>
        <w:rPr>
          <w:lang w:val="nl-NL"/>
        </w:rPr>
        <w:t>i 2013 betreffende de versterking van het economische en budgettaire toezicht op lidstaten in de eurozone die ernstige moeilijkheden ondervinden of dreigen te ondervinden ten aanzien van hun financiële stabiliteit).</w:t>
      </w:r>
    </w:p>
  </w:footnote>
  <w:footnote w:id="11">
    <w:p w:rsidR="00222D78" w:rsidRDefault="00E65635">
      <w:pPr>
        <w:jc w:val="both"/>
        <w:rPr>
          <w:i/>
          <w:lang w:val="nl-NL"/>
        </w:rPr>
      </w:pPr>
      <w:r>
        <w:rPr>
          <w:rStyle w:val="FootnoteReference"/>
        </w:rPr>
        <w:footnoteRef/>
      </w:r>
      <w:r>
        <w:rPr>
          <w:lang w:val="nl-NL"/>
        </w:rPr>
        <w:t xml:space="preserve"> In november 2016 heeft het Europees Co</w:t>
      </w:r>
      <w:r>
        <w:rPr>
          <w:lang w:val="nl-NL"/>
        </w:rPr>
        <w:t>mité voor systeemrisico's (ESRB) landspecifieke waarschuwingen afgegeven met betrekking tot de kwetsbaarheden op middellange termijn in de sector van het niet-zakelijk onroerend goed voor acht EU-lidstaten: Oostenrijk, België, Denemarken, Finland, Luxembur</w:t>
      </w:r>
      <w:r>
        <w:rPr>
          <w:lang w:val="nl-NL"/>
        </w:rPr>
        <w:t>g, Nederland, Zweden en het Verenigd Koninkrijk.</w:t>
      </w:r>
    </w:p>
  </w:footnote>
  <w:footnote w:id="12">
    <w:p w:rsidR="00222D78" w:rsidRDefault="00E65635">
      <w:pPr>
        <w:jc w:val="both"/>
        <w:rPr>
          <w:lang w:val="nl-NL"/>
        </w:rPr>
      </w:pPr>
      <w:r>
        <w:rPr>
          <w:rStyle w:val="FootnoteReference"/>
        </w:rPr>
        <w:footnoteRef/>
      </w:r>
      <w:r>
        <w:rPr>
          <w:lang w:val="nl-NL"/>
        </w:rPr>
        <w:t xml:space="preserve"> Voor meer informatie over de statistische definities van de nieuwe indicatoren, zie European Commission, "Envisaged revision of selected auxiliary indicators of the MIP scoreboard", Technical note; https:/</w:t>
      </w:r>
      <w:r>
        <w:rPr>
          <w:lang w:val="nl-NL"/>
        </w:rPr>
        <w:t>/ec.europa.eu/info/business-economy-euro/economic-and-fiscal-policy-coordination/eu-economic-governance-monitoring-prevention-correction/macroeconomic-imbalance-procedure/scoreboard_en.</w:t>
      </w:r>
    </w:p>
  </w:footnote>
  <w:footnote w:id="13">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Over de rechtvaardiging die ten grondslag ligt aan de structuur van </w:t>
      </w:r>
      <w:r>
        <w:rPr>
          <w:rFonts w:ascii="Times New Roman" w:hAnsi="Times New Roman"/>
          <w:lang w:val="nl-NL"/>
        </w:rPr>
        <w:t>het AMR-scorebord en de interpretatie daarvan, zie Europese Commissie (2016) ʽ</w:t>
      </w:r>
      <w:r>
        <w:rPr>
          <w:rFonts w:ascii="Times New Roman" w:hAnsi="Times New Roman"/>
          <w:i/>
          <w:lang w:val="nl-NL"/>
        </w:rPr>
        <w:t>The Macroeconomic Imbalance Procedure. Rationale, Process, Application: A Compendium</w:t>
      </w:r>
      <w:r>
        <w:rPr>
          <w:rFonts w:ascii="Times New Roman" w:hAnsi="Times New Roman"/>
          <w:lang w:val="nl-NL"/>
        </w:rPr>
        <w:t>ʼ</w:t>
      </w:r>
      <w:r>
        <w:rPr>
          <w:rFonts w:ascii="Times New Roman" w:hAnsi="Times New Roman"/>
          <w:lang w:val="nl-NL"/>
        </w:rPr>
        <w:t>, European Economy, Institutional Paper 039.</w:t>
      </w:r>
    </w:p>
  </w:footnote>
  <w:footnote w:id="14">
    <w:p w:rsidR="00222D78" w:rsidRDefault="00E65635">
      <w:pPr>
        <w:jc w:val="both"/>
        <w:rPr>
          <w:rFonts w:ascii="Times New Roman" w:hAnsi="Times New Roman" w:cs="Times New Roman"/>
          <w:sz w:val="18"/>
          <w:szCs w:val="18"/>
          <w:lang w:val="nl-NL"/>
        </w:rPr>
      </w:pPr>
      <w:r>
        <w:rPr>
          <w:rStyle w:val="FootnoteReference"/>
          <w:rFonts w:ascii="Times New Roman" w:hAnsi="Times New Roman"/>
        </w:rPr>
        <w:footnoteRef/>
      </w:r>
      <w:r>
        <w:rPr>
          <w:rFonts w:ascii="Times New Roman" w:hAnsi="Times New Roman"/>
          <w:lang w:val="nl-NL"/>
        </w:rPr>
        <w:t xml:space="preserve"> De gedetailleerde scorebordindicatoren zijn sa</w:t>
      </w:r>
      <w:r>
        <w:rPr>
          <w:rFonts w:ascii="Times New Roman" w:hAnsi="Times New Roman"/>
          <w:lang w:val="nl-NL"/>
        </w:rPr>
        <w:t>men met de respectieve indicatieve drempels opgenomen in tabel 1.1 in de bijlage; de aanvullende indicatoren zijn opgenomen in tabel 2.1. Zoals uiteengezet in de noot bij grafiek 1, is de lezing van de ontwikkeling van de gegevens van het scorebord gebasee</w:t>
      </w:r>
      <w:r>
        <w:rPr>
          <w:rFonts w:ascii="Times New Roman" w:hAnsi="Times New Roman"/>
          <w:lang w:val="nl-NL"/>
        </w:rPr>
        <w:t>rd op de gegevens die beschikbaar zijn op het moment van elke AMR. De afsluitingsdatum voor de gegevens voor de AMR 2019 was 24 oktober 2018.</w:t>
      </w:r>
    </w:p>
  </w:footnote>
  <w:footnote w:id="15">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Conjunctuurgezuiverde saldi op de lopende rekening ondervinden het effect van de cyclus door te corrigeren voor </w:t>
      </w:r>
      <w:r>
        <w:rPr>
          <w:rFonts w:ascii="Times New Roman" w:hAnsi="Times New Roman"/>
          <w:lang w:val="nl-NL"/>
        </w:rPr>
        <w:t>de binnenlandse outputkloof en die van de handelspartners, zie M. Salto and A. Turrini (2010), "Comparing alternative methodologies for real exchange rate assessment", European Economy, Discussion Paper 427/2010.</w:t>
      </w:r>
    </w:p>
  </w:footnote>
  <w:footnote w:id="16">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Lopende rekeningen die overeenstemmen met</w:t>
      </w:r>
      <w:r>
        <w:rPr>
          <w:rFonts w:ascii="Times New Roman" w:hAnsi="Times New Roman"/>
          <w:lang w:val="nl-NL"/>
        </w:rPr>
        <w:t xml:space="preserve"> de fundamentals (lopenderekeningnormen) zijn afgeleid van regressies in gereduceerde vorm die de belangrijkste determinanten van de besparingen/investeringenbalans weergeven, waaronder determinanten van fundamentals, beleidsfactoren en mondiale financiële</w:t>
      </w:r>
      <w:r>
        <w:rPr>
          <w:rFonts w:ascii="Times New Roman" w:hAnsi="Times New Roman"/>
          <w:lang w:val="nl-NL"/>
        </w:rPr>
        <w:t xml:space="preserve"> omstandigheden. De methodologie is verwant aan S. Phillips et al. (2013), "The External Balance Assessment (EBA) Methodology", IMF Working Paper, 13/272. Zie L. Coutinho et al. (2018), "Methodologies for the assessment of current account benchmarks", Euro</w:t>
      </w:r>
      <w:r>
        <w:rPr>
          <w:rFonts w:ascii="Times New Roman" w:hAnsi="Times New Roman"/>
          <w:lang w:val="nl-NL"/>
        </w:rPr>
        <w:t>pean Economy, Discussion Paper 86, 2018, voor de beschrijving van de methodologie voor de berekening van de op fundamentals gebaseerde lopende rekening die in deze AMR wordt gebruikt.</w:t>
      </w:r>
    </w:p>
  </w:footnote>
  <w:footnote w:id="17">
    <w:p w:rsidR="00222D78" w:rsidRDefault="00E65635">
      <w:pPr>
        <w:jc w:val="both"/>
        <w:rPr>
          <w:rFonts w:cstheme="minorHAnsi"/>
          <w:lang w:val="nl-NL"/>
        </w:rPr>
      </w:pPr>
      <w:r>
        <w:rPr>
          <w:rStyle w:val="FootnoteReference"/>
          <w:rFonts w:cstheme="minorHAnsi"/>
        </w:rPr>
        <w:footnoteRef/>
      </w:r>
      <w:r>
        <w:rPr>
          <w:lang w:val="nl-NL"/>
        </w:rPr>
        <w:t xml:space="preserve"> Voor de methodologieën voor benchmarks voor de lopende rekening, zie L</w:t>
      </w:r>
      <w:r>
        <w:rPr>
          <w:lang w:val="nl-NL"/>
        </w:rPr>
        <w:t xml:space="preserve">. Coutinho et al. (2018); voor landspecifieke prudentiële drempels voor de NIIP,  zie voetnoot </w:t>
      </w:r>
      <w:r>
        <w:rPr>
          <w:rFonts w:cstheme="minorHAnsi"/>
        </w:rPr>
        <w:fldChar w:fldCharType="begin"/>
      </w:r>
      <w:r>
        <w:rPr>
          <w:rFonts w:cstheme="minorHAnsi"/>
          <w:lang w:val="nl-NL"/>
        </w:rPr>
        <w:instrText xml:space="preserve"> NOTEREF _Ref526336022 \h  \* MERGEFORMAT </w:instrText>
      </w:r>
      <w:r>
        <w:rPr>
          <w:rFonts w:cstheme="minorHAnsi"/>
        </w:rPr>
      </w:r>
      <w:r>
        <w:rPr>
          <w:rFonts w:cstheme="minorHAnsi"/>
        </w:rPr>
        <w:fldChar w:fldCharType="separate"/>
      </w:r>
      <w:r>
        <w:rPr>
          <w:rFonts w:cstheme="minorHAnsi"/>
          <w:lang w:val="nl-NL"/>
        </w:rPr>
        <w:t>18</w:t>
      </w:r>
      <w:r>
        <w:rPr>
          <w:rFonts w:cstheme="minorHAnsi"/>
        </w:rPr>
        <w:fldChar w:fldCharType="end"/>
      </w:r>
      <w:r>
        <w:rPr>
          <w:lang w:val="nl-NL"/>
        </w:rPr>
        <w:t xml:space="preserve">. </w:t>
      </w:r>
    </w:p>
  </w:footnote>
  <w:footnote w:id="18">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NIIP's in overeenstemming met de fundamentals worden verkregen als de cumulatie in de tijd van lopenderekeningnormen (zie ook voetnoot </w:t>
      </w:r>
      <w:r>
        <w:rPr>
          <w:rFonts w:ascii="Times New Roman" w:hAnsi="Times New Roman" w:cs="Times New Roman"/>
        </w:rPr>
        <w:fldChar w:fldCharType="begin"/>
      </w:r>
      <w:r>
        <w:rPr>
          <w:rFonts w:ascii="Times New Roman" w:hAnsi="Times New Roman" w:cs="Times New Roman"/>
          <w:lang w:val="nl-NL"/>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lang w:val="nl-NL"/>
        </w:rPr>
        <w:t>16</w:t>
      </w:r>
      <w:r>
        <w:rPr>
          <w:rFonts w:ascii="Times New Roman" w:hAnsi="Times New Roman" w:cs="Times New Roman"/>
        </w:rPr>
        <w:fldChar w:fldCharType="end"/>
      </w:r>
      <w:r>
        <w:rPr>
          <w:rFonts w:ascii="Times New Roman" w:hAnsi="Times New Roman"/>
          <w:lang w:val="nl-NL"/>
        </w:rPr>
        <w:t>). De prudentiële drempels voor de NIIP worden bepaald aan de hand van de maximalisering van de signaalsterkte bij het voorspellen van een betalingsbalanscrisis, waarbij rekening wordt gehouden me</w:t>
      </w:r>
      <w:r>
        <w:rPr>
          <w:rFonts w:ascii="Times New Roman" w:hAnsi="Times New Roman"/>
          <w:lang w:val="nl-NL"/>
        </w:rPr>
        <w:t>t landspecifieke informatie, samengevat naar inkomen per capita. Voor de methodologie voor de berekening van NIIP-standen in overeenstemming met de fundamentals, zie A. Turrini and S. Zeugner, "Benchmarks for Net International Investment Positions", Europe</w:t>
      </w:r>
      <w:r>
        <w:rPr>
          <w:rFonts w:ascii="Times New Roman" w:hAnsi="Times New Roman"/>
          <w:lang w:val="nl-NL"/>
        </w:rPr>
        <w:t xml:space="preserve">an Economy, Discussion Paper,  te verschijnen. </w:t>
      </w:r>
    </w:p>
  </w:footnote>
  <w:footnote w:id="19">
    <w:p w:rsidR="00222D78" w:rsidRDefault="00E65635">
      <w:pPr>
        <w:jc w:val="both"/>
        <w:rPr>
          <w:lang w:val="nl-NL"/>
        </w:rPr>
      </w:pPr>
      <w:r>
        <w:rPr>
          <w:rStyle w:val="FootnoteReference"/>
        </w:rPr>
        <w:footnoteRef/>
      </w:r>
      <w:r>
        <w:rPr>
          <w:lang w:val="nl-NL"/>
        </w:rPr>
        <w:t xml:space="preserve"> Zoals weerspiegeld door de NENDI-variabele, d.w.z. de NIIP exclusief instrumenten zonder wanbetalingsrisico. </w:t>
      </w:r>
      <w:r>
        <w:rPr>
          <w:rFonts w:ascii="Times New Roman" w:hAnsi="Times New Roman"/>
          <w:lang w:val="nl-NL"/>
        </w:rPr>
        <w:t xml:space="preserve">Positief is dat de verbeteringen in de NIIP in deze landen in 2017 vooral aangejaagd werden door </w:t>
      </w:r>
      <w:r>
        <w:rPr>
          <w:rFonts w:ascii="Times New Roman" w:hAnsi="Times New Roman"/>
          <w:lang w:val="nl-NL"/>
        </w:rPr>
        <w:t>verbeteringen in de NENDI.</w:t>
      </w:r>
    </w:p>
  </w:footnote>
  <w:footnote w:id="20">
    <w:p w:rsidR="00222D78" w:rsidRDefault="00E65635">
      <w:pPr>
        <w:rPr>
          <w:lang w:val="nl-NL"/>
        </w:rPr>
      </w:pPr>
      <w:r>
        <w:rPr>
          <w:rStyle w:val="FootnoteReference"/>
        </w:rPr>
        <w:footnoteRef/>
      </w:r>
      <w:r>
        <w:rPr>
          <w:lang w:val="nl-NL"/>
        </w:rPr>
        <w:t xml:space="preserve"> De relevantie van de NENDI varieert aanzienlijk binnen deze groep landen, hetgeen eveneens een afspiegeling is van de relevantie van hun financiële centra, zoals het geval is bij Luxemburg en Malta, of van de externe schuldpass</w:t>
      </w:r>
      <w:r>
        <w:rPr>
          <w:lang w:val="nl-NL"/>
        </w:rPr>
        <w:t>iva van banken en hoofdkantoren van multinationals, zoals het geval is bij Nederland.</w:t>
      </w:r>
    </w:p>
  </w:footnote>
  <w:footnote w:id="21">
    <w:p w:rsidR="00222D78" w:rsidRDefault="00E65635">
      <w:pPr>
        <w:jc w:val="both"/>
        <w:rPr>
          <w:lang w:val="nl-NL"/>
        </w:rPr>
      </w:pPr>
      <w:r>
        <w:rPr>
          <w:rStyle w:val="FootnoteReference"/>
        </w:rPr>
        <w:footnoteRef/>
      </w:r>
      <w:r>
        <w:rPr>
          <w:lang w:val="nl-NL"/>
        </w:rPr>
        <w:t xml:space="preserve"> Zie bijvoorbeeld Europese Commissie (2018), "Labour markets and wage developments in Europe", Annual review 2018, en Z. Darvas and I. Gonçalves Raposo (2018), "The ever</w:t>
      </w:r>
      <w:r>
        <w:rPr>
          <w:lang w:val="nl-NL"/>
        </w:rPr>
        <w:t>-rising labour shortages in Europe", Bruegel Blog Post, 25 januari 2018.</w:t>
      </w:r>
    </w:p>
  </w:footnote>
  <w:footnote w:id="22">
    <w:p w:rsidR="00222D78" w:rsidRDefault="00E65635">
      <w:pPr>
        <w:jc w:val="both"/>
        <w:rPr>
          <w:lang w:val="nl-NL"/>
        </w:rPr>
      </w:pPr>
      <w:r>
        <w:rPr>
          <w:rStyle w:val="FootnoteReference"/>
        </w:rPr>
        <w:footnoteRef/>
      </w:r>
      <w:r>
        <w:rPr>
          <w:lang w:val="nl-NL"/>
        </w:rPr>
        <w:t xml:space="preserve"> Terwijl de margekrimp verhindert dat het kostenconcurrentievermogen van invloed is op de ruilvoet, waardoor de impact op de handelsstromen in bedrijfstakken die worden gekenmerkt do</w:t>
      </w:r>
      <w:r>
        <w:rPr>
          <w:lang w:val="nl-NL"/>
        </w:rPr>
        <w:t>or productdifferentiatie en afstemming van prijzen op de markt, beperkt blijft, zou een aanhoudende dalende winstgevendheid op termijn een krimpende verhandelbare sector impliceren.</w:t>
      </w:r>
    </w:p>
  </w:footnote>
  <w:footnote w:id="23">
    <w:p w:rsidR="00222D78" w:rsidRDefault="00E65635">
      <w:pPr>
        <w:jc w:val="both"/>
        <w:rPr>
          <w:lang w:val="nl-NL"/>
        </w:rPr>
      </w:pPr>
      <w:r>
        <w:rPr>
          <w:rStyle w:val="FootnoteReference"/>
        </w:rPr>
        <w:footnoteRef/>
      </w:r>
      <w:r>
        <w:rPr>
          <w:lang w:val="nl-NL"/>
        </w:rPr>
        <w:t xml:space="preserve"> Zie de najaarsprognoses 2018 van de Europese Commissie; en IMF (2018), W</w:t>
      </w:r>
      <w:r>
        <w:rPr>
          <w:lang w:val="nl-NL"/>
        </w:rPr>
        <w:t>orld Economic Outlook, October 2018. Zie ook tabel 2.1 in de bijlage voor exportprestatie t.o.v. ontwikkelde economieën.</w:t>
      </w:r>
    </w:p>
  </w:footnote>
  <w:footnote w:id="24">
    <w:p w:rsidR="00222D78" w:rsidRDefault="00E65635">
      <w:pPr>
        <w:jc w:val="both"/>
        <w:rPr>
          <w:lang w:val="nl-NL"/>
        </w:rPr>
      </w:pPr>
      <w:r>
        <w:rPr>
          <w:rStyle w:val="FootnoteReference"/>
        </w:rPr>
        <w:footnoteRef/>
      </w:r>
      <w:r>
        <w:rPr>
          <w:lang w:val="nl-NL"/>
        </w:rPr>
        <w:t xml:space="preserve"> De cijfers van de lopende rekening van de eurozone op basis van betalingsbalansgegevens zijn onlangs licht naar beneden bijgesteld en</w:t>
      </w:r>
      <w:r>
        <w:rPr>
          <w:lang w:val="nl-NL"/>
        </w:rPr>
        <w:t xml:space="preserve"> vertonen momenteel een overschot dat voor 2015 en 2016 ongeveer 0,3 respectievelijk 0,1 ppt. van het bbp lager ligt in vergelijking met de cijfers die een jaar geleden beschikbaar waren. Het saldo op de lopende rekening van het eurozoneaggregaat ten opzic</w:t>
      </w:r>
      <w:r>
        <w:rPr>
          <w:lang w:val="nl-NL"/>
        </w:rPr>
        <w:t>hte van het buitenland bedroeg 3,2% van het bbp in zowel 2016 als 2017, volgens cijfers van zowel de betalingsbalans als de nationale rekeningen. Toch bedragen de lopende rekeningen van de lidstaten van de eurozone samen 3,5% en 4% van het bbp van de euroz</w:t>
      </w:r>
      <w:r>
        <w:rPr>
          <w:lang w:val="nl-NL"/>
        </w:rPr>
        <w:t xml:space="preserve">one voor 2016 respectievelijk 2017. De verschillen tussen het eurozoneaggregaat en de som van de saldi van de lopende rekeningen van de lidstaten zijn toe te schrijven aan aanpassingen voor asymmetrieën in de gerapporteerde gegevens van de lidstaten. </w:t>
      </w:r>
    </w:p>
  </w:footnote>
  <w:footnote w:id="25">
    <w:p w:rsidR="00222D78" w:rsidRDefault="00E65635">
      <w:pPr>
        <w:jc w:val="both"/>
        <w:rPr>
          <w:lang w:val="nl-NL"/>
        </w:rPr>
      </w:pPr>
      <w:r>
        <w:rPr>
          <w:rStyle w:val="FootnoteReference"/>
        </w:rPr>
        <w:footnoteRef/>
      </w:r>
      <w:r>
        <w:rPr>
          <w:lang w:val="nl-NL"/>
        </w:rPr>
        <w:t xml:space="preserve"> Vo</w:t>
      </w:r>
      <w:r>
        <w:rPr>
          <w:lang w:val="nl-NL"/>
        </w:rPr>
        <w:t xml:space="preserve">or de methodologie voor de berekening van de saldi op de lopende rekening in overeenstemming met de fundamentals (lopenderekeningnorm), zie voetnoot </w:t>
      </w:r>
      <w:r>
        <w:fldChar w:fldCharType="begin"/>
      </w:r>
      <w:r>
        <w:rPr>
          <w:lang w:val="nl-NL"/>
        </w:rPr>
        <w:instrText xml:space="preserve"> NOTEREF _Ref526526513 \h  \* MERGEFORMAT </w:instrText>
      </w:r>
      <w:r>
        <w:fldChar w:fldCharType="separate"/>
      </w:r>
      <w:r>
        <w:rPr>
          <w:lang w:val="nl-NL"/>
        </w:rPr>
        <w:t>16</w:t>
      </w:r>
      <w:r>
        <w:fldChar w:fldCharType="end"/>
      </w:r>
      <w:r>
        <w:rPr>
          <w:lang w:val="nl-NL"/>
        </w:rPr>
        <w:t xml:space="preserve"> en de verwijzingen daarin. Volgens het IMF (External Sector Report 2018) zou de lopenderekeningnorm van de eurozone ongeveer 1,5% van het bbp bedragen.</w:t>
      </w:r>
    </w:p>
  </w:footnote>
  <w:footnote w:id="26">
    <w:p w:rsidR="00222D78" w:rsidRDefault="00E65635">
      <w:pPr>
        <w:jc w:val="both"/>
        <w:rPr>
          <w:lang w:val="nl-NL"/>
        </w:rPr>
      </w:pPr>
      <w:r>
        <w:rPr>
          <w:rStyle w:val="FootnoteReference"/>
        </w:rPr>
        <w:footnoteRef/>
      </w:r>
      <w:r>
        <w:rPr>
          <w:lang w:val="nl-NL"/>
        </w:rPr>
        <w:t xml:space="preserve"> Prognose op basis van de cijfers van de nationale rekeningen. </w:t>
      </w:r>
    </w:p>
  </w:footnote>
  <w:footnote w:id="27">
    <w:p w:rsidR="00222D78" w:rsidRDefault="00E65635">
      <w:pPr>
        <w:jc w:val="both"/>
        <w:rPr>
          <w:lang w:val="nl-NL"/>
        </w:rPr>
      </w:pPr>
      <w:r>
        <w:rPr>
          <w:rStyle w:val="FootnoteReference"/>
        </w:rPr>
        <w:footnoteRef/>
      </w:r>
      <w:r>
        <w:rPr>
          <w:lang w:val="nl-NL"/>
        </w:rPr>
        <w:t xml:space="preserve"> </w:t>
      </w:r>
      <w:r>
        <w:rPr>
          <w:rFonts w:ascii="Times New Roman" w:hAnsi="Times New Roman"/>
          <w:lang w:val="nl-NL"/>
        </w:rPr>
        <w:t>Zie ook ECB, Economic Bulletin 0</w:t>
      </w:r>
      <w:r>
        <w:rPr>
          <w:rFonts w:ascii="Times New Roman" w:hAnsi="Times New Roman"/>
          <w:lang w:val="nl-NL"/>
        </w:rPr>
        <w:t xml:space="preserve">5/2018, Box 2. </w:t>
      </w:r>
    </w:p>
  </w:footnote>
  <w:footnote w:id="28">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Bij de beoordeling van de vooruitzichten voor het energiesaldo moet ook rekening worden gehouden met de geleidelijke structurele verbetering van het energiesaldo van de eurozone voor een bepaald niveau van olieprijzen in verband met het g</w:t>
      </w:r>
      <w:r>
        <w:rPr>
          <w:rFonts w:ascii="Times New Roman" w:hAnsi="Times New Roman"/>
          <w:lang w:val="nl-NL"/>
        </w:rPr>
        <w:t>edaalde gewicht van energie-intensieve activiteiten en de gestegen energie-efficiëntie van productieprocessen. Zie bv. IAE (2018), "Energy Efficiency 2017", International Energy Agency.</w:t>
      </w:r>
    </w:p>
  </w:footnote>
  <w:footnote w:id="29">
    <w:p w:rsidR="00222D78" w:rsidRDefault="00E65635">
      <w:pPr>
        <w:jc w:val="both"/>
        <w:rPr>
          <w:lang w:val="nl-NL"/>
        </w:rPr>
      </w:pPr>
      <w:r>
        <w:rPr>
          <w:rStyle w:val="FootnoteReference"/>
        </w:rPr>
        <w:footnoteRef/>
      </w:r>
      <w:r>
        <w:rPr>
          <w:lang w:val="nl-NL"/>
        </w:rPr>
        <w:t xml:space="preserve"> Zie Europese Commissie, Jaarlijkse groeianalyse 2019, en B. Pierluig</w:t>
      </w:r>
      <w:r>
        <w:rPr>
          <w:lang w:val="nl-NL"/>
        </w:rPr>
        <w:t>i and D. Sondermann (2018), "Macroeconomic imbalances in the euro area:</w:t>
      </w:r>
      <w:r>
        <w:rPr>
          <w:rFonts w:ascii="Times New Roman" w:hAnsi="Times New Roman"/>
          <w:lang w:val="nl-NL"/>
        </w:rPr>
        <w:t xml:space="preserve"> where do we stand?" </w:t>
      </w:r>
      <w:r>
        <w:rPr>
          <w:lang w:val="nl-NL"/>
        </w:rPr>
        <w:t>ECB Occasional Paper 211/2018.</w:t>
      </w:r>
    </w:p>
  </w:footnote>
  <w:footnote w:id="30">
    <w:p w:rsidR="00222D78" w:rsidRDefault="00E65635">
      <w:pPr>
        <w:jc w:val="both"/>
        <w:rPr>
          <w:lang w:val="nl-NL"/>
        </w:rPr>
      </w:pPr>
      <w:r>
        <w:rPr>
          <w:rStyle w:val="FootnoteReference"/>
        </w:rPr>
        <w:footnoteRef/>
      </w:r>
      <w:r>
        <w:rPr>
          <w:lang w:val="nl-NL"/>
        </w:rPr>
        <w:t xml:space="preserve"> Met deze factoren wordt rekening gehouden in landspecifieke benchmarks die door de Europese Commissie zijn ontwikkeld in samenwerki</w:t>
      </w:r>
      <w:r>
        <w:rPr>
          <w:lang w:val="nl-NL"/>
        </w:rPr>
        <w:t>ng met de EPC LIME Working Group (European Commission, "Benchmarks for the assessment of private debt", Note for the Economic Policy Committee, ARES (2017) 4970814). Een eerste benchmark maakt het mogelijk om de private schuld te toetsen aan waarden die ku</w:t>
      </w:r>
      <w:r>
        <w:rPr>
          <w:lang w:val="nl-NL"/>
        </w:rPr>
        <w:t>nnen worden verklaard op basis van economische fundamentals. Een tweede benchmark bestaat uit prudentiële drempels die gebaseerd zijn op het maximaliseren van de signaalsterkte bij het voorspellen van bankcrises en waarin landspecifieke informatie over ban</w:t>
      </w:r>
      <w:r>
        <w:rPr>
          <w:lang w:val="nl-NL"/>
        </w:rPr>
        <w:t>kkapitalisatie, overheidsschuld en het niveau van economische ontwikkeling is opgenomen. In de meeste EU-lidstaten liggen de private schuldquotes boven de drempel van het AMR-scorebord ook boven de beide landspecifieke benchmarks.</w:t>
      </w:r>
    </w:p>
  </w:footnote>
  <w:footnote w:id="31">
    <w:p w:rsidR="00222D78" w:rsidRDefault="00E65635">
      <w:pPr>
        <w:jc w:val="both"/>
        <w:rPr>
          <w:rFonts w:ascii="Times New Roman" w:hAnsi="Times New Roman" w:cs="Times New Roman"/>
          <w:sz w:val="18"/>
          <w:szCs w:val="18"/>
          <w:lang w:val="nl-NL"/>
        </w:rPr>
      </w:pPr>
      <w:r>
        <w:rPr>
          <w:rStyle w:val="FootnoteReference"/>
          <w:rFonts w:ascii="Times New Roman" w:hAnsi="Times New Roman"/>
        </w:rPr>
        <w:footnoteRef/>
      </w:r>
      <w:r>
        <w:rPr>
          <w:rFonts w:ascii="Times New Roman" w:hAnsi="Times New Roman"/>
          <w:lang w:val="nl-NL"/>
        </w:rPr>
        <w:t xml:space="preserve"> </w:t>
      </w:r>
      <w:r>
        <w:rPr>
          <w:lang w:val="nl-NL"/>
        </w:rPr>
        <w:t xml:space="preserve">Tsjechië en Slowakije </w:t>
      </w:r>
      <w:r>
        <w:rPr>
          <w:lang w:val="nl-NL"/>
        </w:rPr>
        <w:t>zijn de uitzonderingen. Bij de eerstgenoemde is de snelle groei van de passiva van de financiële sector in 2017 grotendeels toe te schrijven aan financiële transacties voorafgaand aan het einde van de wisselkoersverbintenis en weerspiegelt deze dus niet de</w:t>
      </w:r>
      <w:r>
        <w:rPr>
          <w:lang w:val="nl-NL"/>
        </w:rPr>
        <w:t xml:space="preserve"> binnenlandse kredietverleningsactiviteit. In Slowakije was de stijging voornamelijk te verklaren door een stijging van de passiva van de centrale bank aan niet-euro ingezetenen. Dit had verband kunnen houden met de reservebeheersdiensten die door de Natio</w:t>
      </w:r>
      <w:r>
        <w:rPr>
          <w:lang w:val="nl-NL"/>
        </w:rPr>
        <w:t>nale Bank van Slowakije worden aangeboden, die geen onmiddellijke impact hebben op de binnenlandse economie.</w:t>
      </w:r>
    </w:p>
  </w:footnote>
  <w:footnote w:id="32">
    <w:p w:rsidR="00222D78" w:rsidRDefault="00E65635">
      <w:pPr>
        <w:jc w:val="both"/>
        <w:rPr>
          <w:lang w:val="nl-NL"/>
        </w:rPr>
      </w:pPr>
      <w:r>
        <w:rPr>
          <w:rStyle w:val="FootnoteReference"/>
        </w:rPr>
        <w:footnoteRef/>
      </w:r>
      <w:r>
        <w:rPr>
          <w:lang w:val="nl-NL"/>
        </w:rPr>
        <w:t xml:space="preserve"> NPL's in de reeks aanvullende scorebordindicatoren wordt gedefinieerd als totale bruto NPL's en voorschotten als percentage van de totale bruto l</w:t>
      </w:r>
      <w:r>
        <w:rPr>
          <w:lang w:val="nl-NL"/>
        </w:rPr>
        <w:t>eningen en voorschotten (brutoboekwaarde), voor de rapporterende sector "binnenlandse bankgroepen en zelfstandige banken, dochterondernemingen onder buitenlandse zeggenschap en bijkantoren onder buitenlandse zeggenschap, alle instellingen". De waarden zijn</w:t>
      </w:r>
      <w:r>
        <w:rPr>
          <w:lang w:val="nl-NL"/>
        </w:rPr>
        <w:t xml:space="preserve"> opgenomen in tabel 2.1.</w:t>
      </w:r>
    </w:p>
  </w:footnote>
  <w:footnote w:id="33">
    <w:p w:rsidR="00222D78" w:rsidRDefault="00E65635">
      <w:pPr>
        <w:jc w:val="both"/>
        <w:rPr>
          <w:lang w:val="nl-NL"/>
        </w:rPr>
      </w:pPr>
      <w:r>
        <w:rPr>
          <w:rStyle w:val="FootnoteReference"/>
        </w:rPr>
        <w:footnoteRef/>
      </w:r>
      <w:r>
        <w:rPr>
          <w:lang w:val="nl-NL"/>
        </w:rPr>
        <w:t xml:space="preserve"> Geharmoniseerde NPL-ratio's zijn pas sinds 2014 beschikbaar. In grafiek 17 is de ratio van de bruto niet-renderende schuldinstrumenten ten opzichte van de totale bruto schuldinstrumenten weergegeven die in langere tijdreeksen bes</w:t>
      </w:r>
      <w:r>
        <w:rPr>
          <w:lang w:val="nl-NL"/>
        </w:rPr>
        <w:t xml:space="preserve">chikbaar is en die niet alleen betrekking heeft op leningen, maar ook op andere schuldinstrumenten die de banksector aanhoudt. Laatstgenoemde ratio is doorgaans iets lager dan de NPL-ratio. Het maximale verschil tussen de twee ratio's bedraagt momenteel 4 </w:t>
      </w:r>
      <w:r>
        <w:rPr>
          <w:lang w:val="nl-NL"/>
        </w:rPr>
        <w:t>ppt. (voor Griekenland), terwijl het voor de meeste lidstaten minder dan 1 ppt. bedraagt.</w:t>
      </w:r>
    </w:p>
  </w:footnote>
  <w:footnote w:id="34">
    <w:p w:rsidR="00222D78" w:rsidRDefault="00E65635">
      <w:pPr>
        <w:jc w:val="both"/>
        <w:rPr>
          <w:rFonts w:ascii="Times New Roman" w:hAnsi="Times New Roman" w:cs="Times New Roman"/>
          <w:lang w:val="nl-NL"/>
        </w:rPr>
      </w:pPr>
      <w:r>
        <w:rPr>
          <w:rStyle w:val="FootnoteReference"/>
          <w:rFonts w:ascii="Times New Roman" w:hAnsi="Times New Roman"/>
        </w:rPr>
        <w:footnoteRef/>
      </w:r>
      <w:r>
        <w:rPr>
          <w:rFonts w:ascii="Times New Roman" w:hAnsi="Times New Roman"/>
          <w:lang w:val="nl-NL"/>
        </w:rPr>
        <w:t xml:space="preserve"> De analyse van de prijswaarderingen is gebaseerd op een gemiddelde van drie maatstaven: i) de betaalbaarheidskloof (afwijking van prijzen/inkomens ten opzichte van het langetermijngemiddelde ervan); ii) de dividendkloof (afwijking van de prijzen/huren ten</w:t>
      </w:r>
      <w:r>
        <w:rPr>
          <w:rFonts w:ascii="Times New Roman" w:hAnsi="Times New Roman"/>
          <w:lang w:val="nl-NL"/>
        </w:rPr>
        <w:t xml:space="preserve"> opzichte van het langetermijngemiddelde ervan); en iii) schattingen van afwijkingen van de huizenprijzen van evenwichtswaarden die gerechtvaardigd zijn door huizenvraag en aanbodfundamentals. </w:t>
      </w:r>
      <w:r>
        <w:rPr>
          <w:rFonts w:ascii="Times New Roman" w:hAnsi="Times New Roman"/>
        </w:rPr>
        <w:t>Zie N. Philiponnet and A. Turrini (2017), "Assessing House Pric</w:t>
      </w:r>
      <w:r>
        <w:rPr>
          <w:rFonts w:ascii="Times New Roman" w:hAnsi="Times New Roman"/>
        </w:rPr>
        <w:t xml:space="preserve">e Developments in the EU", European Commission Discussion Paper 048, May 2017. </w:t>
      </w:r>
      <w:r>
        <w:rPr>
          <w:rFonts w:ascii="Times New Roman" w:hAnsi="Times New Roman"/>
          <w:lang w:val="nl-NL"/>
        </w:rPr>
        <w:t>Een alternatieve indicator op basis van huizenprijzenniveaus/ beschikbaar inkomen van huishoudens per capita duidt op mogelijke overwaarderingen in Kroatië, Cyprus en Estland, t</w:t>
      </w:r>
      <w:r>
        <w:rPr>
          <w:rFonts w:ascii="Times New Roman" w:hAnsi="Times New Roman"/>
          <w:lang w:val="nl-NL"/>
        </w:rPr>
        <w:t>erwijl aanwijzingen van overwaardering minder duidelijk zijn voor Denemarken, Tsjechië en Letland (zie Europese Commissie, Europese economische prognoses - winter 2016, European Economy, Institutional Paper no. 20, 2016 ( box 1.4)).</w:t>
      </w:r>
    </w:p>
  </w:footnote>
  <w:footnote w:id="35">
    <w:p w:rsidR="00222D78" w:rsidRDefault="00E65635">
      <w:pPr>
        <w:jc w:val="both"/>
        <w:rPr>
          <w:lang w:val="nl-NL"/>
        </w:rPr>
      </w:pPr>
      <w:r>
        <w:rPr>
          <w:rStyle w:val="FootnoteReference"/>
        </w:rPr>
        <w:footnoteRef/>
      </w:r>
      <w:r>
        <w:rPr>
          <w:lang w:val="nl-NL"/>
        </w:rPr>
        <w:t xml:space="preserve"> De gerapporteerde lan</w:t>
      </w:r>
      <w:r>
        <w:rPr>
          <w:lang w:val="nl-NL"/>
        </w:rPr>
        <w:t>den zijn die met een reële groei van de huizenprijzen in de eerste helft van 2018 die ten minste 2 ppt boven of onder het jaarlijkse groeipercentage liggen.</w:t>
      </w:r>
    </w:p>
  </w:footnote>
  <w:footnote w:id="36">
    <w:p w:rsidR="00222D78" w:rsidRDefault="00E65635">
      <w:pPr>
        <w:jc w:val="both"/>
        <w:rPr>
          <w:rFonts w:ascii="Times New Roman" w:hAnsi="Times New Roman" w:cs="Times New Roman"/>
          <w:lang w:val="nl-NL"/>
        </w:rPr>
      </w:pPr>
      <w:r>
        <w:rPr>
          <w:rStyle w:val="FootnoteReference"/>
          <w:rFonts w:ascii="Times New Roman" w:hAnsi="Times New Roman"/>
          <w:sz w:val="18"/>
        </w:rPr>
        <w:footnoteRef/>
      </w:r>
      <w:r>
        <w:rPr>
          <w:rFonts w:ascii="Times New Roman" w:hAnsi="Times New Roman"/>
          <w:sz w:val="18"/>
          <w:lang w:val="nl-NL"/>
        </w:rPr>
        <w:t xml:space="preserve"> De indicator </w:t>
      </w:r>
      <w:r>
        <w:rPr>
          <w:rFonts w:ascii="Times New Roman" w:hAnsi="Times New Roman"/>
          <w:i/>
          <w:sz w:val="18"/>
          <w:lang w:val="nl-NL"/>
        </w:rPr>
        <w:t>mensen die met armoede of sociale uitsluiting worden bedreigd (AROPE)</w:t>
      </w:r>
      <w:r>
        <w:rPr>
          <w:rFonts w:ascii="Times New Roman" w:hAnsi="Times New Roman"/>
          <w:sz w:val="18"/>
          <w:lang w:val="nl-NL"/>
        </w:rPr>
        <w:t xml:space="preserve"> heeft betrekki</w:t>
      </w:r>
      <w:r>
        <w:rPr>
          <w:rFonts w:ascii="Times New Roman" w:hAnsi="Times New Roman"/>
          <w:sz w:val="18"/>
          <w:lang w:val="nl-NL"/>
        </w:rPr>
        <w:t xml:space="preserve">ng op het percentage personen die kwetsbaar zijn volgens ten minste één van de drie sociale indicatoren: 1) </w:t>
      </w:r>
      <w:r>
        <w:rPr>
          <w:rFonts w:ascii="Times New Roman" w:hAnsi="Times New Roman"/>
          <w:i/>
          <w:sz w:val="18"/>
          <w:lang w:val="nl-NL"/>
        </w:rPr>
        <w:t>Het armoederisicopercentage (AROP)</w:t>
      </w:r>
      <w:r>
        <w:rPr>
          <w:rFonts w:ascii="Times New Roman" w:hAnsi="Times New Roman"/>
          <w:sz w:val="18"/>
          <w:lang w:val="nl-NL"/>
        </w:rPr>
        <w:t>, dat de monetaire armoede meet in verhouding tot de nationale inkomensverdeling en wordt berekend als het aandeel</w:t>
      </w:r>
      <w:r>
        <w:rPr>
          <w:rFonts w:ascii="Times New Roman" w:hAnsi="Times New Roman"/>
          <w:sz w:val="18"/>
          <w:lang w:val="nl-NL"/>
        </w:rPr>
        <w:t xml:space="preserve"> van de personen met een beschikbaar inkomen (gecorrigeerd voor de samenstelling van het huishouden) lager dan 60% van de nationale mediaan; 2) </w:t>
      </w:r>
      <w:r>
        <w:rPr>
          <w:rFonts w:ascii="Times New Roman" w:hAnsi="Times New Roman"/>
          <w:i/>
          <w:sz w:val="18"/>
          <w:lang w:val="nl-NL"/>
        </w:rPr>
        <w:t>Ernstige materiële deprivatie</w:t>
      </w:r>
      <w:r>
        <w:rPr>
          <w:rFonts w:ascii="Times New Roman" w:hAnsi="Times New Roman"/>
          <w:sz w:val="18"/>
          <w:lang w:val="nl-NL"/>
        </w:rPr>
        <w:t>, die betrekking heeft op indicatoren in verband met een gebrek aan middelen, en he</w:t>
      </w:r>
      <w:r>
        <w:rPr>
          <w:rFonts w:ascii="Times New Roman" w:hAnsi="Times New Roman"/>
          <w:sz w:val="18"/>
          <w:lang w:val="nl-NL"/>
        </w:rPr>
        <w:t xml:space="preserve">t aandeel mensen vertegenwoordigt die zich ten minste vier van de volgende negen elementen niet kunnen veroorloven, gebaseerd op het onvermogen om zich bepaalde specifieke soorten uitgaven te veroorloven; 3) </w:t>
      </w:r>
      <w:r>
        <w:rPr>
          <w:rFonts w:ascii="Times New Roman" w:hAnsi="Times New Roman"/>
          <w:i/>
          <w:sz w:val="18"/>
          <w:lang w:val="nl-NL"/>
        </w:rPr>
        <w:t xml:space="preserve">Mensen die deel uitmaken van een huishouden met </w:t>
      </w:r>
      <w:r>
        <w:rPr>
          <w:rFonts w:ascii="Times New Roman" w:hAnsi="Times New Roman"/>
          <w:i/>
          <w:sz w:val="18"/>
          <w:lang w:val="nl-NL"/>
        </w:rPr>
        <w:t>een zeer lage arbeidsintensiteit</w:t>
      </w:r>
      <w:r>
        <w:rPr>
          <w:rFonts w:ascii="Times New Roman" w:hAnsi="Times New Roman"/>
          <w:sz w:val="18"/>
          <w:lang w:val="nl-NL"/>
        </w:rPr>
        <w:t>, zijn personen tussen 0-59 jaar die deel uitmaken van een huishouden waar de volwassenen (in de leeftijd van 18-59 jaar) het afgelopen jaar minder dan 20% van hun totale potentiële arbeidstijd hebben gewerkt. De inkomensref</w:t>
      </w:r>
      <w:r>
        <w:rPr>
          <w:rFonts w:ascii="Times New Roman" w:hAnsi="Times New Roman"/>
          <w:sz w:val="18"/>
          <w:lang w:val="nl-NL"/>
        </w:rPr>
        <w:t>erentieperiode voor de gegevens achter deze maatstaven is een vaste periode van twaalf maanden, zoals het vorige kalenderjaar of belastingjaar waarop de gegevens voor alle landen betrekking hebben, behalve voor het Verenigd Koninkrijk, waarvoor de inkomens</w:t>
      </w:r>
      <w:r>
        <w:rPr>
          <w:rFonts w:ascii="Times New Roman" w:hAnsi="Times New Roman"/>
          <w:sz w:val="18"/>
          <w:lang w:val="nl-NL"/>
        </w:rPr>
        <w:t>referentieperiode het lopende jaar is, en Ierland, waarvoor de enquête doorloopt en het inkomen voor de laatste twaalf maanden wordt verzameld. Op het moment van schrijven zijn gegevens over 2017 beschikbaar voor alle landen behalve Ierland en het Verenigd</w:t>
      </w:r>
      <w:r>
        <w:rPr>
          <w:rFonts w:ascii="Times New Roman" w:hAnsi="Times New Roman"/>
          <w:sz w:val="18"/>
          <w:lang w:val="nl-NL"/>
        </w:rPr>
        <w:t xml:space="preserve"> Koninkrijk. </w:t>
      </w:r>
    </w:p>
  </w:footnote>
  <w:footnote w:id="37">
    <w:p w:rsidR="00222D78" w:rsidRDefault="00E65635">
      <w:pPr>
        <w:rPr>
          <w:lang w:val="nl-NL"/>
        </w:rPr>
      </w:pPr>
      <w:r>
        <w:rPr>
          <w:rStyle w:val="FootnoteReference"/>
        </w:rPr>
        <w:footnoteRef/>
      </w:r>
      <w:r>
        <w:rPr>
          <w:lang w:val="nl-NL"/>
        </w:rPr>
        <w:t xml:space="preserve"> “Contract manufacturing” is een proces waarin een gevestigde multinationale onderneming contracten met buitenlandse ondernemingen sluit om voor haar rekening goederen te produceren. Aangezien de gevestigde onderneming deze goederen bezit, w</w:t>
      </w:r>
      <w:r>
        <w:rPr>
          <w:lang w:val="nl-NL"/>
        </w:rPr>
        <w:t>ordt de verkoop ervan geboekt als uitvoer van het land van vestiging ook al circuleren deze goederen niet in de nationale economie.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635" w:rsidRPr="00E65635" w:rsidRDefault="00E65635" w:rsidP="00E6563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pPr>
      <w:jc w:val="center"/>
    </w:pPr>
  </w:p>
  <w:p w:rsidR="00222D78" w:rsidRDefault="00222D7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pPr>
      <w:pStyle w:val="Header"/>
      <w:jc w:val="center"/>
    </w:pPr>
  </w:p>
  <w:p w:rsidR="00222D78" w:rsidRDefault="00222D78"/>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D78" w:rsidRDefault="00222D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nl-NL" w:vendorID="64" w:dllVersion="131078" w:nlCheck="1" w:checkStyle="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7CEA3CBC-759E-4A03-9E10-67B29FB1EE35"/>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ssel, "/>
    <w:docVar w:name="LW_EMISSION_SUFFIX" w:val=" "/>
    <w:docVar w:name="LW_ID_DOCTYPE_NONLW" w:val="CP-003"/>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AN HET EUROPEES PARLEMENT, DE RAAD, DE EUROPESE CENTRALE BANK EN HET EUROPEES ECONOMISCH EN SOCIAAL COMITÉ _x000d__x000d__x000d__x000d__x000d__x000d__x000d__x000d__x000b__x000d__x000d__x000d__x000d__x000d__x000d__x000d__x000d__x000d__x000b_Waarschuwingsmechanismeverslag 2019_x000d__x000d__x000d__x000d__x000d__x000d__x000d__x000d__x000d__x000b__x000d__x000d__x000d__x000d__x000d__x000d__x000d__x000d__x000d__x000b_(opgesteld overeenkomstig artikelen 3 en 4 van Verordening (EU) nr. 1176/2011 betreffende de preventie en de correctie van macro-economische onevenwichtigheden)"/>
    <w:docVar w:name="LW_TYPE.DOC.CP" w:val="VERSLAG VAN DE COMMISSIE"/>
  </w:docVars>
  <w:rsids>
    <w:rsidRoot w:val="00222D78"/>
    <w:rsid w:val="00222D78"/>
    <w:rsid w:val="00E656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A8802C7-77B4-47DE-9718-9499C104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24451-96A2-4EC0-9200-89233146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21631</Words>
  <Characters>128494</Characters>
  <Application>Microsoft Office Word</Application>
  <DocSecurity>0</DocSecurity>
  <Lines>1862</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19</cp:revision>
  <cp:lastPrinted>2018-11-16T11:26:00Z</cp:lastPrinted>
  <dcterms:created xsi:type="dcterms:W3CDTF">2019-01-09T15:36:00Z</dcterms:created>
  <dcterms:modified xsi:type="dcterms:W3CDTF">2019-02-04T12:18:00Z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