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CCA97BC-0B1C-452C-9A74-28DA14339693" style="width:450pt;height:321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hAnsi="Times New Roman" w:cs="Times New Roman"/>
          <w:b/>
          <w:noProof/>
          <w:sz w:val="24"/>
        </w:rPr>
      </w:pPr>
      <w:bookmarkStart w:id="1" w:name="_GoBack"/>
      <w:bookmarkEnd w:id="1"/>
      <w:r>
        <w:rPr>
          <w:rFonts w:ascii="Times New Roman" w:hAnsi="Times New Roman"/>
          <w:b/>
          <w:noProof/>
          <w:sz w:val="24"/>
        </w:rPr>
        <w:lastRenderedPageBreak/>
        <w:t>RAPORT AL COMISIEI CĂTRE PARLAMENTUL EUROPEAN ȘI CONSILIU</w:t>
      </w:r>
    </w:p>
    <w:p>
      <w:pPr>
        <w:spacing w:before="360" w:after="360" w:line="240" w:lineRule="auto"/>
        <w:jc w:val="center"/>
        <w:rPr>
          <w:rFonts w:ascii="Times New Roman" w:hAnsi="Times New Roman" w:cs="Times New Roman"/>
          <w:b/>
          <w:noProof/>
          <w:sz w:val="24"/>
        </w:rPr>
      </w:pPr>
      <w:r>
        <w:rPr>
          <w:rFonts w:ascii="Times New Roman" w:hAnsi="Times New Roman"/>
          <w:b/>
          <w:noProof/>
          <w:sz w:val="24"/>
        </w:rPr>
        <w:t>cu privire la punerea în aplicare a Regulamentului (CE) nr. 1921/2006 al Parlamentului European și al Consiliului din 18 decembrie 2006 privind transmiterea de date statistice referitoare la debarcările de produse pescărești în statele membre</w:t>
      </w:r>
    </w:p>
    <w:p>
      <w:pPr>
        <w:rPr>
          <w:rFonts w:ascii="Times New Roman" w:hAnsi="Times New Roman" w:cs="Times New Roman"/>
          <w:b/>
          <w:bCs/>
          <w:noProof/>
          <w:sz w:val="24"/>
          <w:szCs w:val="24"/>
        </w:rPr>
      </w:pPr>
    </w:p>
    <w:p>
      <w:pPr>
        <w:rPr>
          <w:rFonts w:ascii="Times New Roman" w:hAnsi="Times New Roman" w:cs="Times New Roman"/>
          <w:b/>
          <w:bCs/>
          <w:noProof/>
          <w:sz w:val="24"/>
          <w:szCs w:val="24"/>
        </w:rPr>
      </w:pPr>
      <w:r>
        <w:rPr>
          <w:rFonts w:ascii="Times New Roman" w:hAnsi="Times New Roman"/>
          <w:b/>
          <w:noProof/>
          <w:sz w:val="24"/>
        </w:rPr>
        <w:t>1. CONTEXT</w:t>
      </w:r>
    </w:p>
    <w:p>
      <w:pPr>
        <w:jc w:val="both"/>
        <w:rPr>
          <w:rFonts w:ascii="Times New Roman" w:hAnsi="Times New Roman" w:cs="Times New Roman"/>
          <w:noProof/>
          <w:sz w:val="24"/>
          <w:szCs w:val="24"/>
        </w:rPr>
      </w:pPr>
      <w:r>
        <w:rPr>
          <w:rFonts w:ascii="Times New Roman" w:hAnsi="Times New Roman"/>
          <w:noProof/>
          <w:sz w:val="24"/>
        </w:rPr>
        <w:t>Comisia (Eurostat) colectează statistici privind debarcările de produse pescărești în temeiul Regulamentului (CE) nr. 1921/2006</w:t>
      </w:r>
      <w:r>
        <w:rPr>
          <w:rStyle w:val="FootnoteReference"/>
          <w:rFonts w:ascii="Times New Roman" w:hAnsi="Times New Roman"/>
          <w:noProof/>
          <w:sz w:val="24"/>
        </w:rPr>
        <w:footnoteReference w:id="1"/>
      </w:r>
      <w:r>
        <w:rPr>
          <w:rFonts w:ascii="Times New Roman" w:hAnsi="Times New Roman"/>
          <w:noProof/>
          <w:color w:val="000000"/>
          <w:sz w:val="24"/>
        </w:rPr>
        <w:t xml:space="preserve"> (denumit în continuare „regulamentul”)</w:t>
      </w:r>
      <w:r>
        <w:rPr>
          <w:rFonts w:ascii="Times New Roman" w:hAnsi="Times New Roman"/>
          <w:noProof/>
          <w:sz w:val="24"/>
        </w:rPr>
        <w:t>. În conformitate cu regulamentul, debarcările sunt definite ca fiind produsele pescărești debarcate pe teritoriul statelor membre de către navele de pescuit ale UE și ale AELS sau debarcate pe teritoriul din afara UE de către navele statelor membre și importate apoi în UE</w:t>
      </w:r>
      <w:r>
        <w:rPr>
          <w:rStyle w:val="FootnoteReference"/>
          <w:rFonts w:ascii="Times New Roman" w:hAnsi="Times New Roman"/>
          <w:noProof/>
          <w:sz w:val="24"/>
        </w:rPr>
        <w:footnoteReference w:id="2"/>
      </w:r>
      <w:r>
        <w:rPr>
          <w:rFonts w:ascii="Times New Roman" w:hAnsi="Times New Roman"/>
          <w:noProof/>
          <w:sz w:val="24"/>
        </w:rPr>
        <w:t>. Articolul 10 din regulament prevede că, o dată la trei ani, Comisia trebuie să prezinte Parlamentului European și Consiliului un raport care evaluează, în special, calitatea și relevanța datelor statistice. Raportul trebuie, de asemenea, să analizeze rentabilitatea sistemului utilizat pentru colectarea datelor statistice privind debarcările și să indice cele mai bune practici care ar putea fi partajate pentru a reduce sarcina de lucru la nivel național și pentru a spori utilitatea și calitatea datelor.</w:t>
      </w:r>
    </w:p>
    <w:p>
      <w:pPr>
        <w:jc w:val="both"/>
        <w:rPr>
          <w:rFonts w:ascii="Times New Roman" w:hAnsi="Times New Roman" w:cs="Times New Roman"/>
          <w:noProof/>
          <w:sz w:val="24"/>
          <w:szCs w:val="24"/>
        </w:rPr>
      </w:pPr>
      <w:r>
        <w:rPr>
          <w:rFonts w:ascii="Times New Roman" w:hAnsi="Times New Roman"/>
          <w:noProof/>
          <w:sz w:val="24"/>
        </w:rPr>
        <w:t>Regulamentul se aplică statelor membre ale UE și Norvegiei, Islandei și Liechtensteinului. Totuși, având în vedere că acesta se referă la debarcările de capturi marine, țările fără ieșire la mare sunt scutite de obligația de raportare a datelor.</w:t>
      </w:r>
    </w:p>
    <w:p>
      <w:pPr>
        <w:jc w:val="both"/>
        <w:rPr>
          <w:rFonts w:ascii="Times New Roman" w:hAnsi="Times New Roman" w:cs="Times New Roman"/>
          <w:noProof/>
          <w:sz w:val="24"/>
          <w:szCs w:val="24"/>
        </w:rPr>
      </w:pPr>
      <w:r>
        <w:rPr>
          <w:rFonts w:ascii="Times New Roman" w:hAnsi="Times New Roman"/>
          <w:noProof/>
          <w:sz w:val="24"/>
        </w:rPr>
        <w:t>Prezentul raport se bazează pe (i) rapoartele de calitate privind debarcările transmise către Eurostat de statele membre raportoare pentru anul de referință 2016, (ii) analiza de conformitate și (iii) datele privind costurile colectate de Eurostat.</w:t>
      </w:r>
    </w:p>
    <w:p>
      <w:pPr>
        <w:jc w:val="both"/>
        <w:rPr>
          <w:rFonts w:ascii="Times New Roman" w:hAnsi="Times New Roman" w:cs="Times New Roman"/>
          <w:noProof/>
          <w:sz w:val="24"/>
          <w:szCs w:val="24"/>
        </w:rPr>
      </w:pPr>
      <w:r>
        <w:rPr>
          <w:rFonts w:ascii="Times New Roman" w:hAnsi="Times New Roman"/>
          <w:noProof/>
          <w:sz w:val="24"/>
        </w:rPr>
        <w:t>Comisia a adoptat rapoartele anterioare de evaluare referitoare la statisticile privind debarcările prezentate în temeiul prezentului regulament în noiembrie 2010</w:t>
      </w:r>
      <w:r>
        <w:rPr>
          <w:rStyle w:val="FootnoteReference"/>
          <w:rFonts w:ascii="Times New Roman" w:hAnsi="Times New Roman"/>
          <w:noProof/>
          <w:sz w:val="24"/>
        </w:rPr>
        <w:footnoteReference w:id="3"/>
      </w:r>
      <w:r>
        <w:rPr>
          <w:rFonts w:ascii="Times New Roman" w:hAnsi="Times New Roman"/>
          <w:noProof/>
          <w:sz w:val="24"/>
        </w:rPr>
        <w:t>, în aprilie 2014</w:t>
      </w:r>
      <w:r>
        <w:rPr>
          <w:rStyle w:val="FootnoteReference"/>
          <w:rFonts w:ascii="Times New Roman" w:hAnsi="Times New Roman"/>
          <w:noProof/>
          <w:sz w:val="24"/>
        </w:rPr>
        <w:footnoteReference w:id="4"/>
      </w:r>
      <w:r>
        <w:rPr>
          <w:rFonts w:ascii="Times New Roman" w:hAnsi="Times New Roman"/>
          <w:noProof/>
          <w:sz w:val="24"/>
        </w:rPr>
        <w:t xml:space="preserve"> și în mai 2016</w:t>
      </w:r>
      <w:r>
        <w:rPr>
          <w:rStyle w:val="FootnoteReference"/>
          <w:rFonts w:ascii="Times New Roman" w:hAnsi="Times New Roman"/>
          <w:noProof/>
          <w:sz w:val="24"/>
        </w:rPr>
        <w:footnoteReference w:id="5"/>
      </w:r>
      <w:r>
        <w:rPr>
          <w:rFonts w:ascii="Times New Roman" w:hAnsi="Times New Roman"/>
          <w:noProof/>
          <w:sz w:val="24"/>
        </w:rPr>
        <w:t>.</w:t>
      </w:r>
    </w:p>
    <w:p>
      <w:pPr>
        <w:jc w:val="both"/>
        <w:rPr>
          <w:rFonts w:ascii="Times New Roman" w:hAnsi="Times New Roman" w:cs="Times New Roman"/>
          <w:b/>
          <w:noProof/>
          <w:sz w:val="24"/>
          <w:szCs w:val="24"/>
        </w:rPr>
      </w:pPr>
      <w:r>
        <w:rPr>
          <w:rFonts w:ascii="Times New Roman" w:hAnsi="Times New Roman"/>
          <w:noProof/>
          <w:sz w:val="24"/>
        </w:rPr>
        <w:t>De asemenea, statisticile Eurostat în domeniul pescuitului includ, pe lângă statisticile privind debarcările, statistici detaliate privind capturile, flota și acvacultura. Alte departamente ale Comisiei, în special DG Afaceri Maritime și Pescuit (DG MARE), colectează, de asemenea, o cantitate mare de date administrative pentru a gestiona politica comună în domeniul pescuitului. Statisticile colectate de Eurostat și datele administrative colectate de DG MARE se suprapun parțial. Eurostat a lansat o evaluare a statisticilor europene în domeniul pescuitului (care acoperă statisticile furnizate privind capturile, debarcările și acvacultura), care se axează pe evaluarea (i) relevanței, (ii) a eficacității, (iii) a eficienței, (iv) a coerenței, (v) a calității datelor statistice și (vi) a valorii adăugate la nivelul UE a statisticilor colectate în contextul tuturor datelor colectate de Comisie și de alte organizații internaționale.</w:t>
      </w:r>
    </w:p>
    <w:p>
      <w:pPr>
        <w:jc w:val="both"/>
        <w:rPr>
          <w:rFonts w:ascii="Times New Roman" w:hAnsi="Times New Roman" w:cs="Times New Roman"/>
          <w:noProof/>
          <w:sz w:val="24"/>
          <w:szCs w:val="24"/>
        </w:rPr>
      </w:pPr>
      <w:r>
        <w:rPr>
          <w:rFonts w:ascii="Times New Roman" w:hAnsi="Times New Roman"/>
          <w:noProof/>
          <w:sz w:val="24"/>
        </w:rPr>
        <w:t>Prezentul raport acoperă numai statisticile privind debarcările colectate de Eurostat, care intră sub incidența Regulamentului (CE) nr. 1921/2006.</w:t>
      </w:r>
    </w:p>
    <w:p>
      <w:pPr>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b/>
          <w:noProof/>
          <w:sz w:val="24"/>
        </w:rPr>
        <w:t>2. PRINCIPALELE CONCLUZII</w:t>
      </w:r>
    </w:p>
    <w:p>
      <w:pPr>
        <w:jc w:val="both"/>
        <w:rPr>
          <w:rFonts w:ascii="Times New Roman" w:hAnsi="Times New Roman" w:cs="Times New Roman"/>
          <w:b/>
          <w:noProof/>
          <w:sz w:val="24"/>
          <w:szCs w:val="24"/>
        </w:rPr>
      </w:pPr>
      <w:r>
        <w:rPr>
          <w:rFonts w:ascii="Times New Roman" w:hAnsi="Times New Roman"/>
          <w:b/>
          <w:noProof/>
          <w:sz w:val="24"/>
        </w:rPr>
        <w:t>2.1. Punctualitate și exhaustivitate</w:t>
      </w:r>
    </w:p>
    <w:p>
      <w:pPr>
        <w:jc w:val="both"/>
        <w:rPr>
          <w:rFonts w:ascii="Times New Roman" w:hAnsi="Times New Roman" w:cs="Times New Roman"/>
          <w:b/>
          <w:noProof/>
          <w:sz w:val="24"/>
          <w:szCs w:val="24"/>
        </w:rPr>
      </w:pPr>
      <w:r>
        <w:rPr>
          <w:rFonts w:ascii="Times New Roman" w:hAnsi="Times New Roman"/>
          <w:b/>
          <w:noProof/>
          <w:sz w:val="24"/>
        </w:rPr>
        <w:t>2.1.1. Punctualitate</w:t>
      </w:r>
    </w:p>
    <w:p>
      <w:pPr>
        <w:jc w:val="both"/>
        <w:rPr>
          <w:rFonts w:ascii="Times New Roman" w:hAnsi="Times New Roman" w:cs="Times New Roman"/>
          <w:noProof/>
          <w:sz w:val="24"/>
          <w:szCs w:val="24"/>
        </w:rPr>
      </w:pPr>
      <w:r>
        <w:rPr>
          <w:rFonts w:ascii="Times New Roman" w:hAnsi="Times New Roman"/>
          <w:noProof/>
          <w:sz w:val="24"/>
        </w:rPr>
        <w:t>Punctualitatea transmiterilor de date s-a îmbunătățit în ultimii ani, majoritatea statelor membre transmițând datele la timp. Pentru anul de referință 2016, datele transmise de jumătate din statele membre raportoare au necesitat unele corecții. Aceste modificări au fost furnizate într-un interval de timp acceptabil în majoritatea cazurilor.</w:t>
      </w:r>
    </w:p>
    <w:p>
      <w:pPr>
        <w:jc w:val="both"/>
        <w:rPr>
          <w:rFonts w:ascii="Times New Roman" w:hAnsi="Times New Roman" w:cs="Times New Roman"/>
          <w:noProof/>
          <w:sz w:val="24"/>
          <w:szCs w:val="24"/>
        </w:rPr>
      </w:pPr>
      <w:r>
        <w:rPr>
          <w:rFonts w:ascii="Times New Roman" w:hAnsi="Times New Roman"/>
          <w:noProof/>
          <w:sz w:val="24"/>
        </w:rPr>
        <w:t>Comisia (Eurostat) publică datele imediat după validarea lor și toate datele sunt disponibile în baza de date publică a Eurostat la o lună de la data limită de transmitere. Dacă este necesar, datele pot fi revizuite în orice moment.</w:t>
      </w:r>
    </w:p>
    <w:p>
      <w:pPr>
        <w:jc w:val="both"/>
        <w:rPr>
          <w:rFonts w:ascii="Times New Roman" w:hAnsi="Times New Roman" w:cs="Times New Roman"/>
          <w:b/>
          <w:noProof/>
          <w:sz w:val="24"/>
          <w:szCs w:val="24"/>
        </w:rPr>
      </w:pPr>
      <w:r>
        <w:rPr>
          <w:rFonts w:ascii="Times New Roman" w:hAnsi="Times New Roman"/>
          <w:b/>
          <w:noProof/>
          <w:sz w:val="24"/>
        </w:rPr>
        <w:t>2.1.2. Exhaustivitate</w:t>
      </w:r>
    </w:p>
    <w:p>
      <w:pPr>
        <w:jc w:val="both"/>
        <w:rPr>
          <w:rFonts w:ascii="Times New Roman" w:hAnsi="Times New Roman" w:cs="Times New Roman"/>
          <w:noProof/>
          <w:sz w:val="24"/>
          <w:szCs w:val="24"/>
        </w:rPr>
      </w:pPr>
      <w:r>
        <w:rPr>
          <w:rFonts w:ascii="Times New Roman" w:hAnsi="Times New Roman"/>
          <w:noProof/>
          <w:sz w:val="24"/>
        </w:rPr>
        <w:t>Exhaustivitatea datelor s-a îmbunătățit începând cu 2015. Prețurile unitare obligatorii pentru produsele pescărești, care au prezentat anterior probleme, sunt, în prezent, stabilite în majoritatea cazurilor. Eurostat a clarificat instrucțiunile de raportare relevante în cadrul reuniunii din 2015 a Grupului de experți privind statisticile în domeniul pescuitului.</w:t>
      </w:r>
    </w:p>
    <w:p>
      <w:pPr>
        <w:jc w:val="both"/>
        <w:rPr>
          <w:rFonts w:ascii="Times New Roman" w:hAnsi="Times New Roman" w:cs="Times New Roman"/>
          <w:noProof/>
          <w:sz w:val="24"/>
          <w:szCs w:val="24"/>
        </w:rPr>
      </w:pPr>
      <w:r>
        <w:rPr>
          <w:rFonts w:ascii="Times New Roman" w:hAnsi="Times New Roman"/>
          <w:noProof/>
          <w:sz w:val="24"/>
        </w:rPr>
        <w:t>Exhaustivitatea datelor s-a îmbunătățit și datorită măsurilor luate de unele state membre de a extinde în mod semnificativ sfera de acoperire a sondajului cu privire la tipurile de nave, navele străine și specii. Doar trei state membre au susținut că nu au colectat date privind debarcările de pe navele cu o lungime mai mică de 10 metri.</w:t>
      </w:r>
    </w:p>
    <w:p>
      <w:pPr>
        <w:jc w:val="both"/>
        <w:rPr>
          <w:rFonts w:ascii="Times New Roman" w:hAnsi="Times New Roman" w:cs="Times New Roman"/>
          <w:b/>
          <w:noProof/>
          <w:sz w:val="24"/>
          <w:szCs w:val="24"/>
        </w:rPr>
      </w:pPr>
      <w:r>
        <w:rPr>
          <w:rFonts w:ascii="Times New Roman" w:hAnsi="Times New Roman"/>
          <w:b/>
          <w:noProof/>
          <w:sz w:val="24"/>
        </w:rPr>
        <w:t>2.2. Coerența</w:t>
      </w:r>
    </w:p>
    <w:p>
      <w:pPr>
        <w:jc w:val="both"/>
        <w:rPr>
          <w:rFonts w:ascii="Times New Roman" w:hAnsi="Times New Roman" w:cs="Times New Roman"/>
          <w:b/>
          <w:noProof/>
          <w:sz w:val="24"/>
          <w:szCs w:val="24"/>
        </w:rPr>
      </w:pPr>
      <w:r>
        <w:rPr>
          <w:rFonts w:ascii="Times New Roman" w:hAnsi="Times New Roman"/>
          <w:b/>
          <w:noProof/>
          <w:sz w:val="24"/>
        </w:rPr>
        <w:t>2.2.1. Calitate și acuratețe</w:t>
      </w:r>
    </w:p>
    <w:p>
      <w:pPr>
        <w:jc w:val="both"/>
        <w:rPr>
          <w:rFonts w:ascii="Times New Roman" w:hAnsi="Times New Roman" w:cs="Times New Roman"/>
          <w:noProof/>
          <w:sz w:val="24"/>
          <w:szCs w:val="24"/>
        </w:rPr>
      </w:pPr>
      <w:r>
        <w:rPr>
          <w:rFonts w:ascii="Times New Roman" w:hAnsi="Times New Roman"/>
          <w:noProof/>
          <w:sz w:val="24"/>
        </w:rPr>
        <w:t>Calitatea generală a datelor a fost bună, iar o treime din statele membre au raportat că calitatea s-a îmbunătățit de la ultimul raport de evaluare. Majoritatea statelor membre au considerat că atât rata de non-răspuns, cât și sub-acoperirea au fost foarte scăzute. Un număr foarte limitat de state membre au raportat erori de măsurare sau de eșantionare, în timp ce o posibilă clasificare eronată a fost considerată ca neavând un impact asupra calității datelor. În jumătate din țările raportoare, debarcările au fost verificate încrucișat cu statisticile privind capturile sau cu alte surse de date naționale ca parte a unei proceduri de verificare.</w:t>
      </w:r>
    </w:p>
    <w:p>
      <w:pPr>
        <w:jc w:val="both"/>
        <w:rPr>
          <w:rFonts w:ascii="Times New Roman" w:hAnsi="Times New Roman" w:cs="Times New Roman"/>
          <w:b/>
          <w:noProof/>
          <w:sz w:val="24"/>
          <w:szCs w:val="24"/>
        </w:rPr>
      </w:pPr>
      <w:r>
        <w:rPr>
          <w:rFonts w:ascii="Times New Roman" w:hAnsi="Times New Roman"/>
          <w:b/>
          <w:noProof/>
          <w:sz w:val="24"/>
        </w:rPr>
        <w:t>2.2.2. Comparabilitate</w:t>
      </w:r>
    </w:p>
    <w:p>
      <w:pPr>
        <w:jc w:val="both"/>
        <w:rPr>
          <w:rFonts w:ascii="Times New Roman" w:hAnsi="Times New Roman" w:cs="Times New Roman"/>
          <w:noProof/>
          <w:sz w:val="24"/>
          <w:szCs w:val="24"/>
        </w:rPr>
      </w:pPr>
      <w:r>
        <w:rPr>
          <w:rFonts w:ascii="Times New Roman" w:hAnsi="Times New Roman"/>
          <w:noProof/>
          <w:sz w:val="24"/>
        </w:rPr>
        <w:t>Orientările de raportare furnizate de Eurostat au clarificat tipurile de debarcări reglementate de regulament. Pe lângă îmbunătățirea exhaustivității datelor, acestea au îmbunătățit comparabilitatea datelor între țări.</w:t>
      </w:r>
    </w:p>
    <w:p>
      <w:pPr>
        <w:jc w:val="both"/>
        <w:rPr>
          <w:rFonts w:ascii="Times New Roman" w:hAnsi="Times New Roman" w:cs="Times New Roman"/>
          <w:b/>
          <w:noProof/>
          <w:sz w:val="24"/>
          <w:szCs w:val="24"/>
        </w:rPr>
      </w:pPr>
      <w:r>
        <w:rPr>
          <w:rFonts w:ascii="Times New Roman" w:hAnsi="Times New Roman"/>
          <w:b/>
          <w:noProof/>
          <w:sz w:val="24"/>
        </w:rPr>
        <w:t>2.3. Relevanță</w:t>
      </w:r>
    </w:p>
    <w:p>
      <w:pPr>
        <w:jc w:val="both"/>
        <w:rPr>
          <w:rFonts w:ascii="Times New Roman" w:hAnsi="Times New Roman" w:cs="Times New Roman"/>
          <w:noProof/>
          <w:sz w:val="24"/>
          <w:szCs w:val="24"/>
        </w:rPr>
      </w:pPr>
      <w:r>
        <w:rPr>
          <w:rFonts w:ascii="Times New Roman" w:hAnsi="Times New Roman"/>
          <w:noProof/>
          <w:sz w:val="24"/>
        </w:rPr>
        <w:t>Statisticile privind volumele și prețurile produselor pescărești debarcate pe teritoriul UE contribuie la angajamentele Comisiei în ceea ce privește cunoașterea pieței. Datele sunt esențiale pentru monitorizarea și analizarea piețelor de produse pescărești din UE de-a lungul lanțului de aprovizionare.</w:t>
      </w:r>
    </w:p>
    <w:p>
      <w:pPr>
        <w:jc w:val="both"/>
        <w:rPr>
          <w:rFonts w:ascii="Times New Roman" w:hAnsi="Times New Roman" w:cs="Times New Roman"/>
          <w:noProof/>
          <w:sz w:val="24"/>
          <w:szCs w:val="24"/>
        </w:rPr>
      </w:pPr>
      <w:r>
        <w:rPr>
          <w:rFonts w:ascii="Times New Roman" w:hAnsi="Times New Roman"/>
          <w:noProof/>
          <w:sz w:val="24"/>
        </w:rPr>
        <w:t>Acestea ar putea fi, de asemenea, relevante în contextul obligației de debarcare</w:t>
      </w:r>
      <w:r>
        <w:rPr>
          <w:rStyle w:val="FootnoteReference"/>
          <w:rFonts w:ascii="Times New Roman" w:hAnsi="Times New Roman"/>
          <w:noProof/>
          <w:sz w:val="24"/>
        </w:rPr>
        <w:footnoteReference w:id="6"/>
      </w:r>
      <w:r>
        <w:rPr>
          <w:rFonts w:ascii="Times New Roman" w:hAnsi="Times New Roman"/>
          <w:noProof/>
          <w:sz w:val="24"/>
        </w:rPr>
        <w:t xml:space="preserve"> care impune debarcarea tuturor capturilor de specii comerciale reglementate și scăderea capturilor din cotele relevante.</w:t>
      </w:r>
    </w:p>
    <w:p>
      <w:pPr>
        <w:jc w:val="both"/>
        <w:rPr>
          <w:rFonts w:ascii="Times New Roman" w:hAnsi="Times New Roman" w:cs="Times New Roman"/>
          <w:noProof/>
          <w:sz w:val="24"/>
          <w:szCs w:val="24"/>
        </w:rPr>
      </w:pPr>
      <w:r>
        <w:rPr>
          <w:rFonts w:ascii="Times New Roman" w:hAnsi="Times New Roman"/>
          <w:noProof/>
          <w:sz w:val="24"/>
        </w:rPr>
        <w:t>Statele membre au declarat că toate nevoile utilizatorilor au fost îndeplinite integral la nivel național. În cazul în care există deja o legislație națională, aceasta acoperă toate variabilele impuse de regulamentul UE.</w:t>
      </w:r>
    </w:p>
    <w:p>
      <w:pPr>
        <w:jc w:val="both"/>
        <w:rPr>
          <w:rFonts w:ascii="Times New Roman" w:hAnsi="Times New Roman" w:cs="Times New Roman"/>
          <w:b/>
          <w:noProof/>
          <w:sz w:val="24"/>
          <w:szCs w:val="24"/>
        </w:rPr>
      </w:pPr>
      <w:r>
        <w:rPr>
          <w:rFonts w:ascii="Times New Roman" w:hAnsi="Times New Roman"/>
          <w:b/>
          <w:noProof/>
          <w:sz w:val="24"/>
        </w:rPr>
        <w:t>2.4. Accesibilitate</w:t>
      </w:r>
    </w:p>
    <w:p>
      <w:pPr>
        <w:jc w:val="both"/>
        <w:rPr>
          <w:rFonts w:ascii="Times New Roman" w:hAnsi="Times New Roman" w:cs="Times New Roman"/>
          <w:b/>
          <w:noProof/>
          <w:sz w:val="24"/>
          <w:szCs w:val="24"/>
        </w:rPr>
      </w:pPr>
      <w:r>
        <w:rPr>
          <w:rFonts w:ascii="Times New Roman" w:hAnsi="Times New Roman"/>
          <w:b/>
          <w:noProof/>
          <w:sz w:val="24"/>
        </w:rPr>
        <w:t>2.4.1. Baza de date online</w:t>
      </w:r>
    </w:p>
    <w:p>
      <w:pPr>
        <w:jc w:val="both"/>
        <w:rPr>
          <w:rFonts w:ascii="Times New Roman" w:hAnsi="Times New Roman" w:cs="Times New Roman"/>
          <w:noProof/>
          <w:sz w:val="24"/>
          <w:szCs w:val="24"/>
        </w:rPr>
      </w:pPr>
      <w:r>
        <w:rPr>
          <w:rFonts w:ascii="Times New Roman" w:hAnsi="Times New Roman"/>
          <w:noProof/>
          <w:sz w:val="24"/>
        </w:rPr>
        <w:t>Statisticile privind debarcările sunt disponibile în baza de date publică</w:t>
      </w:r>
      <w:r>
        <w:rPr>
          <w:rStyle w:val="FootnoteReference"/>
          <w:rFonts w:ascii="Times New Roman" w:hAnsi="Times New Roman"/>
          <w:noProof/>
          <w:sz w:val="24"/>
        </w:rPr>
        <w:footnoteReference w:id="7"/>
      </w:r>
      <w:r>
        <w:rPr>
          <w:rFonts w:ascii="Times New Roman" w:hAnsi="Times New Roman"/>
          <w:noProof/>
          <w:sz w:val="24"/>
        </w:rPr>
        <w:t xml:space="preserve"> a Comisiei (Eurostat) în tabele detaliate pentru fiecare țară, precum și într-un tabel general de sinteză care prezintă datele UE și datele naționale la un nivel mai agregat.</w:t>
      </w:r>
    </w:p>
    <w:p>
      <w:pPr>
        <w:jc w:val="both"/>
        <w:rPr>
          <w:rFonts w:ascii="Times New Roman" w:hAnsi="Times New Roman" w:cs="Times New Roman"/>
          <w:noProof/>
          <w:sz w:val="24"/>
          <w:szCs w:val="24"/>
        </w:rPr>
      </w:pPr>
      <w:r>
        <w:rPr>
          <w:rFonts w:ascii="Times New Roman" w:hAnsi="Times New Roman"/>
          <w:noProof/>
          <w:sz w:val="24"/>
        </w:rPr>
        <w:t>Jumătate din statele membre raportoare publică, de asemenea, datele la nivel național în baze de date online pe care utilizatorii le pot accesa.</w:t>
      </w:r>
    </w:p>
    <w:p>
      <w:pPr>
        <w:jc w:val="both"/>
        <w:rPr>
          <w:rFonts w:ascii="Times New Roman" w:hAnsi="Times New Roman" w:cs="Times New Roman"/>
          <w:b/>
          <w:noProof/>
          <w:sz w:val="24"/>
          <w:szCs w:val="24"/>
        </w:rPr>
      </w:pPr>
      <w:r>
        <w:rPr>
          <w:rFonts w:ascii="Times New Roman" w:hAnsi="Times New Roman"/>
          <w:b/>
          <w:noProof/>
          <w:sz w:val="24"/>
        </w:rPr>
        <w:t>2.4.2. Publicații și tabele de date</w:t>
      </w:r>
    </w:p>
    <w:p>
      <w:pPr>
        <w:jc w:val="both"/>
        <w:rPr>
          <w:rFonts w:ascii="Times New Roman" w:hAnsi="Times New Roman" w:cs="Times New Roman"/>
          <w:noProof/>
          <w:sz w:val="24"/>
          <w:szCs w:val="24"/>
        </w:rPr>
      </w:pPr>
      <w:r>
        <w:rPr>
          <w:rFonts w:ascii="Times New Roman" w:hAnsi="Times New Roman"/>
          <w:noProof/>
          <w:sz w:val="24"/>
        </w:rPr>
        <w:t>Comisia (Eurostat) publică date și articole referitoare la statisticile privind debarcările în colecția sa online „Statistici explicate” și în registrele statistice</w:t>
      </w:r>
      <w:r>
        <w:rPr>
          <w:rStyle w:val="FootnoteReference"/>
          <w:rFonts w:ascii="Times New Roman" w:hAnsi="Times New Roman"/>
          <w:noProof/>
          <w:sz w:val="24"/>
        </w:rPr>
        <w:footnoteReference w:id="8"/>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Jumătate din țările raportoare au realizat publicații electronice.</w:t>
      </w:r>
    </w:p>
    <w:p>
      <w:pPr>
        <w:jc w:val="both"/>
        <w:rPr>
          <w:rFonts w:ascii="Times New Roman" w:hAnsi="Times New Roman" w:cs="Times New Roman"/>
          <w:b/>
          <w:noProof/>
          <w:sz w:val="24"/>
          <w:szCs w:val="24"/>
        </w:rPr>
      </w:pPr>
      <w:r>
        <w:rPr>
          <w:noProof/>
        </w:rPr>
        <w:br w:type="page"/>
      </w:r>
    </w:p>
    <w:p>
      <w:pPr>
        <w:jc w:val="both"/>
        <w:rPr>
          <w:rFonts w:ascii="Times New Roman" w:hAnsi="Times New Roman" w:cs="Times New Roman"/>
          <w:b/>
          <w:noProof/>
          <w:sz w:val="24"/>
          <w:szCs w:val="24"/>
        </w:rPr>
      </w:pPr>
      <w:r>
        <w:rPr>
          <w:rFonts w:ascii="Times New Roman" w:hAnsi="Times New Roman"/>
          <w:b/>
          <w:noProof/>
          <w:sz w:val="24"/>
        </w:rPr>
        <w:t>2.4.3. Metadate</w:t>
      </w:r>
    </w:p>
    <w:p>
      <w:pPr>
        <w:jc w:val="both"/>
        <w:rPr>
          <w:rFonts w:ascii="Times New Roman" w:hAnsi="Times New Roman" w:cs="Times New Roman"/>
          <w:noProof/>
          <w:sz w:val="24"/>
          <w:szCs w:val="24"/>
        </w:rPr>
      </w:pPr>
      <w:r>
        <w:rPr>
          <w:rFonts w:ascii="Times New Roman" w:hAnsi="Times New Roman"/>
          <w:noProof/>
          <w:sz w:val="24"/>
        </w:rPr>
        <w:t>O dată la trei ani, Comisia (Eurostat) colectează rapoarte naționale privind calitatea pe care se bazează prezentul raport. Rapoartele naționale includ informații detaliate cu privire la calitatea datelor și metodele utilizate la colectarea acestora. Rapoartele naționale privind calitatea respectă orientările Sistemului Statistic European (SSE) și sunt colectate în cadrul instrumentului SSE de gestionare a metadatelor statistice („ESS Metadata Handler”).</w:t>
      </w:r>
    </w:p>
    <w:p>
      <w:pPr>
        <w:jc w:val="both"/>
        <w:rPr>
          <w:rFonts w:ascii="Times New Roman" w:hAnsi="Times New Roman" w:cs="Times New Roman"/>
          <w:b/>
          <w:noProof/>
          <w:sz w:val="24"/>
          <w:szCs w:val="24"/>
        </w:rPr>
      </w:pPr>
      <w:r>
        <w:rPr>
          <w:rFonts w:ascii="Times New Roman" w:hAnsi="Times New Roman"/>
          <w:b/>
          <w:noProof/>
          <w:sz w:val="24"/>
        </w:rPr>
        <w:t>2.5. Confidențialitatea datelor</w:t>
      </w:r>
    </w:p>
    <w:p>
      <w:pPr>
        <w:jc w:val="both"/>
        <w:rPr>
          <w:rFonts w:ascii="Times New Roman" w:hAnsi="Times New Roman" w:cs="Times New Roman"/>
          <w:noProof/>
          <w:sz w:val="24"/>
          <w:szCs w:val="24"/>
        </w:rPr>
      </w:pPr>
      <w:r>
        <w:rPr>
          <w:rFonts w:ascii="Times New Roman" w:hAnsi="Times New Roman"/>
          <w:noProof/>
          <w:sz w:val="24"/>
        </w:rPr>
        <w:t>Există foarte puține variabile confidențiale în statisticile privind debarcările transmise Comisiei (Eurostat). În 2016, două state membre s-au confruntat cu probleme legate de confidențialitate din cauza activității unei singure nave de pescuit într-o anumită zonă de pescuit. Ca urmare, volumul și valoarea totală au rămas confidențiale pentru datele totale disponibile la nivelul UE. Cu toate acestea, proporția datelor confidențiale pentru datele totale disponibile la nivelul UE a fost limitată: pentru anul 2016, aceasta a reprezentat doar 1,5% din numărul total al valorilor publicate pentru UE-28 în baza de date publică a Comisiei (Eurostat).</w:t>
      </w:r>
    </w:p>
    <w:p>
      <w:pPr>
        <w:jc w:val="both"/>
        <w:rPr>
          <w:rFonts w:ascii="Times New Roman" w:hAnsi="Times New Roman" w:cs="Times New Roman"/>
          <w:b/>
          <w:noProof/>
          <w:sz w:val="24"/>
          <w:szCs w:val="24"/>
        </w:rPr>
      </w:pPr>
      <w:r>
        <w:rPr>
          <w:rFonts w:ascii="Times New Roman" w:hAnsi="Times New Roman"/>
          <w:b/>
          <w:noProof/>
          <w:sz w:val="24"/>
        </w:rPr>
        <w:t>3. SARCINA ȘI RENTABILITATEA</w:t>
      </w:r>
    </w:p>
    <w:p>
      <w:pPr>
        <w:jc w:val="both"/>
        <w:rPr>
          <w:rFonts w:ascii="Times New Roman" w:hAnsi="Times New Roman" w:cs="Times New Roman"/>
          <w:noProof/>
          <w:sz w:val="24"/>
          <w:szCs w:val="24"/>
        </w:rPr>
      </w:pPr>
      <w:r>
        <w:rPr>
          <w:rFonts w:ascii="Times New Roman" w:hAnsi="Times New Roman"/>
          <w:noProof/>
          <w:sz w:val="24"/>
        </w:rPr>
        <w:t>Jumătate din statele membre raportoare au susținut că au înregistrat o eficiență sporită de la ultimul raport. O treime dintre acestea au declarat că au reușit să reducă sarcina suportată de respondenți prin introducerea unor chestionare mai ușor de utilizat sau a unor metode de transmitere mai ușoară a datelor.</w:t>
      </w:r>
    </w:p>
    <w:p>
      <w:pPr>
        <w:jc w:val="both"/>
        <w:rPr>
          <w:rFonts w:ascii="Times New Roman" w:hAnsi="Times New Roman" w:cs="Times New Roman"/>
          <w:noProof/>
          <w:sz w:val="24"/>
          <w:szCs w:val="24"/>
        </w:rPr>
      </w:pPr>
      <w:r>
        <w:rPr>
          <w:rFonts w:ascii="Times New Roman" w:hAnsi="Times New Roman"/>
          <w:noProof/>
          <w:sz w:val="24"/>
        </w:rPr>
        <w:t>SSE a efectuat o analiză a procesului de colectare a datelor pentru furnizarea de statistici europene din perspectiva sarcinii și a costurilor. Aproximativ 17 state membre (din 23 care raportează statistici privind debarcările) au transmis cifre privind sarcina, exprimate în echivalent normă întreagă (ENI). În plus, pentru cele trei state membre care nu au putut furniza decât o cifră totală pentru statisticile privind atât capturile de pescuit, cât și debarcările, sarcina pentru debarcări a fost estimată la aproximativ jumătate din cifra totală. Sarcina a variat între 0,01 și 11 ENI și a fost mai mică de 0,25 ENI pentru jumătate din statele membre care au raportat cifre privind sarcina.</w:t>
      </w:r>
    </w:p>
    <w:p>
      <w:pPr>
        <w:jc w:val="both"/>
        <w:rPr>
          <w:rFonts w:ascii="Times New Roman" w:hAnsi="Times New Roman" w:cs="Times New Roman"/>
          <w:noProof/>
          <w:sz w:val="24"/>
          <w:szCs w:val="24"/>
        </w:rPr>
      </w:pPr>
      <w:r>
        <w:rPr>
          <w:rFonts w:ascii="Times New Roman" w:hAnsi="Times New Roman"/>
          <w:noProof/>
          <w:sz w:val="24"/>
        </w:rPr>
        <w:t>Aproximativ 17 țări au transmis cifre care au inclus costuri directe și indirecte. Pentru cele două state membre care nu au putut face distincția între costurile aferente colectării datelor privind capturile și costurile aferente colectării datelor privind debarcările, costul a fost estimat la aproximativ jumătate din total. Costul mediu anual pentru colectarea datelor statistice privind debarcările naționale a fost de aproximativ 109 000 EUR pentru fiecare țară. În comparație cu valoarea totală a debarcărilor, costul total al colectării datelor privind debarcările a fost de 0,08 % din valoarea totală a debarcărilor.</w:t>
      </w:r>
    </w:p>
    <w:p>
      <w:pPr>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b/>
          <w:noProof/>
          <w:sz w:val="24"/>
        </w:rPr>
        <w:t>4. CONCLUZII</w:t>
      </w:r>
    </w:p>
    <w:p>
      <w:pPr>
        <w:jc w:val="both"/>
        <w:rPr>
          <w:rFonts w:ascii="Times New Roman" w:hAnsi="Times New Roman" w:cs="Times New Roman"/>
          <w:noProof/>
          <w:sz w:val="24"/>
          <w:szCs w:val="24"/>
        </w:rPr>
      </w:pPr>
      <w:r>
        <w:rPr>
          <w:rFonts w:ascii="Times New Roman" w:hAnsi="Times New Roman"/>
          <w:noProof/>
          <w:sz w:val="24"/>
        </w:rPr>
        <w:t>În ultimii ani, statisticile privind debarcările s-au îmbunătățit în ceea ce privește punctualitatea, exhaustivitatea și coerența. Statele membre furnizează informații fiabile cu privire la volumul și valoarea produselor pescărești debarcate în UE și date detaliate foarte utile la nivel de specii care vor fi utilizate pentru analizarea pieței de pește din UE.</w:t>
      </w:r>
    </w:p>
    <w:p>
      <w:pPr>
        <w:jc w:val="both"/>
        <w:rPr>
          <w:rFonts w:ascii="Times New Roman" w:hAnsi="Times New Roman" w:cs="Times New Roman"/>
          <w:noProof/>
          <w:sz w:val="24"/>
          <w:szCs w:val="24"/>
        </w:rPr>
      </w:pPr>
      <w:r>
        <w:rPr>
          <w:rFonts w:ascii="Times New Roman" w:hAnsi="Times New Roman"/>
          <w:noProof/>
          <w:sz w:val="24"/>
        </w:rPr>
        <w:t>Orientările de raportare ale Eurostat au contribuit la îmbunătățirea coerenței datelor privind debarcările. În paralel, măsurile luate de furnizorii de date la nivel național au avut ca rezultat un nivel mai ridicat de exhaustivitate și punctualitate.</w:t>
      </w:r>
    </w:p>
    <w:p>
      <w:pPr>
        <w:jc w:val="both"/>
        <w:rPr>
          <w:rFonts w:ascii="Times New Roman" w:hAnsi="Times New Roman" w:cs="Times New Roman"/>
          <w:noProof/>
          <w:sz w:val="24"/>
          <w:szCs w:val="24"/>
        </w:rPr>
      </w:pPr>
      <w:r>
        <w:rPr>
          <w:rFonts w:ascii="Times New Roman" w:hAnsi="Times New Roman"/>
          <w:noProof/>
          <w:sz w:val="24"/>
        </w:rPr>
        <w:t>Costul anual pentru producerea datelor statistice privind debarcările a fost în medie de 109 000 EUR pentru fiecare stat membru. Cu toate acestea, proporția medie a costurilor de colectare a datelor statistice privind debarcările în valoarea economică totală a debarcărilor a fost sub 0,1 %.</w:t>
      </w:r>
    </w:p>
    <w:p>
      <w:pPr>
        <w:jc w:val="both"/>
        <w:rPr>
          <w:rFonts w:ascii="Times New Roman" w:hAnsi="Times New Roman" w:cs="Times New Roman"/>
          <w:b/>
          <w:noProof/>
          <w:sz w:val="24"/>
          <w:szCs w:val="24"/>
        </w:rPr>
      </w:pPr>
    </w:p>
    <w:p>
      <w:pPr>
        <w:jc w:val="both"/>
        <w:rPr>
          <w:rFonts w:ascii="Times New Roman" w:hAnsi="Times New Roman" w:cs="Times New Roman"/>
          <w:b/>
          <w:noProof/>
          <w:sz w:val="24"/>
          <w:szCs w:val="24"/>
        </w:rPr>
      </w:pPr>
      <w:r>
        <w:rPr>
          <w:rFonts w:ascii="Times New Roman" w:hAnsi="Times New Roman"/>
          <w:b/>
          <w:noProof/>
          <w:sz w:val="24"/>
        </w:rPr>
        <w:t>5. RECOMANDĂRI</w:t>
      </w:r>
    </w:p>
    <w:p>
      <w:pPr>
        <w:jc w:val="both"/>
        <w:rPr>
          <w:rFonts w:ascii="Times New Roman" w:hAnsi="Times New Roman" w:cs="Times New Roman"/>
          <w:noProof/>
          <w:sz w:val="24"/>
          <w:szCs w:val="24"/>
        </w:rPr>
      </w:pPr>
      <w:r>
        <w:rPr>
          <w:rFonts w:ascii="Times New Roman" w:hAnsi="Times New Roman"/>
          <w:noProof/>
          <w:sz w:val="24"/>
        </w:rPr>
        <w:t>La nivel național, țările ar trebui să încurajeze în continuare utilizarea chestionarelor electronice, întrucât acest lucru contribuie la eficientizarea colectării datelor.</w:t>
      </w:r>
    </w:p>
    <w:p>
      <w:pPr>
        <w:jc w:val="both"/>
        <w:rPr>
          <w:rFonts w:ascii="Times New Roman" w:hAnsi="Times New Roman" w:cs="Times New Roman"/>
          <w:noProof/>
          <w:sz w:val="24"/>
          <w:szCs w:val="24"/>
        </w:rPr>
      </w:pPr>
      <w:r>
        <w:rPr>
          <w:rFonts w:ascii="Times New Roman" w:hAnsi="Times New Roman"/>
          <w:noProof/>
          <w:sz w:val="24"/>
        </w:rPr>
        <w:t>O procedură sistematică de verificare încrucișată cu alte date naționale ar asigura o mai bună coerență a datelor. Automatizarea controalelor de validare ar spori, de asemenea, fiabilitatea datelor.</w:t>
      </w:r>
    </w:p>
    <w:p>
      <w:pPr>
        <w:jc w:val="both"/>
        <w:rPr>
          <w:rFonts w:ascii="Times New Roman" w:hAnsi="Times New Roman" w:cs="Times New Roman"/>
          <w:noProof/>
          <w:sz w:val="24"/>
          <w:szCs w:val="24"/>
        </w:rPr>
      </w:pPr>
      <w:r>
        <w:rPr>
          <w:rFonts w:ascii="Times New Roman" w:hAnsi="Times New Roman"/>
          <w:noProof/>
          <w:sz w:val="24"/>
        </w:rPr>
        <w:t>Comisia (Eurostat) depune eforturi pentru îmbunătățirea constantă a calității și a disponibilității statisticilor europene. Ea s-a angajat, de asemenea, să reducă sarcina statelor membre și a respondenților. În acest scop, ea a inclus în programul său anual de lucru pentru 2018</w:t>
      </w:r>
      <w:r>
        <w:rPr>
          <w:rStyle w:val="FootnoteReference"/>
          <w:rFonts w:ascii="Times New Roman" w:hAnsi="Times New Roman"/>
          <w:noProof/>
          <w:sz w:val="24"/>
        </w:rPr>
        <w:footnoteReference w:id="9"/>
      </w:r>
      <w:r>
        <w:rPr>
          <w:rFonts w:ascii="Times New Roman" w:hAnsi="Times New Roman"/>
          <w:noProof/>
          <w:sz w:val="24"/>
        </w:rPr>
        <w:t xml:space="preserve"> un proiect privind raționalizarea și simplificarea statisticilor în domeniul pescuitului. Acest proiect include o evaluare a statisticilor în domeniul pescuitului (capturi, debarcări și acvacultură) pe care Eurostat le colectează în prezent. Evaluarea va fi efectuată în contextul general al datelor privind pescuitul colectate de alte direcții generale ale Comisiei și organizații internaționale. Aceasta va contribui la elaborarea unei strategii care vizează asigurarea unui grad sporit de adecvare la scopul urmărit a statisticilor în domeniul pescuitului colectate de Eurostat. Evaluarea va fi finalizată în vara anului 2019.</w:t>
      </w:r>
    </w:p>
    <w:p>
      <w:pPr>
        <w:jc w:val="both"/>
        <w:rPr>
          <w:rFonts w:ascii="Times New Roman" w:hAnsi="Times New Roman" w:cs="Times New Roman"/>
          <w:noProof/>
          <w:sz w:val="24"/>
          <w:szCs w:val="24"/>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016668"/>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170" w:hanging="170"/>
      </w:pPr>
      <w:r>
        <w:rPr>
          <w:rStyle w:val="FootnoteReference"/>
        </w:rPr>
        <w:footnoteRef/>
      </w:r>
      <w:r>
        <w:t xml:space="preserve"> Regulamentul (CE) nr. 1921/2006 al Parlamentului European și al Consiliului din 18 decembrie 2006 privind transmiterea de date statistice referitoare la debarcările de produse pescărești în statele membre și de abrogare a Regulamentului (CEE) nr. 1382/91 al Consiliului (JO L 403, 30.12.2006, p. 1).</w:t>
      </w:r>
    </w:p>
  </w:footnote>
  <w:footnote w:id="2">
    <w:p>
      <w:pPr>
        <w:pStyle w:val="FootnoteText"/>
        <w:ind w:left="170" w:hanging="170"/>
      </w:pPr>
      <w:r>
        <w:rPr>
          <w:rStyle w:val="FootnoteReference"/>
        </w:rPr>
        <w:footnoteRef/>
      </w:r>
      <w:r>
        <w:t xml:space="preserve"> Aceasta înseamnă că aceste statistici nu sunt comparabile cu datele privind debarcările colectate în temeiul Regulamentului (CE) nr. 1224/2009 al Consiliului, în cazul căruia datele sunt colectate de statul de pavilion al navei.</w:t>
      </w:r>
    </w:p>
  </w:footnote>
  <w:footnote w:id="3">
    <w:p>
      <w:pPr>
        <w:pStyle w:val="FootnoteText"/>
        <w:ind w:left="170" w:hanging="170"/>
      </w:pPr>
      <w:r>
        <w:rPr>
          <w:rStyle w:val="FootnoteReference"/>
        </w:rPr>
        <w:footnoteRef/>
      </w:r>
      <w:r>
        <w:t xml:space="preserve"> Raport al Comisiei către Parlamentul European și Consiliu privind punerea în aplicare a Regulamentului (CE) nr. 1921/2006 privind transmiterea de date statistice referitoare la debarcările de produse pescărești în statele membre; COM(2010) 675 final.</w:t>
      </w:r>
    </w:p>
  </w:footnote>
  <w:footnote w:id="4">
    <w:p>
      <w:pPr>
        <w:pStyle w:val="FootnoteText"/>
        <w:ind w:left="170" w:hanging="170"/>
      </w:pPr>
      <w:r>
        <w:rPr>
          <w:rStyle w:val="FootnoteReference"/>
        </w:rPr>
        <w:footnoteRef/>
      </w:r>
      <w:r>
        <w:t xml:space="preserve"> Raport al Comisiei către Parlamentul European și Consiliu privind punerea în aplicare a Regulamentului (CE) nr. 1921/2006 privind transmiterea de date statistice referitoare la debarcările de produse pescărești în statele membre; COM(2014) 240 final.</w:t>
      </w:r>
    </w:p>
  </w:footnote>
  <w:footnote w:id="5">
    <w:p>
      <w:pPr>
        <w:pStyle w:val="FootnoteText"/>
        <w:ind w:left="170" w:hanging="170"/>
      </w:pPr>
      <w:r>
        <w:rPr>
          <w:rStyle w:val="FootnoteReference"/>
        </w:rPr>
        <w:footnoteRef/>
      </w:r>
      <w:r>
        <w:t xml:space="preserve"> Raport al Comisiei către Parlamentul European și Consiliu cu privire la punerea în aplicare a Regulamentului (CE) nr. 1921/2006 privind transmiterea de date statistice referitoare la debarcările de produse pescărești în statele membre; COM(2016) 239 final.</w:t>
      </w:r>
    </w:p>
  </w:footnote>
  <w:footnote w:id="6">
    <w:p>
      <w:pPr>
        <w:pStyle w:val="FootnoteText"/>
        <w:ind w:left="142" w:hanging="142"/>
      </w:pPr>
      <w:r>
        <w:rPr>
          <w:rStyle w:val="FootnoteReference"/>
        </w:rPr>
        <w:footnoteRef/>
      </w:r>
      <w:r>
        <w:t xml:space="preserve"> Regulamentul (UE) nr. 1380/2013 al Parlamentului European și al Consiliului din 11 decembrie 2013 privind politica comună în domeniul pescuitului, de modificare a Regulamentelor (CE) nr. 1954/2003 și (CE) nr. 1224/2009 ale Consiliului și de abrogare a Regulamentelor (CE) nr. 2371/2002 și (CE) nr. 639/2004 ale Consiliului și a Deciziei 2004/585/CE a Consiliului, articolul 15.</w:t>
      </w:r>
    </w:p>
  </w:footnote>
  <w:footnote w:id="7">
    <w:p>
      <w:pPr>
        <w:pStyle w:val="FootnoteText"/>
      </w:pPr>
      <w:r>
        <w:rPr>
          <w:rStyle w:val="FootnoteReference"/>
        </w:rPr>
        <w:footnoteRef/>
      </w:r>
      <w:r>
        <w:t xml:space="preserve"> </w:t>
      </w:r>
      <w:hyperlink r:id="rId1">
        <w:r>
          <w:rPr>
            <w:rStyle w:val="Hyperlink"/>
          </w:rPr>
          <w:t>http://ec.europa.eu/eurostat/data/database</w:t>
        </w:r>
      </w:hyperlink>
      <w:r>
        <w:t xml:space="preserve"> (disponibil numai în limbile engleză, franceză și germană).</w:t>
      </w:r>
    </w:p>
  </w:footnote>
  <w:footnote w:id="8">
    <w:p>
      <w:pPr>
        <w:pStyle w:val="FootnoteText"/>
        <w:ind w:left="0" w:firstLine="0"/>
      </w:pPr>
      <w:r>
        <w:rPr>
          <w:rStyle w:val="FootnoteReference"/>
        </w:rPr>
        <w:footnoteRef/>
      </w:r>
      <w:r>
        <w:t xml:space="preserve"> Cea mai recentă publicație este „Statistici în domeniul agriculturii, silviculturii și pescuitului” („Agriculture, forestry and fishery statistics”) – ediția 2017, ISBN 978-92-79-75765-5 (disponibilă numai în limba engleză).</w:t>
      </w:r>
    </w:p>
  </w:footnote>
  <w:footnote w:id="9">
    <w:p>
      <w:pPr>
        <w:pStyle w:val="FootnoteText"/>
      </w:pPr>
      <w:r>
        <w:rPr>
          <w:rStyle w:val="FootnoteReference"/>
        </w:rPr>
        <w:footnoteRef/>
      </w:r>
      <w:r>
        <w:t xml:space="preserve"> http://ec.europa.eu/eurostat/web/ess/-/annual-work-programme-2018 (disponibil numai în limba engleză).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CCA97BC-0B1C-452C-9A74-28DA14339693"/>
    <w:docVar w:name="LW_COVERPAGE_TYPE" w:val="1"/>
    <w:docVar w:name="LW_CROSSREFERENCE" w:val="&lt;UNUSED&gt;"/>
    <w:docVar w:name="LW_DocType" w:val="NORMAL"/>
    <w:docVar w:name="LW_EMISSION" w:val="5.2.2019"/>
    <w:docVar w:name="LW_EMISSION_ISODATE" w:val="2019-02-05"/>
    <w:docVar w:name="LW_EMISSION_LOCATION" w:val="BRX"/>
    <w:docVar w:name="LW_EMISSION_PREFIX" w:val="Bruxelles, "/>
    <w:docVar w:name="LW_EMISSION_SUFFIX" w:val=" "/>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cu privire la punerea în aplicare a Regulamentului (CE) nr. 1921/2006 al Parlamentului European \u537?i al Consiliului din 18 decembrie 2006 privind transmiterea de date statistice referitoare la debarc\u259?rile de produse pesc\u259?re\u537?ti în statele membre&lt;/FMT&gt;"/>
    <w:docVar w:name="LW_TYPE.DOC.CP" w:val="RAPORT AL COMISIEI C\u258?TRE PARLAMENTUL EUROPEAN \u536?I CONSILIU"/>
    <w:docVar w:name="Stamp" w:val="\\dossiers.dgt.cec.eu.int\dossiers\ESTAT\ESTAT-2018-10217\ESTAT-2018-10217-00-00-EN-EDT-00.201811201243082734280.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sz w:val="24"/>
      <w:szCs w:val="20"/>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szCs w:val="20"/>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0"/>
      <w:lang w:eastAsia="ro-RO"/>
    </w:rPr>
  </w:style>
  <w:style w:type="paragraph" w:styleId="FootnoteText">
    <w:name w:val="footnote text"/>
    <w:basedOn w:val="Normal"/>
    <w:uiPriority w:val="99"/>
    <w:semiHidden/>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lang w:eastAsia="ro-RO"/>
    </w:rPr>
  </w:style>
  <w:style w:type="character" w:styleId="FootnoteReference">
    <w:name w:val="footnote reference"/>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eastAsia="ro-R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0"/>
      <w:lang w:eastAsia="ro-RO"/>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eastAsia="ro-RO"/>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0"/>
      <w:lang w:eastAsia="ro-RO"/>
    </w:rPr>
  </w:style>
  <w:style w:type="character" w:customStyle="1" w:styleId="highlight">
    <w:name w:val="highlight"/>
    <w:basedOn w:val="DefaultParagraphFont"/>
    <w:rPr>
      <w:shd w:val="clear" w:color="auto" w:fill="auto"/>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sz w:val="24"/>
      <w:szCs w:val="20"/>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szCs w:val="20"/>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0"/>
      <w:lang w:eastAsia="ro-RO"/>
    </w:rPr>
  </w:style>
  <w:style w:type="paragraph" w:styleId="FootnoteText">
    <w:name w:val="footnote text"/>
    <w:basedOn w:val="Normal"/>
    <w:uiPriority w:val="99"/>
    <w:semiHidden/>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lang w:eastAsia="ro-RO"/>
    </w:rPr>
  </w:style>
  <w:style w:type="character" w:styleId="FootnoteReference">
    <w:name w:val="footnote reference"/>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eastAsia="ro-R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0"/>
      <w:lang w:eastAsia="ro-RO"/>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eastAsia="ro-RO"/>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0"/>
      <w:lang w:eastAsia="ro-RO"/>
    </w:rPr>
  </w:style>
  <w:style w:type="character" w:customStyle="1" w:styleId="highlight">
    <w:name w:val="highlight"/>
    <w:basedOn w:val="DefaultParagraphFont"/>
    <w:rPr>
      <w:shd w:val="clear" w:color="auto" w:fill="auto"/>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data/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5D059-3EA5-4562-82E1-038F6A79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1695</Words>
  <Characters>10175</Characters>
  <Application>Microsoft Office Word</Application>
  <DocSecurity>0</DocSecurity>
  <Lines>161</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55</cp:revision>
  <cp:lastPrinted>2018-12-03T07:22:00Z</cp:lastPrinted>
  <dcterms:created xsi:type="dcterms:W3CDTF">2018-12-13T09:22:00Z</dcterms:created>
  <dcterms:modified xsi:type="dcterms:W3CDTF">2019-01-29T13:28:00Z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