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EE89727-4EB7-4866-B1E4-CDB42935937B" style="width:450.7pt;height:307.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hAnsi="Times New Roman" w:cs="Times New Roman"/>
          <w:b/>
          <w:noProof/>
          <w:sz w:val="24"/>
        </w:rPr>
      </w:pPr>
      <w:bookmarkStart w:id="1" w:name="_GoBack"/>
      <w:bookmarkEnd w:id="1"/>
      <w:r>
        <w:rPr>
          <w:rFonts w:ascii="Times New Roman" w:hAnsi="Times New Roman"/>
          <w:b/>
          <w:noProof/>
          <w:sz w:val="24"/>
        </w:rPr>
        <w:lastRenderedPageBreak/>
        <w:t>ZPRÁVA KOMISE EVROPSKÉMU PARLAMENTU A RADĚ</w:t>
      </w:r>
    </w:p>
    <w:p>
      <w:pPr>
        <w:spacing w:before="360" w:after="360" w:line="240" w:lineRule="auto"/>
        <w:jc w:val="center"/>
        <w:rPr>
          <w:rFonts w:ascii="Times New Roman" w:hAnsi="Times New Roman" w:cs="Times New Roman"/>
          <w:b/>
          <w:noProof/>
          <w:sz w:val="24"/>
        </w:rPr>
      </w:pPr>
      <w:r>
        <w:rPr>
          <w:rFonts w:ascii="Times New Roman" w:hAnsi="Times New Roman"/>
          <w:b/>
          <w:noProof/>
          <w:sz w:val="24"/>
        </w:rPr>
        <w:t>o provádění nařízení Evropského parlamentu a Rady (ES) č. 1921/2006 ze dne 18. prosince 2006 o předkládání statistických údajů o vykládkách produktů rybolovu v členských státech</w:t>
      </w:r>
    </w:p>
    <w:p>
      <w:pPr>
        <w:rPr>
          <w:rFonts w:ascii="Times New Roman" w:hAnsi="Times New Roman" w:cs="Times New Roman"/>
          <w:b/>
          <w:bCs/>
          <w:noProof/>
          <w:sz w:val="24"/>
          <w:szCs w:val="24"/>
        </w:rPr>
      </w:pPr>
    </w:p>
    <w:p>
      <w:pPr>
        <w:rPr>
          <w:rFonts w:ascii="Times New Roman" w:hAnsi="Times New Roman" w:cs="Times New Roman"/>
          <w:b/>
          <w:bCs/>
          <w:noProof/>
          <w:sz w:val="24"/>
          <w:szCs w:val="24"/>
        </w:rPr>
      </w:pPr>
      <w:r>
        <w:rPr>
          <w:rFonts w:ascii="Times New Roman" w:hAnsi="Times New Roman"/>
          <w:b/>
          <w:noProof/>
          <w:sz w:val="24"/>
        </w:rPr>
        <w:t>1. OBECNÉ SOUVISLOSTI</w:t>
      </w:r>
    </w:p>
    <w:p>
      <w:pPr>
        <w:jc w:val="both"/>
        <w:rPr>
          <w:rFonts w:ascii="Times New Roman" w:hAnsi="Times New Roman" w:cs="Times New Roman"/>
          <w:noProof/>
          <w:sz w:val="24"/>
          <w:szCs w:val="24"/>
        </w:rPr>
      </w:pPr>
      <w:r>
        <w:rPr>
          <w:rFonts w:ascii="Times New Roman" w:hAnsi="Times New Roman"/>
          <w:noProof/>
          <w:sz w:val="24"/>
        </w:rPr>
        <w:t>Komise (Eurostat) shromažďuje statistické informace o vykládkách produktů rybolovu v souladu s nařízením (ES) č. 1921/2006</w:t>
      </w:r>
      <w:r>
        <w:rPr>
          <w:rStyle w:val="FootnoteReference"/>
          <w:rFonts w:ascii="Times New Roman" w:hAnsi="Times New Roman"/>
          <w:noProof/>
          <w:sz w:val="24"/>
        </w:rPr>
        <w:footnoteReference w:id="1"/>
      </w:r>
      <w:r>
        <w:rPr>
          <w:rFonts w:ascii="Times New Roman" w:hAnsi="Times New Roman"/>
          <w:noProof/>
          <w:sz w:val="24"/>
        </w:rPr>
        <w:t xml:space="preserve"> (dále jen „nařízení“). Dle nařízení jsou vykládky definovány jako produkty rybolovu vyložené na území členských států rybářskými plavidly EU či ESVO, či produkty vyložené na území mimo EU plavidly členských států a následně dovezené do EU</w:t>
      </w:r>
      <w:r>
        <w:rPr>
          <w:rStyle w:val="FootnoteReference"/>
          <w:rFonts w:ascii="Times New Roman" w:hAnsi="Times New Roman"/>
          <w:noProof/>
          <w:sz w:val="24"/>
        </w:rPr>
        <w:footnoteReference w:id="2"/>
      </w:r>
      <w:r>
        <w:rPr>
          <w:rFonts w:ascii="Times New Roman" w:hAnsi="Times New Roman"/>
          <w:noProof/>
          <w:sz w:val="24"/>
        </w:rPr>
        <w:t>. Článek10 nařízení stanoví, že je Komise povinna každé 3 roky předložit zprávu Evropskému parlamentu a Radě, v níž zejména posoudí kvalitu a vhodnost statistik. Zpráva musí také analyzovat náklady a přínosy systému používaného pro sběr statistických údajů o vykládkách a zdůraznit veškeré osvědčené postupy, které je možné sdílet s cílem snížit pracovní zatížení na vnitrostátní úrovni a získat užitečnější a kvalitnější údaje.</w:t>
      </w:r>
    </w:p>
    <w:p>
      <w:pPr>
        <w:jc w:val="both"/>
        <w:rPr>
          <w:rFonts w:ascii="Times New Roman" w:hAnsi="Times New Roman" w:cs="Times New Roman"/>
          <w:noProof/>
          <w:sz w:val="24"/>
          <w:szCs w:val="24"/>
        </w:rPr>
      </w:pPr>
      <w:r>
        <w:rPr>
          <w:rFonts w:ascii="Times New Roman" w:hAnsi="Times New Roman"/>
          <w:noProof/>
          <w:sz w:val="24"/>
        </w:rPr>
        <w:t>Nařízení se vztahuje na členské státy EU a Norsko, Island a Lichtenštejnsko. Jelikož se týká vykládky produktů mořského rybolovu, jsou z oznamovací povinnosti vyloučeny vnitrozemské státy.</w:t>
      </w:r>
    </w:p>
    <w:p>
      <w:pPr>
        <w:jc w:val="both"/>
        <w:rPr>
          <w:rFonts w:ascii="Times New Roman" w:hAnsi="Times New Roman" w:cs="Times New Roman"/>
          <w:noProof/>
          <w:sz w:val="24"/>
          <w:szCs w:val="24"/>
        </w:rPr>
      </w:pPr>
      <w:r>
        <w:rPr>
          <w:rFonts w:ascii="Times New Roman" w:hAnsi="Times New Roman"/>
          <w:noProof/>
          <w:sz w:val="24"/>
        </w:rPr>
        <w:t>Tato zpráva vychází ze i) zpráv o kvalitě týkajících se vykládek, jež předložily vykazující členské státy Eurostatu za referenční rok 2016, ii) z analýzy souladu s předpisy a iii) z údajů o nákladech, které shromáždil Eurostat.</w:t>
      </w:r>
    </w:p>
    <w:p>
      <w:pPr>
        <w:jc w:val="both"/>
        <w:rPr>
          <w:rFonts w:ascii="Times New Roman" w:hAnsi="Times New Roman" w:cs="Times New Roman"/>
          <w:noProof/>
          <w:sz w:val="24"/>
          <w:szCs w:val="24"/>
        </w:rPr>
      </w:pPr>
      <w:r>
        <w:rPr>
          <w:rFonts w:ascii="Times New Roman" w:hAnsi="Times New Roman"/>
          <w:noProof/>
          <w:sz w:val="24"/>
        </w:rPr>
        <w:t>Komise přijala předchozí hodnotící zprávy ohledně statistických údajů o vykládkách, jež byly předloženy v souladu s tímto nařízením v listopadu 2010</w:t>
      </w:r>
      <w:r>
        <w:rPr>
          <w:rStyle w:val="FootnoteReference"/>
          <w:rFonts w:ascii="Times New Roman" w:hAnsi="Times New Roman"/>
          <w:noProof/>
          <w:sz w:val="24"/>
        </w:rPr>
        <w:footnoteReference w:id="3"/>
      </w:r>
      <w:r>
        <w:rPr>
          <w:rFonts w:ascii="Times New Roman" w:hAnsi="Times New Roman"/>
          <w:noProof/>
          <w:sz w:val="24"/>
        </w:rPr>
        <w:t>, v dubnu 2014</w:t>
      </w:r>
      <w:r>
        <w:rPr>
          <w:rStyle w:val="FootnoteReference"/>
          <w:rFonts w:ascii="Times New Roman" w:hAnsi="Times New Roman"/>
          <w:noProof/>
          <w:sz w:val="24"/>
        </w:rPr>
        <w:footnoteReference w:id="4"/>
      </w:r>
      <w:r>
        <w:rPr>
          <w:rFonts w:ascii="Times New Roman" w:hAnsi="Times New Roman"/>
          <w:noProof/>
          <w:sz w:val="24"/>
        </w:rPr>
        <w:t xml:space="preserve"> a v květnu 2016</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b/>
          <w:noProof/>
          <w:sz w:val="24"/>
          <w:szCs w:val="24"/>
        </w:rPr>
      </w:pPr>
      <w:r>
        <w:rPr>
          <w:rFonts w:ascii="Times New Roman" w:hAnsi="Times New Roman"/>
          <w:noProof/>
          <w:sz w:val="24"/>
        </w:rPr>
        <w:t>Statistiky rybolovu Eurostatu obsahují kromě údajů o vykládkách také detailní statistiky o rybářských úlovcích, rybářském loďstvu a akvakultuře. S cílem řídit společné rybářské politiky shromažďují taktéž další útvary Komise, zejména GŘ pro námořní záležitosti a rybolov (GŘ MARE), velké objemy administrativních údajů. Statistiky shromážděné Eurostatem a administrativní údaje shromáždění GŘ MARE se částečně překrývají. Eurostat zahájil vyhodnocování evropských statistik o rybolovu (zahrnující statistiky týkající se rybářských úlovků, rybářského loďstva a akvakultury), jež se zaměřuje na zhodnocení i) relevantnosti, ii) účinnosti, iii) efektivity, iv) soudržnosti, v) statistické kvality a vi) přidané hodnoty EU shromážděných statistik v kontextu všech údajů shromážděných Komisí a dalšími mezinárodními společnostmi.</w:t>
      </w:r>
    </w:p>
    <w:p>
      <w:pPr>
        <w:jc w:val="both"/>
        <w:rPr>
          <w:rFonts w:ascii="Times New Roman" w:hAnsi="Times New Roman" w:cs="Times New Roman"/>
          <w:noProof/>
          <w:sz w:val="24"/>
          <w:szCs w:val="24"/>
        </w:rPr>
      </w:pPr>
      <w:r>
        <w:rPr>
          <w:rFonts w:ascii="Times New Roman" w:hAnsi="Times New Roman"/>
          <w:noProof/>
          <w:sz w:val="24"/>
        </w:rPr>
        <w:t>Tato zpráva se vztahuje pouze na statistiky o vykládkách shromážděné Eurostatem a spadající pod nařízení (ES) č. 1921/2006.</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2. HLAVNÍ ZJIŠTĚNÍ</w:t>
      </w:r>
    </w:p>
    <w:p>
      <w:pPr>
        <w:jc w:val="both"/>
        <w:rPr>
          <w:rFonts w:ascii="Times New Roman" w:hAnsi="Times New Roman" w:cs="Times New Roman"/>
          <w:b/>
          <w:noProof/>
          <w:sz w:val="24"/>
          <w:szCs w:val="24"/>
        </w:rPr>
      </w:pPr>
      <w:r>
        <w:rPr>
          <w:rFonts w:ascii="Times New Roman" w:hAnsi="Times New Roman"/>
          <w:b/>
          <w:noProof/>
          <w:sz w:val="24"/>
        </w:rPr>
        <w:t>2.1. Dochvilnost a úplnost</w:t>
      </w:r>
    </w:p>
    <w:p>
      <w:pPr>
        <w:jc w:val="both"/>
        <w:rPr>
          <w:rFonts w:ascii="Times New Roman" w:hAnsi="Times New Roman" w:cs="Times New Roman"/>
          <w:b/>
          <w:noProof/>
          <w:sz w:val="24"/>
          <w:szCs w:val="24"/>
        </w:rPr>
      </w:pPr>
      <w:r>
        <w:rPr>
          <w:rFonts w:ascii="Times New Roman" w:hAnsi="Times New Roman"/>
          <w:b/>
          <w:noProof/>
          <w:sz w:val="24"/>
        </w:rPr>
        <w:t>2.1.1. Dochvilnost</w:t>
      </w:r>
    </w:p>
    <w:p>
      <w:pPr>
        <w:jc w:val="both"/>
        <w:rPr>
          <w:rFonts w:ascii="Times New Roman" w:hAnsi="Times New Roman" w:cs="Times New Roman"/>
          <w:noProof/>
          <w:sz w:val="24"/>
          <w:szCs w:val="24"/>
        </w:rPr>
      </w:pPr>
      <w:r>
        <w:rPr>
          <w:rFonts w:ascii="Times New Roman" w:hAnsi="Times New Roman"/>
          <w:noProof/>
          <w:sz w:val="24"/>
        </w:rPr>
        <w:t>V posledních letech se dochvilnost předání údajů zlepšila, jelikož většina členských států zasílá údaje včas. Za referenční rok 2016 bylo potřeba zanést opravy do údajů poskytnutých polovinou vykazujících členských států. Ve většině případů k těmto změnám došlo v přijatelné lhůtě.</w:t>
      </w:r>
    </w:p>
    <w:p>
      <w:pPr>
        <w:jc w:val="both"/>
        <w:rPr>
          <w:rFonts w:ascii="Times New Roman" w:hAnsi="Times New Roman" w:cs="Times New Roman"/>
          <w:noProof/>
          <w:sz w:val="24"/>
          <w:szCs w:val="24"/>
        </w:rPr>
      </w:pPr>
      <w:r>
        <w:rPr>
          <w:rFonts w:ascii="Times New Roman" w:hAnsi="Times New Roman"/>
          <w:noProof/>
          <w:sz w:val="24"/>
        </w:rPr>
        <w:t>Komise (Eurostat) zveřejňuje údaje okamžitě po jejich ověření a všechny tyto údaje jsou dostupné ve veřejné databázi Eurostatu měsíc po uplynutí lhůty pro předání údajů. V případě potřeby je možné údaje kdykoliv revidovat.</w:t>
      </w:r>
    </w:p>
    <w:p>
      <w:pPr>
        <w:jc w:val="both"/>
        <w:rPr>
          <w:rFonts w:ascii="Times New Roman" w:hAnsi="Times New Roman" w:cs="Times New Roman"/>
          <w:b/>
          <w:noProof/>
          <w:sz w:val="24"/>
          <w:szCs w:val="24"/>
        </w:rPr>
      </w:pPr>
      <w:r>
        <w:rPr>
          <w:rFonts w:ascii="Times New Roman" w:hAnsi="Times New Roman"/>
          <w:b/>
          <w:noProof/>
          <w:sz w:val="24"/>
        </w:rPr>
        <w:t>2.2.1. Úplnost</w:t>
      </w:r>
    </w:p>
    <w:p>
      <w:pPr>
        <w:jc w:val="both"/>
        <w:rPr>
          <w:rFonts w:ascii="Times New Roman" w:hAnsi="Times New Roman" w:cs="Times New Roman"/>
          <w:noProof/>
          <w:sz w:val="24"/>
          <w:szCs w:val="24"/>
        </w:rPr>
      </w:pPr>
      <w:r>
        <w:rPr>
          <w:rFonts w:ascii="Times New Roman" w:hAnsi="Times New Roman"/>
          <w:noProof/>
          <w:sz w:val="24"/>
        </w:rPr>
        <w:t>Úplnost dat se od roku 2015 zlepšila. Povinné jednotkové ceny produktů rybolovu, které dříve způsobovaly problémy, jsou nyní uvedeny ve většině případů. Eurostat na zasedání Skupiny odborníků pro statistiky rybolovu v roce 2015 objasnil příslušné pokyny pro podávání zpráv.</w:t>
      </w:r>
    </w:p>
    <w:p>
      <w:pPr>
        <w:jc w:val="both"/>
        <w:rPr>
          <w:rFonts w:ascii="Times New Roman" w:hAnsi="Times New Roman" w:cs="Times New Roman"/>
          <w:noProof/>
          <w:sz w:val="24"/>
          <w:szCs w:val="24"/>
        </w:rPr>
      </w:pPr>
      <w:r>
        <w:rPr>
          <w:rFonts w:ascii="Times New Roman" w:hAnsi="Times New Roman"/>
          <w:noProof/>
          <w:sz w:val="24"/>
        </w:rPr>
        <w:t>Zároveň byl zaznamenán pokrok v úplnosti údajů, a to díky opatřením některých členských států, údaje tak významně rozšiřují pokrytí průzkumu o typech plavidel, zahraničních plavidlech a druzích ryb. Pouze tři členské státy neshromáždily údaje o vykládkách z plavidel o délce do 10 metrů.</w:t>
      </w:r>
    </w:p>
    <w:p>
      <w:pPr>
        <w:jc w:val="both"/>
        <w:rPr>
          <w:rFonts w:ascii="Times New Roman" w:hAnsi="Times New Roman" w:cs="Times New Roman"/>
          <w:b/>
          <w:noProof/>
          <w:sz w:val="24"/>
          <w:szCs w:val="24"/>
        </w:rPr>
      </w:pPr>
      <w:r>
        <w:rPr>
          <w:rFonts w:ascii="Times New Roman" w:hAnsi="Times New Roman"/>
          <w:b/>
          <w:noProof/>
          <w:sz w:val="24"/>
        </w:rPr>
        <w:t>2.2. Konzistentnost</w:t>
      </w:r>
    </w:p>
    <w:p>
      <w:pPr>
        <w:jc w:val="both"/>
        <w:rPr>
          <w:rFonts w:ascii="Times New Roman" w:hAnsi="Times New Roman" w:cs="Times New Roman"/>
          <w:b/>
          <w:noProof/>
          <w:sz w:val="24"/>
          <w:szCs w:val="24"/>
        </w:rPr>
      </w:pPr>
      <w:r>
        <w:rPr>
          <w:rFonts w:ascii="Times New Roman" w:hAnsi="Times New Roman"/>
          <w:b/>
          <w:noProof/>
          <w:sz w:val="24"/>
        </w:rPr>
        <w:t>2.2.1. Kvalita a přesnost</w:t>
      </w:r>
    </w:p>
    <w:p>
      <w:pPr>
        <w:jc w:val="both"/>
        <w:rPr>
          <w:rFonts w:ascii="Times New Roman" w:hAnsi="Times New Roman" w:cs="Times New Roman"/>
          <w:noProof/>
          <w:sz w:val="24"/>
          <w:szCs w:val="24"/>
        </w:rPr>
      </w:pPr>
      <w:r>
        <w:rPr>
          <w:rFonts w:ascii="Times New Roman" w:hAnsi="Times New Roman"/>
          <w:noProof/>
          <w:sz w:val="24"/>
        </w:rPr>
        <w:t>Celková kvalita údajů byla dobrá a jedna třetina členských států uvedla, že se kvalita údajů od poslední hodnotící zprávy zlepšila. Většina členských států považuje jak míru neodpovědí, tak neúplné pokrytí za velice nízké. Pouze malé množství členských států nahlásilo chyby v měření či výběrové chyby, přičemž jak bylo usouzeno, možná chybná klasifikace nemá vliv na kvalitu údajů. V rámci postupu ověřování byly u poloviny vykazujících zemí statistiky o vykládkách porovnány se statistikami o úlovcích či s jinými vnitrostátními zdroji údajů.</w:t>
      </w:r>
    </w:p>
    <w:p>
      <w:pPr>
        <w:jc w:val="both"/>
        <w:rPr>
          <w:rFonts w:ascii="Times New Roman" w:hAnsi="Times New Roman" w:cs="Times New Roman"/>
          <w:b/>
          <w:noProof/>
          <w:sz w:val="24"/>
          <w:szCs w:val="24"/>
        </w:rPr>
      </w:pPr>
      <w:r>
        <w:rPr>
          <w:rFonts w:ascii="Times New Roman" w:hAnsi="Times New Roman"/>
          <w:b/>
          <w:noProof/>
          <w:sz w:val="24"/>
        </w:rPr>
        <w:t>2.2.2. Srovnatelnost</w:t>
      </w:r>
    </w:p>
    <w:p>
      <w:pPr>
        <w:jc w:val="both"/>
        <w:rPr>
          <w:rFonts w:ascii="Times New Roman" w:hAnsi="Times New Roman" w:cs="Times New Roman"/>
          <w:noProof/>
          <w:sz w:val="24"/>
          <w:szCs w:val="24"/>
        </w:rPr>
      </w:pPr>
      <w:r>
        <w:rPr>
          <w:rFonts w:ascii="Times New Roman" w:hAnsi="Times New Roman"/>
          <w:noProof/>
          <w:sz w:val="24"/>
        </w:rPr>
        <w:t>Pokyny pro vykazování poskytnuté Eurostatem ujasnily, na jaké typy vykládek se nařízení vztahuje. Společně se zlepšením úplnosti údajů tak přispěly k lepší srovnatelnosti údajů mezi státy.</w:t>
      </w:r>
    </w:p>
    <w:p>
      <w:pPr>
        <w:jc w:val="both"/>
        <w:rPr>
          <w:rFonts w:ascii="Times New Roman" w:hAnsi="Times New Roman" w:cs="Times New Roman"/>
          <w:b/>
          <w:noProof/>
          <w:sz w:val="24"/>
          <w:szCs w:val="24"/>
        </w:rPr>
      </w:pPr>
      <w:r>
        <w:rPr>
          <w:rFonts w:ascii="Times New Roman" w:hAnsi="Times New Roman"/>
          <w:b/>
          <w:noProof/>
          <w:sz w:val="24"/>
        </w:rPr>
        <w:t>2.3. Relevantnost</w:t>
      </w:r>
    </w:p>
    <w:p>
      <w:pPr>
        <w:jc w:val="both"/>
        <w:rPr>
          <w:rFonts w:ascii="Times New Roman" w:hAnsi="Times New Roman" w:cs="Times New Roman"/>
          <w:noProof/>
          <w:sz w:val="24"/>
          <w:szCs w:val="24"/>
        </w:rPr>
      </w:pPr>
      <w:r>
        <w:rPr>
          <w:rFonts w:ascii="Times New Roman" w:hAnsi="Times New Roman"/>
          <w:noProof/>
          <w:sz w:val="24"/>
        </w:rPr>
        <w:t>Statistiky týkající se objemů a cen produktů rybolovu vyložených na území EU napomáhají závazkům Komise v oblasti průzkumu trhu. Údaje jsou nezbytné pro sledování a analýzu trhů s produkty rybolovu v EU v rámci celého dodavatelského řetězce.</w:t>
      </w:r>
    </w:p>
    <w:p>
      <w:pPr>
        <w:jc w:val="both"/>
        <w:rPr>
          <w:rFonts w:ascii="Times New Roman" w:hAnsi="Times New Roman" w:cs="Times New Roman"/>
          <w:noProof/>
          <w:sz w:val="24"/>
          <w:szCs w:val="24"/>
        </w:rPr>
      </w:pPr>
      <w:r>
        <w:rPr>
          <w:rFonts w:ascii="Times New Roman" w:hAnsi="Times New Roman"/>
          <w:noProof/>
          <w:sz w:val="24"/>
        </w:rPr>
        <w:t>Zároveň mohou mít také význam v rámci povinnosti vykládky</w:t>
      </w:r>
      <w:r>
        <w:rPr>
          <w:rStyle w:val="FootnoteReference"/>
          <w:rFonts w:ascii="Times New Roman" w:hAnsi="Times New Roman"/>
          <w:noProof/>
          <w:sz w:val="24"/>
        </w:rPr>
        <w:footnoteReference w:id="6"/>
      </w:r>
      <w:r>
        <w:rPr>
          <w:rFonts w:ascii="Times New Roman" w:hAnsi="Times New Roman"/>
          <w:noProof/>
          <w:sz w:val="24"/>
        </w:rPr>
        <w:t>, jež stanoví, aby byly veškeré úlovky regulovaných obchodních druhů ryb vyloženy a spočítány proti příslušným kvótám.</w:t>
      </w:r>
    </w:p>
    <w:p>
      <w:pPr>
        <w:jc w:val="both"/>
        <w:rPr>
          <w:rFonts w:ascii="Times New Roman" w:hAnsi="Times New Roman" w:cs="Times New Roman"/>
          <w:noProof/>
          <w:sz w:val="24"/>
          <w:szCs w:val="24"/>
        </w:rPr>
      </w:pPr>
      <w:r>
        <w:rPr>
          <w:rFonts w:ascii="Times New Roman" w:hAnsi="Times New Roman"/>
          <w:noProof/>
          <w:sz w:val="24"/>
        </w:rPr>
        <w:t>Členské státy prohlásily, že na vnitrostátní úrovni musí být plně splněny potřeby uživatelů. Tam, kde existují vnitrostátní právní předpisy, jsou pokryty všechny proměnné požadované nařízením EU.</w:t>
      </w:r>
    </w:p>
    <w:p>
      <w:pPr>
        <w:jc w:val="both"/>
        <w:rPr>
          <w:rFonts w:ascii="Times New Roman" w:hAnsi="Times New Roman" w:cs="Times New Roman"/>
          <w:b/>
          <w:noProof/>
          <w:sz w:val="24"/>
          <w:szCs w:val="24"/>
        </w:rPr>
      </w:pPr>
      <w:r>
        <w:rPr>
          <w:rFonts w:ascii="Times New Roman" w:hAnsi="Times New Roman"/>
          <w:b/>
          <w:noProof/>
          <w:sz w:val="24"/>
        </w:rPr>
        <w:t>2.4. Dostupnost</w:t>
      </w:r>
    </w:p>
    <w:p>
      <w:pPr>
        <w:jc w:val="both"/>
        <w:rPr>
          <w:rFonts w:ascii="Times New Roman" w:hAnsi="Times New Roman" w:cs="Times New Roman"/>
          <w:b/>
          <w:noProof/>
          <w:sz w:val="24"/>
          <w:szCs w:val="24"/>
        </w:rPr>
      </w:pPr>
      <w:r>
        <w:rPr>
          <w:rFonts w:ascii="Times New Roman" w:hAnsi="Times New Roman"/>
          <w:b/>
          <w:noProof/>
          <w:sz w:val="24"/>
        </w:rPr>
        <w:t>2.4.1. Internetová databáze</w:t>
      </w:r>
    </w:p>
    <w:p>
      <w:pPr>
        <w:jc w:val="both"/>
        <w:rPr>
          <w:rFonts w:ascii="Times New Roman" w:hAnsi="Times New Roman" w:cs="Times New Roman"/>
          <w:noProof/>
          <w:sz w:val="24"/>
          <w:szCs w:val="24"/>
        </w:rPr>
      </w:pPr>
      <w:r>
        <w:rPr>
          <w:rFonts w:ascii="Times New Roman" w:hAnsi="Times New Roman"/>
          <w:noProof/>
          <w:sz w:val="24"/>
        </w:rPr>
        <w:t>Statistiky o vykládkách jsou uvedeny ve veřejné databázi</w:t>
      </w:r>
      <w:r>
        <w:rPr>
          <w:rStyle w:val="FootnoteReference"/>
          <w:rFonts w:ascii="Times New Roman" w:hAnsi="Times New Roman"/>
          <w:noProof/>
          <w:sz w:val="24"/>
        </w:rPr>
        <w:footnoteReference w:id="7"/>
      </w:r>
      <w:r>
        <w:rPr>
          <w:rFonts w:ascii="Times New Roman" w:hAnsi="Times New Roman"/>
          <w:noProof/>
          <w:sz w:val="24"/>
        </w:rPr>
        <w:t xml:space="preserve"> Komise (Eurostatu), a to v podrobných tabulkách pro každý členský stát a rovněž v celkové souhrnné tabulce zobrazující údaje EU a vnitrostátní údaje na obecnější úrovni.</w:t>
      </w:r>
    </w:p>
    <w:p>
      <w:pPr>
        <w:jc w:val="both"/>
        <w:rPr>
          <w:rFonts w:ascii="Times New Roman" w:hAnsi="Times New Roman" w:cs="Times New Roman"/>
          <w:noProof/>
          <w:sz w:val="24"/>
          <w:szCs w:val="24"/>
        </w:rPr>
      </w:pPr>
      <w:r>
        <w:rPr>
          <w:rFonts w:ascii="Times New Roman" w:hAnsi="Times New Roman"/>
          <w:noProof/>
          <w:sz w:val="24"/>
        </w:rPr>
        <w:t>Polovina vykazujících členských států nadto zveřejňuje údaje na národní úrovni ve vnitrostátních internetových databázích, které jsou přístupné všem uživatelům.</w:t>
      </w:r>
    </w:p>
    <w:p>
      <w:pPr>
        <w:jc w:val="both"/>
        <w:rPr>
          <w:rFonts w:ascii="Times New Roman" w:hAnsi="Times New Roman" w:cs="Times New Roman"/>
          <w:b/>
          <w:noProof/>
          <w:sz w:val="24"/>
          <w:szCs w:val="24"/>
        </w:rPr>
      </w:pPr>
      <w:r>
        <w:rPr>
          <w:rFonts w:ascii="Times New Roman" w:hAnsi="Times New Roman"/>
          <w:b/>
          <w:noProof/>
          <w:sz w:val="24"/>
        </w:rPr>
        <w:t>2.4.2. Publikace a tabulky údajů</w:t>
      </w:r>
    </w:p>
    <w:p>
      <w:pPr>
        <w:jc w:val="both"/>
        <w:rPr>
          <w:rFonts w:ascii="Times New Roman" w:hAnsi="Times New Roman" w:cs="Times New Roman"/>
          <w:noProof/>
          <w:sz w:val="24"/>
          <w:szCs w:val="24"/>
        </w:rPr>
      </w:pPr>
      <w:r>
        <w:rPr>
          <w:rFonts w:ascii="Times New Roman" w:hAnsi="Times New Roman" w:cs="Times New Roman"/>
          <w:noProof/>
          <w:sz w:val="24"/>
          <w:szCs w:val="24"/>
        </w:rPr>
        <w:t>Komise (Eurostat) zveřejňuje údaje a články týkající se statistik o vykládkách na internetových stránkách „Statistics Explained“ a ve statistických publikacích</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rPr>
        <w:t>Polovina vykazujících zemí ve zprávě uvedla, že vydává elektronické publikace.</w:t>
      </w:r>
    </w:p>
    <w:p>
      <w:pPr>
        <w:jc w:val="both"/>
        <w:rPr>
          <w:rFonts w:ascii="Times New Roman" w:hAnsi="Times New Roman" w:cs="Times New Roman"/>
          <w:b/>
          <w:noProof/>
          <w:sz w:val="24"/>
          <w:szCs w:val="24"/>
        </w:rPr>
      </w:pPr>
      <w:r>
        <w:rPr>
          <w:noProof/>
        </w:rPr>
        <w:br w:type="page"/>
      </w:r>
    </w:p>
    <w:p>
      <w:pPr>
        <w:jc w:val="both"/>
        <w:rPr>
          <w:rFonts w:ascii="Times New Roman" w:hAnsi="Times New Roman" w:cs="Times New Roman"/>
          <w:b/>
          <w:noProof/>
          <w:sz w:val="24"/>
          <w:szCs w:val="24"/>
        </w:rPr>
      </w:pPr>
      <w:r>
        <w:rPr>
          <w:rFonts w:ascii="Times New Roman" w:hAnsi="Times New Roman"/>
          <w:b/>
          <w:noProof/>
          <w:sz w:val="24"/>
        </w:rPr>
        <w:t>2.4.3. Metadata</w:t>
      </w:r>
    </w:p>
    <w:p>
      <w:pPr>
        <w:jc w:val="both"/>
        <w:rPr>
          <w:rFonts w:ascii="Times New Roman" w:hAnsi="Times New Roman" w:cs="Times New Roman"/>
          <w:noProof/>
          <w:sz w:val="24"/>
          <w:szCs w:val="24"/>
        </w:rPr>
      </w:pPr>
      <w:r>
        <w:rPr>
          <w:rFonts w:ascii="Times New Roman" w:hAnsi="Times New Roman"/>
          <w:noProof/>
          <w:sz w:val="24"/>
        </w:rPr>
        <w:t>Každé 3 roky Komise (Eurostat) shromažďuje vnitrostátní zprávy o kvalitě, na nichž je založena tato zpráva. Tyto vnitrostátní zprávy obsahují podrobné informace o kvalitě údajů a o metodách jejich sběru. Vnitrostátní zprávy o kvalitě se řídí pokyny Evropského statistického systému (ESS) a jsou shromažďovány ve správci metadat ESS.</w:t>
      </w:r>
    </w:p>
    <w:p>
      <w:pPr>
        <w:jc w:val="both"/>
        <w:rPr>
          <w:rFonts w:ascii="Times New Roman" w:hAnsi="Times New Roman" w:cs="Times New Roman"/>
          <w:b/>
          <w:noProof/>
          <w:sz w:val="24"/>
          <w:szCs w:val="24"/>
        </w:rPr>
      </w:pPr>
      <w:r>
        <w:rPr>
          <w:rFonts w:ascii="Times New Roman" w:hAnsi="Times New Roman"/>
          <w:b/>
          <w:noProof/>
          <w:sz w:val="24"/>
        </w:rPr>
        <w:t>2.5. Důvěrnost údajů</w:t>
      </w:r>
    </w:p>
    <w:p>
      <w:pPr>
        <w:jc w:val="both"/>
        <w:rPr>
          <w:rFonts w:ascii="Times New Roman" w:hAnsi="Times New Roman" w:cs="Times New Roman"/>
          <w:noProof/>
          <w:sz w:val="24"/>
          <w:szCs w:val="24"/>
        </w:rPr>
      </w:pPr>
      <w:r>
        <w:rPr>
          <w:rFonts w:ascii="Times New Roman" w:hAnsi="Times New Roman"/>
          <w:noProof/>
          <w:sz w:val="24"/>
        </w:rPr>
        <w:t>V rámci statistik o vykládkách předávaných Komisi (Eurostatu) se nachází jen velmi málo důvěrných údajů. V roce 2016 se dva členské státy potýkaly s problematikou důvěrnosti údajů, a to v souvislosti s činností jednoho rybářského plavidla v rybolovné oblasti. Pokud jde o celkové údaje EU, zůstaly celkový objem a hodnota následkem této skutečnosti důvěrné. Podíl důvěrných údajů vůči celkovým údajům EU byl však nízký: za rok 2016 představoval pouze 1,5 % z celkového počtu hodnot zveřejněných pro EU-28 ve veřejné databázi Komise (Eurostatu).</w:t>
      </w:r>
    </w:p>
    <w:p>
      <w:pPr>
        <w:jc w:val="both"/>
        <w:rPr>
          <w:rFonts w:ascii="Times New Roman" w:hAnsi="Times New Roman" w:cs="Times New Roman"/>
          <w:b/>
          <w:noProof/>
          <w:sz w:val="24"/>
          <w:szCs w:val="24"/>
        </w:rPr>
      </w:pPr>
      <w:r>
        <w:rPr>
          <w:rFonts w:ascii="Times New Roman" w:hAnsi="Times New Roman"/>
          <w:b/>
          <w:noProof/>
          <w:sz w:val="24"/>
        </w:rPr>
        <w:t>3. ZÁTĚŽ A HOSPODÁRNOST VÝDAJŮ</w:t>
      </w:r>
    </w:p>
    <w:p>
      <w:pPr>
        <w:jc w:val="both"/>
        <w:rPr>
          <w:rFonts w:ascii="Times New Roman" w:hAnsi="Times New Roman" w:cs="Times New Roman"/>
          <w:noProof/>
          <w:sz w:val="24"/>
          <w:szCs w:val="24"/>
        </w:rPr>
      </w:pPr>
      <w:r>
        <w:rPr>
          <w:rFonts w:ascii="Times New Roman" w:hAnsi="Times New Roman"/>
          <w:noProof/>
          <w:sz w:val="24"/>
        </w:rPr>
        <w:t>Polovina vykazujících členských států uvedla, že od minulé zprávy zlepšila svoji efektivitu. Jedna třetina z nich uvedla, že se jí podařilo snížit zátěž pro respondenty použitím více uživatelsky přívětivých dotazníků či snazších postupů předávání údajů.</w:t>
      </w:r>
    </w:p>
    <w:p>
      <w:pPr>
        <w:jc w:val="both"/>
        <w:rPr>
          <w:rFonts w:ascii="Times New Roman" w:hAnsi="Times New Roman" w:cs="Times New Roman"/>
          <w:noProof/>
          <w:sz w:val="24"/>
          <w:szCs w:val="24"/>
        </w:rPr>
      </w:pPr>
      <w:r>
        <w:rPr>
          <w:noProof/>
        </w:rPr>
        <w:t xml:space="preserve"> </w:t>
      </w:r>
      <w:r>
        <w:rPr>
          <w:rFonts w:ascii="Times New Roman" w:hAnsi="Times New Roman"/>
          <w:noProof/>
          <w:sz w:val="24"/>
        </w:rPr>
        <w:t>ESS provedl analýzu zátěže a hospodárnosti výdajů procesu potřebného pro shromažďování údajů k vypracování evropských statistik. Celkem 17 členských států (z 23 států vykazujících statistiky o vykládkách) zaslalo hodnoty vztahující se k zátěži, které byly vyjádřeny v ekvivalentech plného pracovního úvazku (FTE). Navíc u tří členských států, které mohly podat pouze celkovou hodnotu pro rybářské úlovky a vykládky dohromady, byla zátěž vykládek odhadnuta na přibližně polovinu výsledné hodnoty. Hodnoty zátěže se pohybovaly od 0,01 do 11 FTE a u poloviny členských států, které poskytly hodnoty o zátěži, byly nižší než 0,25 FTE.</w:t>
      </w:r>
    </w:p>
    <w:p>
      <w:pPr>
        <w:jc w:val="both"/>
        <w:rPr>
          <w:rFonts w:ascii="Times New Roman" w:hAnsi="Times New Roman" w:cs="Times New Roman"/>
          <w:noProof/>
          <w:sz w:val="24"/>
          <w:szCs w:val="24"/>
        </w:rPr>
      </w:pPr>
      <w:r>
        <w:rPr>
          <w:rFonts w:ascii="Times New Roman" w:hAnsi="Times New Roman"/>
          <w:noProof/>
          <w:sz w:val="24"/>
        </w:rPr>
        <w:t>Celkem 17 členských států zaslalo hodnoty týkající se přímých a nepřímých nákladů. U dvou členských států, které nebyly schopny rozlišit mezi náklady na shromažďování údajů o úlovcích a náklady na shromažďování údajů o vykládkách, byly náklady odhadnuty na přibližně polovinu výsledné hodnoty. Průměrné roční náklady na shromažďování statistických údajů o vnitrostátních vykládkách představovaly přibližně 109 000 EUR na členský stát. V porovnání s celkovou hodnotou vykládek představovaly celkové náklady na sběr údajů o vykládkách 0,08 % z celkové hodnoty vykládek.</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4. ZÁVĚRY</w:t>
      </w:r>
    </w:p>
    <w:p>
      <w:pPr>
        <w:jc w:val="both"/>
        <w:rPr>
          <w:rFonts w:ascii="Times New Roman" w:hAnsi="Times New Roman" w:cs="Times New Roman"/>
          <w:noProof/>
          <w:sz w:val="24"/>
          <w:szCs w:val="24"/>
        </w:rPr>
      </w:pPr>
      <w:r>
        <w:rPr>
          <w:rFonts w:ascii="Times New Roman" w:hAnsi="Times New Roman"/>
          <w:noProof/>
          <w:sz w:val="24"/>
        </w:rPr>
        <w:t>Za poslední roky došlo ke zlepšení dochvilnosti, úplnosti a konzistentnosti statistik o vykládkách produktů rybolovu. Členské státy poskytují spolehlivé informace o objemu a hodnotě produktů rybolovu vyložených na území EU a velmi užitečné a podrobné údaje na úrovni druhů, které jsou použity pro analýzu trhu EU s rybími produkty.</w:t>
      </w:r>
    </w:p>
    <w:p>
      <w:pPr>
        <w:jc w:val="both"/>
        <w:rPr>
          <w:rFonts w:ascii="Times New Roman" w:hAnsi="Times New Roman" w:cs="Times New Roman"/>
          <w:noProof/>
          <w:sz w:val="24"/>
          <w:szCs w:val="24"/>
        </w:rPr>
      </w:pPr>
      <w:r>
        <w:rPr>
          <w:rFonts w:ascii="Times New Roman" w:hAnsi="Times New Roman"/>
          <w:noProof/>
          <w:sz w:val="24"/>
        </w:rPr>
        <w:t>Pokyny pro vykazování poskytnuté Eurostatem napomohly ke sjednocení údajů o vykládkách. Zároveň opatření přijatá vnitrostátními poskytovateli údajů napomohla lepší dochvilnosti a úplnosti.</w:t>
      </w:r>
    </w:p>
    <w:p>
      <w:pPr>
        <w:jc w:val="both"/>
        <w:rPr>
          <w:rFonts w:ascii="Times New Roman" w:hAnsi="Times New Roman" w:cs="Times New Roman"/>
          <w:noProof/>
          <w:sz w:val="24"/>
          <w:szCs w:val="24"/>
        </w:rPr>
      </w:pPr>
      <w:r>
        <w:rPr>
          <w:rFonts w:ascii="Times New Roman" w:hAnsi="Times New Roman"/>
          <w:noProof/>
          <w:sz w:val="24"/>
        </w:rPr>
        <w:t>Roční náklady na vypracování statistických údajů o vykládkách představují v průměru 109 000 EUR na členský stát. Průměrný podíl nákladů na shromáždění statistických dat o vykládkách se však v rámci ekonomické hodnoty celkových vykládek pohyboval pod 0,1 %.</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5. DOPORUČENÍ</w:t>
      </w:r>
    </w:p>
    <w:p>
      <w:pPr>
        <w:jc w:val="both"/>
        <w:rPr>
          <w:rFonts w:ascii="Times New Roman" w:hAnsi="Times New Roman" w:cs="Times New Roman"/>
          <w:noProof/>
          <w:sz w:val="24"/>
          <w:szCs w:val="24"/>
        </w:rPr>
      </w:pPr>
      <w:r>
        <w:rPr>
          <w:rFonts w:ascii="Times New Roman" w:hAnsi="Times New Roman"/>
          <w:noProof/>
          <w:sz w:val="24"/>
        </w:rPr>
        <w:t>Na vnitrostátní úrovni by měly členské státy dále podporovat používání elektronických dotazníků, jelikož přispívá k větší efektivitě shromažďování údajů.</w:t>
      </w:r>
    </w:p>
    <w:p>
      <w:pPr>
        <w:jc w:val="both"/>
        <w:rPr>
          <w:rFonts w:ascii="Times New Roman" w:hAnsi="Times New Roman" w:cs="Times New Roman"/>
          <w:noProof/>
          <w:sz w:val="24"/>
          <w:szCs w:val="24"/>
        </w:rPr>
      </w:pPr>
      <w:r>
        <w:rPr>
          <w:rFonts w:ascii="Times New Roman" w:hAnsi="Times New Roman"/>
          <w:noProof/>
          <w:sz w:val="24"/>
        </w:rPr>
        <w:t>Lepší konzistentnost údajů by zajistil systematický postup pro porovnání s jinými vnitrostátními údaji. K větší spolehlivosti dat by rovněž přispěla automatizace ověřovacích postupů.</w:t>
      </w:r>
    </w:p>
    <w:p>
      <w:pPr>
        <w:jc w:val="both"/>
        <w:rPr>
          <w:rFonts w:ascii="Times New Roman" w:hAnsi="Times New Roman" w:cs="Times New Roman"/>
          <w:noProof/>
          <w:sz w:val="24"/>
          <w:szCs w:val="24"/>
        </w:rPr>
      </w:pPr>
      <w:r>
        <w:rPr>
          <w:rFonts w:ascii="Times New Roman" w:hAnsi="Times New Roman"/>
          <w:noProof/>
          <w:sz w:val="24"/>
        </w:rPr>
        <w:t>Komise (Eurostat) usiluje o neustálé zvyšování kvality a dostupnosti evropských statistik. Je rovněž odhodlána snížit zatížení členských států a respondentů. Za tímto účelem do svého ročního pracovního programu pro rok 2018</w:t>
      </w:r>
      <w:r>
        <w:rPr>
          <w:rStyle w:val="FootnoteReference"/>
          <w:rFonts w:ascii="Times New Roman" w:hAnsi="Times New Roman"/>
          <w:noProof/>
          <w:sz w:val="24"/>
        </w:rPr>
        <w:footnoteReference w:id="9"/>
      </w:r>
      <w:r>
        <w:rPr>
          <w:rFonts w:ascii="Times New Roman" w:hAnsi="Times New Roman"/>
          <w:noProof/>
          <w:sz w:val="24"/>
        </w:rPr>
        <w:t xml:space="preserve"> zahrnula projekt zefektivnění a zjednodušení statistik o rybolovu. Tento projekt zahrnuje vyhodnocení statistik o rybolovu (úlovků, vykládek a akvakultury), které v současnosti shromažďuje Eurostat. Vyhodnocení bude provedeno v celkovém kontextu údajů o rybolovu shromážděných dalšími GŘ Komise i mezinárodními organizacemi. Přispěje tak ke strategii, jejímž cílem je, aby statistiky rybolovu vytvořené Eurostatem lépe splňovaly svůj účel. Vyhodnocení bude ukončeno v létě roku 2019.</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666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70" w:hanging="170"/>
      </w:pPr>
      <w:r>
        <w:rPr>
          <w:rStyle w:val="FootnoteReference"/>
        </w:rPr>
        <w:footnoteRef/>
      </w:r>
      <w:r>
        <w:t xml:space="preserve"> Nařízení Evropského parlamentu a Rady (ES) č. 1921/2006 ze dne 18. prosince 2006 o předkládání statistických údajů o vykládkách produktů rybolovu v členských státech a o zrušení nařízení Rady (EHS) č. 1382/91 (Úř. věst. L 403, 30.12.2006, s. 1).</w:t>
      </w:r>
    </w:p>
  </w:footnote>
  <w:footnote w:id="2">
    <w:p>
      <w:pPr>
        <w:pStyle w:val="FootnoteText"/>
        <w:ind w:left="170" w:hanging="170"/>
      </w:pPr>
      <w:r>
        <w:rPr>
          <w:rStyle w:val="FootnoteReference"/>
        </w:rPr>
        <w:footnoteRef/>
      </w:r>
      <w:r>
        <w:t xml:space="preserve"> To znamená, že tyto statistiky nejsou srovnatelné s údaji o vykládkách shromážděných dle nařízení Rady (ES) č. 1224/2009, kde jsou data shromažďována na základě vlajek, pod nimiž plavidla plují.</w:t>
      </w:r>
    </w:p>
  </w:footnote>
  <w:footnote w:id="3">
    <w:p>
      <w:pPr>
        <w:pStyle w:val="FootnoteText"/>
        <w:ind w:left="170" w:hanging="170"/>
      </w:pPr>
      <w:r>
        <w:rPr>
          <w:rStyle w:val="FootnoteReference"/>
        </w:rPr>
        <w:footnoteRef/>
      </w:r>
      <w:r>
        <w:t xml:space="preserve"> Zpráva Komise Evropskému parlamentu a Radě o provádění nařízení (ES) č. 1921/2006 o předkládání statistických údajů o vykládkách produktů rybolovu v členských státech COM(2010) 675 final.</w:t>
      </w:r>
    </w:p>
  </w:footnote>
  <w:footnote w:id="4">
    <w:p>
      <w:pPr>
        <w:pStyle w:val="FootnoteText"/>
        <w:ind w:left="170" w:hanging="170"/>
      </w:pPr>
      <w:r>
        <w:rPr>
          <w:rStyle w:val="FootnoteReference"/>
        </w:rPr>
        <w:footnoteRef/>
      </w:r>
      <w:r>
        <w:t xml:space="preserve"> Zpráva Komise Evropskému parlamentu a Radě o provádění nařízení (ES) č. 1921/2006 o předkládání statistických údajů o vykládkách produktů rybolovu v členských státech COM(2014) 240 final.</w:t>
      </w:r>
    </w:p>
  </w:footnote>
  <w:footnote w:id="5">
    <w:p>
      <w:pPr>
        <w:pStyle w:val="FootnoteText"/>
        <w:ind w:left="170" w:hanging="170"/>
      </w:pPr>
      <w:r>
        <w:rPr>
          <w:rStyle w:val="FootnoteReference"/>
        </w:rPr>
        <w:footnoteRef/>
      </w:r>
      <w:r>
        <w:t xml:space="preserve"> Zpráva Komise Evropskému parlamentu a Radě o provádění nařízení (ES) č. 1921/2006 o předkládání statistických údajů o vykládkách produktů rybolovu v členských státech COM(2016) 239 final.</w:t>
      </w:r>
    </w:p>
  </w:footnote>
  <w:footnote w:id="6">
    <w:p>
      <w:pPr>
        <w:pStyle w:val="FootnoteText"/>
        <w:ind w:left="142" w:hanging="142"/>
      </w:pPr>
      <w:r>
        <w:rPr>
          <w:rStyle w:val="FootnoteReference"/>
        </w:rPr>
        <w:footnoteRef/>
      </w:r>
      <w:r>
        <w:t xml:space="preserve"> Nařízení Evropského parlamentu a Rady (EU) č. 1380/2013 ze dne 11. prosince 2013 o společné rybářské politice, o změně nařízení Rady (ES) č. 1954/2003 a (ES) č. 1224/2009 a o zrušení nařízení Rady (ES) č. 2371/2002 a (ES) č. 639/2004 a rozhodnutí Rady 2004/585/ES, článek 15.</w:t>
      </w:r>
    </w:p>
  </w:footnote>
  <w:footnote w:id="7">
    <w:p>
      <w:pPr>
        <w:pStyle w:val="FootnoteText"/>
      </w:pPr>
      <w:r>
        <w:rPr>
          <w:rStyle w:val="FootnoteReference"/>
        </w:rPr>
        <w:footnoteRef/>
      </w:r>
      <w:r>
        <w:t xml:space="preserve"> </w:t>
      </w:r>
      <w:hyperlink r:id="rId1">
        <w:r>
          <w:rPr>
            <w:rStyle w:val="Hyperlink"/>
          </w:rPr>
          <w:t>http://ec.europa.eu/eurostat/data/database</w:t>
        </w:r>
      </w:hyperlink>
      <w:r>
        <w:t xml:space="preserve"> (dostupné pouze v angličtině, francouzštině a němčině).</w:t>
      </w:r>
    </w:p>
  </w:footnote>
  <w:footnote w:id="8">
    <w:p>
      <w:pPr>
        <w:pStyle w:val="FootnoteText"/>
        <w:ind w:left="0" w:firstLine="0"/>
      </w:pPr>
      <w:r>
        <w:rPr>
          <w:rStyle w:val="FootnoteReference"/>
        </w:rPr>
        <w:footnoteRef/>
      </w:r>
      <w:r>
        <w:t xml:space="preserve"> Nejnovější publikací je „Agriculture, forestry and fishery statistics“ (Statistická publikace o zemědělství, lesnictví a rybolovu) – vydání z roku 2017, ISBN 978-92-79-75765-5 (dostupná pouze v angličtině).</w:t>
      </w:r>
    </w:p>
  </w:footnote>
  <w:footnote w:id="9">
    <w:p>
      <w:pPr>
        <w:pStyle w:val="FootnoteText"/>
      </w:pPr>
      <w:r>
        <w:rPr>
          <w:rStyle w:val="FootnoteReference"/>
        </w:rPr>
        <w:footnoteRef/>
      </w:r>
      <w:r>
        <w:t xml:space="preserve"> http://ec.europa.eu/eurostat/web/ess/-/annual-work-programme-2018 (dostupné pouze v angličtině).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EE89727-4EB7-4866-B1E4-CDB42935937B"/>
    <w:docVar w:name="LW_COVERPAGE_TYPE" w:val="1"/>
    <w:docVar w:name="LW_CROSSREFERENCE" w:val="&lt;UNUSED&gt;"/>
    <w:docVar w:name="LW_DocType" w:val="NORMAL"/>
    <w:docVar w:name="LW_EMISSION" w:val="5.2.2019"/>
    <w:docVar w:name="LW_EMISSION_ISODATE" w:val="2019-02-05"/>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provád\u283?ní na\u345?ízení Evropského parlamentu a Rady (ES) \u269?. 1921/2006 o p\u345?edkládání statistických údaj\u367? o vykládkách produkt\u367? rybolovu v \u269?lenských státech&lt;/FMT&gt;"/>
    <w:docVar w:name="LW_TYPE.DOC.CP" w:val="ZPRÁVA KOMISE EVROPSKÉMU PARLAMENTU A RAD\u282?"/>
    <w:docVar w:name="Stamp" w:val="\\dossiers.dgt.cec.eu.int\dossiers\ESTAT\ESTAT-2018-10217\ESTAT-2018-10217-00-00-EN-EDT-00.20181120124308273428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cs-CZ"/>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cs-CZ"/>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cs-CZ"/>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cs-CZ"/>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cs-CZ"/>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cs-CZ"/>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cs-CZ"/>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cs-CZ"/>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cs-CZ"/>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cs-CZ"/>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cs-CZ"/>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cs-CZ"/>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CB79-1155-4601-82D8-DC7B8699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8702</Characters>
  <Application>Microsoft Office Word</Application>
  <DocSecurity>0</DocSecurity>
  <Lines>152</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15</cp:revision>
  <cp:lastPrinted>2018-12-03T07:22:00Z</cp:lastPrinted>
  <dcterms:created xsi:type="dcterms:W3CDTF">2019-01-11T10:03:00Z</dcterms:created>
  <dcterms:modified xsi:type="dcterms:W3CDTF">2019-01-29T13:27:00Z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