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EF" w:rsidRDefault="00F375D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45ED9CD-C42C-41AE-9F11-BBE10EFAC916" style="width:450pt;height:307.5pt">
            <v:imagedata r:id="rId11" o:title=""/>
          </v:shape>
        </w:pict>
      </w:r>
    </w:p>
    <w:bookmarkEnd w:id="0"/>
    <w:p w:rsidR="00C526EF" w:rsidRDefault="00C526EF">
      <w:pPr>
        <w:rPr>
          <w:noProof/>
        </w:rPr>
        <w:sectPr w:rsidR="00C526EF">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C526EF" w:rsidRDefault="00F375DE">
      <w:pPr>
        <w:jc w:val="center"/>
        <w:rPr>
          <w:b/>
          <w:noProof/>
          <w:lang w:val="ru-RU"/>
        </w:rPr>
      </w:pPr>
      <w:r>
        <w:rPr>
          <w:b/>
          <w:noProof/>
          <w:lang w:val="ru-RU"/>
        </w:rPr>
        <w:lastRenderedPageBreak/>
        <w:t>ДОКЛАД НА КОМИСИЯТА ДО ЕВРОПЕЙСКИЯ ПАРЛАМЕНТ И СЪВЕТА</w:t>
      </w:r>
    </w:p>
    <w:p w:rsidR="00C526EF" w:rsidRDefault="00F375DE">
      <w:pPr>
        <w:jc w:val="center"/>
        <w:rPr>
          <w:b/>
          <w:noProof/>
          <w:lang w:val="ru-RU"/>
        </w:rPr>
      </w:pPr>
      <w:r>
        <w:rPr>
          <w:b/>
          <w:noProof/>
          <w:lang w:val="ru-RU"/>
        </w:rPr>
        <w:t>Шести доклад относно наблюдението на развитието на железопътния пазар съгласно член</w:t>
      </w:r>
      <w:r>
        <w:rPr>
          <w:b/>
          <w:noProof/>
        </w:rPr>
        <w:t> </w:t>
      </w:r>
      <w:r>
        <w:rPr>
          <w:b/>
          <w:noProof/>
          <w:lang w:val="ru-RU"/>
        </w:rPr>
        <w:t xml:space="preserve">15, </w:t>
      </w:r>
      <w:r>
        <w:rPr>
          <w:b/>
          <w:noProof/>
          <w:lang w:val="ru-RU"/>
        </w:rPr>
        <w:t>параграф</w:t>
      </w:r>
      <w:r>
        <w:rPr>
          <w:b/>
          <w:noProof/>
        </w:rPr>
        <w:t> </w:t>
      </w:r>
      <w:r>
        <w:rPr>
          <w:b/>
          <w:noProof/>
          <w:lang w:val="ru-RU"/>
        </w:rPr>
        <w:t>4 от Директива 2012/34/ЕС на Европейския парламент и на Съвета</w:t>
      </w:r>
    </w:p>
    <w:p w:rsidR="00C526EF" w:rsidRDefault="00C526EF">
      <w:pPr>
        <w:jc w:val="center"/>
        <w:rPr>
          <w:b/>
          <w:noProof/>
          <w:lang w:val="ru-RU"/>
        </w:rPr>
      </w:pPr>
    </w:p>
    <w:p w:rsidR="00C526EF" w:rsidRDefault="00F375DE">
      <w:pPr>
        <w:pStyle w:val="NumPar1"/>
        <w:rPr>
          <w:b/>
          <w:noProof/>
        </w:rPr>
      </w:pPr>
      <w:r>
        <w:rPr>
          <w:b/>
          <w:noProof/>
        </w:rPr>
        <w:t>Въведение</w:t>
      </w:r>
    </w:p>
    <w:p w:rsidR="00C526EF" w:rsidRDefault="00F375DE">
      <w:pPr>
        <w:rPr>
          <w:noProof/>
          <w:lang w:val="ru-RU"/>
        </w:rPr>
      </w:pPr>
      <w:r>
        <w:rPr>
          <w:noProof/>
          <w:lang w:val="ru-RU"/>
        </w:rPr>
        <w:t>Железопътният сектор</w:t>
      </w:r>
      <w:r>
        <w:rPr>
          <w:rStyle w:val="FootnoteReference"/>
          <w:noProof/>
        </w:rPr>
        <w:footnoteReference w:id="1"/>
      </w:r>
      <w:r>
        <w:rPr>
          <w:noProof/>
          <w:lang w:val="ru-RU"/>
        </w:rPr>
        <w:t xml:space="preserve"> оказва съществен принос към икономиката на ЕС, като пряко заетите в него са над 1</w:t>
      </w:r>
      <w:r>
        <w:rPr>
          <w:noProof/>
        </w:rPr>
        <w:t> </w:t>
      </w:r>
      <w:r>
        <w:rPr>
          <w:noProof/>
          <w:lang w:val="ru-RU"/>
        </w:rPr>
        <w:t xml:space="preserve">милион души (железопътни предприятия, управители на инфраструктура). </w:t>
      </w:r>
      <w:r>
        <w:rPr>
          <w:noProof/>
          <w:lang w:val="ru-RU"/>
        </w:rPr>
        <w:t>Европейските железници превозват около 1,6</w:t>
      </w:r>
      <w:r>
        <w:rPr>
          <w:noProof/>
        </w:rPr>
        <w:t> </w:t>
      </w:r>
      <w:r>
        <w:rPr>
          <w:noProof/>
          <w:lang w:val="ru-RU"/>
        </w:rPr>
        <w:t>милиарда тона товари и 9</w:t>
      </w:r>
      <w:r>
        <w:rPr>
          <w:noProof/>
        </w:rPr>
        <w:t> </w:t>
      </w:r>
      <w:r>
        <w:rPr>
          <w:noProof/>
          <w:lang w:val="ru-RU"/>
        </w:rPr>
        <w:t>милиарда пътници годишно. Железопътният транспорт е от решаващо значение за стратегията на ЕС за по-устойчив транспортен сектор, икономическо и социално сближаване и свързаност на европейс</w:t>
      </w:r>
      <w:r>
        <w:rPr>
          <w:noProof/>
          <w:lang w:val="ru-RU"/>
        </w:rPr>
        <w:t>ките граждани в рамките на територията на собствената им държава и между отделните държави членки.</w:t>
      </w:r>
    </w:p>
    <w:p w:rsidR="00C526EF" w:rsidRDefault="00F375DE">
      <w:pPr>
        <w:rPr>
          <w:noProof/>
          <w:lang w:val="ru-RU"/>
        </w:rPr>
      </w:pPr>
      <w:r>
        <w:rPr>
          <w:noProof/>
          <w:lang w:val="ru-RU"/>
        </w:rPr>
        <w:t>Това е шестото издание на доклада относно наблюдението на железопътния пазар, който Комисията представя на Европейския парламент и Съвета съгласно член</w:t>
      </w:r>
      <w:r>
        <w:rPr>
          <w:noProof/>
        </w:rPr>
        <w:t> </w:t>
      </w:r>
      <w:r>
        <w:rPr>
          <w:noProof/>
          <w:lang w:val="ru-RU"/>
        </w:rPr>
        <w:t>15, п</w:t>
      </w:r>
      <w:r>
        <w:rPr>
          <w:noProof/>
          <w:lang w:val="ru-RU"/>
        </w:rPr>
        <w:t>араграф</w:t>
      </w:r>
      <w:r>
        <w:rPr>
          <w:noProof/>
        </w:rPr>
        <w:t> </w:t>
      </w:r>
      <w:r>
        <w:rPr>
          <w:noProof/>
          <w:lang w:val="ru-RU"/>
        </w:rPr>
        <w:t>4 от Директива 2012/34/ЕС</w:t>
      </w:r>
      <w:r>
        <w:rPr>
          <w:rStyle w:val="FootnoteReference"/>
          <w:noProof/>
        </w:rPr>
        <w:footnoteReference w:id="2"/>
      </w:r>
      <w:r>
        <w:rPr>
          <w:noProof/>
          <w:lang w:val="ru-RU"/>
        </w:rPr>
        <w:t>. Целта на настоящия доклад е да се направи преглед на основните тенденции на развитие на железопътните пазари в контекста на целите на политиката на ЕС в тази област</w:t>
      </w:r>
      <w:r>
        <w:rPr>
          <w:rStyle w:val="FootnoteReference"/>
          <w:noProof/>
        </w:rPr>
        <w:footnoteReference w:id="3"/>
      </w:r>
      <w:r>
        <w:rPr>
          <w:noProof/>
          <w:lang w:val="ru-RU"/>
        </w:rPr>
        <w:t>. В доклада са обхванати широк кръг от теми, като разви</w:t>
      </w:r>
      <w:r>
        <w:rPr>
          <w:noProof/>
          <w:lang w:val="ru-RU"/>
        </w:rPr>
        <w:t>тието на вътрешния пазар на железопътни услуги, инфраструктурата и услугите, които са на разположение на железопътните предприятия, рамковите условия (включително таксите</w:t>
      </w:r>
      <w:r>
        <w:rPr>
          <w:rStyle w:val="FootnoteReference"/>
          <w:noProof/>
        </w:rPr>
        <w:footnoteReference w:id="4"/>
      </w:r>
      <w:r>
        <w:rPr>
          <w:noProof/>
          <w:lang w:val="ru-RU"/>
        </w:rPr>
        <w:t>), състоянието на мрежата, използването на правата за достъп и пречките пред постиган</w:t>
      </w:r>
      <w:r>
        <w:rPr>
          <w:noProof/>
          <w:lang w:val="ru-RU"/>
        </w:rPr>
        <w:t>ето на по-ефективни железопътни услуги. По-подробен анализ е представен в придружаващия работен документ на службите на Комисията.</w:t>
      </w:r>
    </w:p>
    <w:p w:rsidR="00C526EF" w:rsidRDefault="00F375DE">
      <w:pPr>
        <w:rPr>
          <w:noProof/>
          <w:lang w:val="ru-RU"/>
        </w:rPr>
      </w:pPr>
      <w:r>
        <w:rPr>
          <w:noProof/>
          <w:lang w:val="ru-RU"/>
        </w:rPr>
        <w:t>Това е първият доклад, изготвен въз основа на въпросника за целите на докладването, представен в Регламент за изпълнение (ЕС)</w:t>
      </w:r>
      <w:r>
        <w:rPr>
          <w:noProof/>
        </w:rPr>
        <w:t> </w:t>
      </w:r>
      <w:r>
        <w:rPr>
          <w:noProof/>
          <w:lang w:val="ru-RU"/>
        </w:rPr>
        <w:t>2015/1100 на Комисията относно задълженията за докладване на държавите членки в рамките на мониторинга на железопътния пазар</w:t>
      </w:r>
      <w:r>
        <w:rPr>
          <w:rStyle w:val="FootnoteReference"/>
          <w:noProof/>
        </w:rPr>
        <w:footnoteReference w:id="5"/>
      </w:r>
      <w:r>
        <w:rPr>
          <w:noProof/>
          <w:lang w:val="ru-RU"/>
        </w:rPr>
        <w:t xml:space="preserve"> (наричан по-нататък „Регламентът относно ПНЖП“). След като влиза в сила на 1</w:t>
      </w:r>
      <w:r>
        <w:rPr>
          <w:noProof/>
        </w:rPr>
        <w:t> </w:t>
      </w:r>
      <w:r>
        <w:rPr>
          <w:noProof/>
          <w:lang w:val="ru-RU"/>
        </w:rPr>
        <w:t>януари 2016</w:t>
      </w:r>
      <w:r>
        <w:rPr>
          <w:noProof/>
        </w:rPr>
        <w:t> </w:t>
      </w:r>
      <w:r>
        <w:rPr>
          <w:noProof/>
          <w:lang w:val="ru-RU"/>
        </w:rPr>
        <w:t>г., Регламентът относно ПНЖП следва пост</w:t>
      </w:r>
      <w:r>
        <w:rPr>
          <w:noProof/>
          <w:lang w:val="ru-RU"/>
        </w:rPr>
        <w:t>епенно да доведе до по-последователен и съгласуван набор от данни, като предходният период приключва с отчетната 2016 година.</w:t>
      </w:r>
    </w:p>
    <w:p w:rsidR="00C526EF" w:rsidRDefault="00F375DE">
      <w:pPr>
        <w:rPr>
          <w:noProof/>
          <w:lang w:val="ru-RU"/>
        </w:rPr>
      </w:pPr>
      <w:r>
        <w:rPr>
          <w:noProof/>
          <w:lang w:val="ru-RU"/>
        </w:rPr>
        <w:lastRenderedPageBreak/>
        <w:t>Освен на данните от ПНЖП, представени от държавите членки и Норвегия, настоящият доклад е изготвен въз основа и на сведения от ста</w:t>
      </w:r>
      <w:r>
        <w:rPr>
          <w:noProof/>
          <w:lang w:val="ru-RU"/>
        </w:rPr>
        <w:t>тистическия наръчник „Транспортът в ЕС в цифри“</w:t>
      </w:r>
      <w:r>
        <w:rPr>
          <w:rStyle w:val="FootnoteReference"/>
          <w:noProof/>
        </w:rPr>
        <w:footnoteReference w:id="6"/>
      </w:r>
      <w:r>
        <w:rPr>
          <w:noProof/>
          <w:lang w:val="ru-RU"/>
        </w:rPr>
        <w:t>, доклади на Агенцията за железопътен транспорт на Европейския съюз</w:t>
      </w:r>
      <w:r>
        <w:rPr>
          <w:rStyle w:val="FootnoteReference"/>
          <w:noProof/>
        </w:rPr>
        <w:footnoteReference w:id="7"/>
      </w:r>
      <w:r>
        <w:rPr>
          <w:noProof/>
          <w:lang w:val="ru-RU"/>
        </w:rPr>
        <w:t>, Евростат</w:t>
      </w:r>
      <w:r>
        <w:rPr>
          <w:rStyle w:val="FootnoteReference"/>
          <w:noProof/>
        </w:rPr>
        <w:footnoteReference w:id="8"/>
      </w:r>
      <w:r>
        <w:rPr>
          <w:noProof/>
          <w:lang w:val="ru-RU"/>
        </w:rPr>
        <w:t>, статистически данни, събрани от различни секторни организации, презентации и проучвания.</w:t>
      </w:r>
    </w:p>
    <w:p w:rsidR="00C526EF" w:rsidRDefault="00F375DE">
      <w:pPr>
        <w:pStyle w:val="NumPar1"/>
        <w:keepNext/>
        <w:rPr>
          <w:b/>
          <w:noProof/>
        </w:rPr>
      </w:pPr>
      <w:r>
        <w:rPr>
          <w:b/>
          <w:noProof/>
        </w:rPr>
        <w:t>Железопътната мрежа на ЕС</w:t>
      </w:r>
    </w:p>
    <w:p w:rsidR="00C526EF" w:rsidRDefault="00F375DE">
      <w:pPr>
        <w:rPr>
          <w:noProof/>
          <w:lang w:val="ru-RU"/>
        </w:rPr>
      </w:pPr>
      <w:r>
        <w:rPr>
          <w:noProof/>
          <w:lang w:val="ru-RU"/>
        </w:rPr>
        <w:t>През 2016</w:t>
      </w:r>
      <w:r>
        <w:rPr>
          <w:noProof/>
        </w:rPr>
        <w:t> </w:t>
      </w:r>
      <w:r>
        <w:rPr>
          <w:noProof/>
          <w:lang w:val="ru-RU"/>
        </w:rPr>
        <w:t xml:space="preserve">г. общата </w:t>
      </w:r>
      <w:r>
        <w:rPr>
          <w:b/>
          <w:noProof/>
          <w:lang w:val="ru-RU"/>
        </w:rPr>
        <w:t>дължина на железопътната мрежа на ЕС</w:t>
      </w:r>
      <w:r>
        <w:rPr>
          <w:rStyle w:val="FootnoteReference"/>
          <w:noProof/>
        </w:rPr>
        <w:footnoteReference w:id="9"/>
      </w:r>
      <w:r>
        <w:rPr>
          <w:noProof/>
          <w:lang w:val="ru-RU"/>
        </w:rPr>
        <w:t xml:space="preserve"> е била около 221</w:t>
      </w:r>
      <w:r>
        <w:rPr>
          <w:noProof/>
        </w:rPr>
        <w:t> </w:t>
      </w:r>
      <w:r>
        <w:rPr>
          <w:noProof/>
          <w:lang w:val="ru-RU"/>
        </w:rPr>
        <w:t>000 линейни километра (с 1,6</w:t>
      </w:r>
      <w:r>
        <w:rPr>
          <w:noProof/>
        </w:rPr>
        <w:t> </w:t>
      </w:r>
      <w:r>
        <w:rPr>
          <w:noProof/>
          <w:lang w:val="ru-RU"/>
        </w:rPr>
        <w:t>% по-малко отколкото през 2011</w:t>
      </w:r>
      <w:r>
        <w:rPr>
          <w:noProof/>
        </w:rPr>
        <w:t> </w:t>
      </w:r>
      <w:r>
        <w:rPr>
          <w:noProof/>
          <w:lang w:val="ru-RU"/>
        </w:rPr>
        <w:t xml:space="preserve">г.). </w:t>
      </w:r>
      <w:r>
        <w:rPr>
          <w:b/>
          <w:noProof/>
          <w:lang w:val="ru-RU"/>
        </w:rPr>
        <w:t>Гъстотата на националните железопътни мрежи</w:t>
      </w:r>
      <w:r>
        <w:rPr>
          <w:noProof/>
          <w:lang w:val="ru-RU"/>
        </w:rPr>
        <w:t xml:space="preserve"> отразява различните географски особености на отделните държави, като скандинавскит</w:t>
      </w:r>
      <w:r>
        <w:rPr>
          <w:noProof/>
          <w:lang w:val="ru-RU"/>
        </w:rPr>
        <w:t>е и балтийските държави са с най-ниска гъстота на железопътната мрежа спрямо площта, но с най-голяма гъстота спрямо населението. През 2016</w:t>
      </w:r>
      <w:r>
        <w:rPr>
          <w:noProof/>
        </w:rPr>
        <w:t> </w:t>
      </w:r>
      <w:r>
        <w:rPr>
          <w:noProof/>
          <w:lang w:val="ru-RU"/>
        </w:rPr>
        <w:t>г. около 54</w:t>
      </w:r>
      <w:r>
        <w:rPr>
          <w:noProof/>
        </w:rPr>
        <w:t> </w:t>
      </w:r>
      <w:r>
        <w:rPr>
          <w:noProof/>
          <w:lang w:val="ru-RU"/>
        </w:rPr>
        <w:t>% от мрежата на ЕС е била електрифицирана, като от 2011</w:t>
      </w:r>
      <w:r>
        <w:rPr>
          <w:noProof/>
        </w:rPr>
        <w:t> </w:t>
      </w:r>
      <w:r>
        <w:rPr>
          <w:noProof/>
          <w:lang w:val="ru-RU"/>
        </w:rPr>
        <w:t>г. насам са изградени нови 2097</w:t>
      </w:r>
      <w:r>
        <w:rPr>
          <w:noProof/>
        </w:rPr>
        <w:t> km</w:t>
      </w:r>
      <w:r>
        <w:rPr>
          <w:noProof/>
          <w:lang w:val="ru-RU"/>
        </w:rPr>
        <w:t xml:space="preserve"> електрифициран</w:t>
      </w:r>
      <w:r>
        <w:rPr>
          <w:noProof/>
          <w:lang w:val="ru-RU"/>
        </w:rPr>
        <w:t>и трасета (+1,7</w:t>
      </w:r>
      <w:r>
        <w:rPr>
          <w:noProof/>
        </w:rPr>
        <w:t> </w:t>
      </w:r>
      <w:r>
        <w:rPr>
          <w:noProof/>
          <w:lang w:val="ru-RU"/>
        </w:rPr>
        <w:t>%). До края на 2017</w:t>
      </w:r>
      <w:r>
        <w:rPr>
          <w:noProof/>
        </w:rPr>
        <w:t> </w:t>
      </w:r>
      <w:r>
        <w:rPr>
          <w:noProof/>
          <w:lang w:val="ru-RU"/>
        </w:rPr>
        <w:t xml:space="preserve">г. </w:t>
      </w:r>
      <w:r>
        <w:rPr>
          <w:b/>
          <w:noProof/>
          <w:lang w:val="ru-RU"/>
        </w:rPr>
        <w:t>високоскоростната мрежа</w:t>
      </w:r>
      <w:r>
        <w:rPr>
          <w:noProof/>
          <w:lang w:val="ru-RU"/>
        </w:rPr>
        <w:t xml:space="preserve"> на ЕС е обхващала над 8400</w:t>
      </w:r>
      <w:r>
        <w:rPr>
          <w:noProof/>
        </w:rPr>
        <w:t> </w:t>
      </w:r>
      <w:r>
        <w:rPr>
          <w:noProof/>
          <w:lang w:val="ru-RU"/>
        </w:rPr>
        <w:t>линейни километра, като нейната дължина се е увеличила над два пъти от 2003</w:t>
      </w:r>
      <w:r>
        <w:rPr>
          <w:noProof/>
        </w:rPr>
        <w:t> </w:t>
      </w:r>
      <w:r>
        <w:rPr>
          <w:noProof/>
          <w:lang w:val="ru-RU"/>
        </w:rPr>
        <w:t>г. насам.</w:t>
      </w:r>
    </w:p>
    <w:p w:rsidR="00C526EF" w:rsidRDefault="00F375DE">
      <w:pPr>
        <w:keepNext/>
        <w:rPr>
          <w:b/>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eastAsiaTheme="minorHAnsi" w:hAnsiTheme="minorHAnsi" w:cstheme="minorBidi"/>
          <w:iCs/>
          <w:noProof/>
          <w:color w:val="4F81BD" w:themeColor="accent1"/>
          <w:sz w:val="20"/>
          <w:szCs w:val="18"/>
        </w:rPr>
        <w:fldChar w:fldCharType="begin"/>
      </w:r>
      <w:r>
        <w:rPr>
          <w:rFonts w:asciiTheme="minorHAnsi" w:eastAsiaTheme="minorHAnsi" w:hAnsiTheme="minorHAnsi" w:cstheme="minorBidi"/>
          <w:iCs/>
          <w:noProof/>
          <w:color w:val="4F81BD" w:themeColor="accent1"/>
          <w:sz w:val="20"/>
          <w:szCs w:val="18"/>
          <w:lang w:val="ru-RU"/>
        </w:rPr>
        <w:instrText xml:space="preserve"> </w:instrText>
      </w:r>
      <w:r>
        <w:rPr>
          <w:rFonts w:asciiTheme="minorHAnsi" w:eastAsiaTheme="minorHAnsi" w:hAnsiTheme="minorHAnsi" w:cstheme="minorBidi"/>
          <w:iCs/>
          <w:noProof/>
          <w:color w:val="4F81BD" w:themeColor="accent1"/>
          <w:sz w:val="20"/>
          <w:szCs w:val="18"/>
        </w:rPr>
        <w:instrText>SEQ</w:instrText>
      </w:r>
      <w:r>
        <w:rPr>
          <w:rFonts w:asciiTheme="minorHAnsi" w:eastAsiaTheme="minorHAnsi" w:hAnsiTheme="minorHAnsi" w:cstheme="minorBidi"/>
          <w:iCs/>
          <w:noProof/>
          <w:color w:val="4F81BD" w:themeColor="accent1"/>
          <w:sz w:val="20"/>
          <w:szCs w:val="18"/>
          <w:lang w:val="ru-RU"/>
        </w:rPr>
        <w:instrText xml:space="preserve"> </w:instrText>
      </w:r>
      <w:r>
        <w:rPr>
          <w:rFonts w:asciiTheme="minorHAnsi" w:eastAsiaTheme="minorHAnsi" w:hAnsiTheme="minorHAnsi" w:cstheme="minorBidi"/>
          <w:iCs/>
          <w:noProof/>
          <w:color w:val="4F81BD" w:themeColor="accent1"/>
          <w:sz w:val="20"/>
          <w:szCs w:val="18"/>
        </w:rPr>
        <w:instrText>Figure</w:instrText>
      </w:r>
      <w:r>
        <w:rPr>
          <w:rFonts w:asciiTheme="minorHAnsi" w:eastAsiaTheme="minorHAnsi" w:hAnsiTheme="minorHAnsi" w:cstheme="minorBidi"/>
          <w:iCs/>
          <w:noProof/>
          <w:color w:val="4F81BD" w:themeColor="accent1"/>
          <w:sz w:val="20"/>
          <w:szCs w:val="18"/>
          <w:lang w:val="ru-RU"/>
        </w:rPr>
        <w:instrText xml:space="preserve"> \* </w:instrText>
      </w:r>
      <w:r>
        <w:rPr>
          <w:rFonts w:asciiTheme="minorHAnsi" w:eastAsiaTheme="minorHAnsi" w:hAnsiTheme="minorHAnsi" w:cstheme="minorBidi"/>
          <w:iCs/>
          <w:noProof/>
          <w:color w:val="4F81BD" w:themeColor="accent1"/>
          <w:sz w:val="20"/>
          <w:szCs w:val="18"/>
        </w:rPr>
        <w:instrText>ARABIC</w:instrText>
      </w:r>
      <w:r>
        <w:rPr>
          <w:rFonts w:asciiTheme="minorHAnsi" w:eastAsiaTheme="minorHAnsi" w:hAnsiTheme="minorHAnsi" w:cstheme="minorBidi"/>
          <w:iCs/>
          <w:noProof/>
          <w:color w:val="4F81BD" w:themeColor="accent1"/>
          <w:sz w:val="20"/>
          <w:szCs w:val="18"/>
          <w:lang w:val="ru-RU"/>
        </w:rPr>
        <w:instrText xml:space="preserve"> </w:instrText>
      </w:r>
      <w:r>
        <w:rPr>
          <w:rFonts w:asciiTheme="minorHAnsi" w:eastAsiaTheme="minorHAnsi" w:hAnsiTheme="minorHAnsi" w:cstheme="minorBidi"/>
          <w:iCs/>
          <w:noProof/>
          <w:color w:val="4F81BD" w:themeColor="accent1"/>
          <w:sz w:val="20"/>
          <w:szCs w:val="18"/>
        </w:rPr>
        <w:fldChar w:fldCharType="separate"/>
      </w:r>
      <w:r>
        <w:rPr>
          <w:rFonts w:asciiTheme="minorHAnsi" w:eastAsiaTheme="minorHAnsi" w:hAnsiTheme="minorHAnsi" w:cstheme="minorBidi"/>
          <w:iCs/>
          <w:noProof/>
          <w:color w:val="4F81BD" w:themeColor="accent1"/>
          <w:sz w:val="20"/>
          <w:szCs w:val="18"/>
          <w:lang w:val="ru-RU"/>
        </w:rPr>
        <w:t>1</w:t>
      </w:r>
      <w:r>
        <w:rPr>
          <w:rFonts w:asciiTheme="minorHAnsi" w:eastAsiaTheme="minorHAnsi" w:hAnsiTheme="minorHAnsi" w:cstheme="minorBidi"/>
          <w:iCs/>
          <w:noProof/>
          <w:color w:val="4F81BD" w:themeColor="accent1"/>
          <w:sz w:val="20"/>
          <w:szCs w:val="18"/>
        </w:rPr>
        <w:fldChar w:fldCharType="end"/>
      </w:r>
      <w:r>
        <w:rPr>
          <w:rFonts w:asciiTheme="minorHAnsi" w:hAnsiTheme="minorHAnsi"/>
          <w:iCs/>
          <w:noProof/>
          <w:color w:val="4F81BD" w:themeColor="accent1"/>
          <w:sz w:val="20"/>
          <w:szCs w:val="18"/>
          <w:lang w:val="ru-RU"/>
        </w:rPr>
        <w:t>: Дължина на националните мрежи през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г. и </w:t>
      </w:r>
      <w:r>
        <w:rPr>
          <w:rFonts w:asciiTheme="minorHAnsi" w:hAnsiTheme="minorHAnsi"/>
          <w:iCs/>
          <w:noProof/>
          <w:color w:val="4F81BD" w:themeColor="accent1"/>
          <w:sz w:val="20"/>
          <w:szCs w:val="18"/>
          <w:lang w:val="ru-RU"/>
        </w:rPr>
        <w:t>относителна промяна, 2011—2016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г. </w:t>
      </w:r>
    </w:p>
    <w:tbl>
      <w:tblPr>
        <w:tblW w:w="5000" w:type="pct"/>
        <w:tblLook w:val="04A0" w:firstRow="1" w:lastRow="0" w:firstColumn="1" w:lastColumn="0" w:noHBand="0" w:noVBand="1"/>
      </w:tblPr>
      <w:tblGrid>
        <w:gridCol w:w="6638"/>
        <w:gridCol w:w="2196"/>
      </w:tblGrid>
      <w:tr w:rsidR="00C526EF">
        <w:tc>
          <w:tcPr>
            <w:tcW w:w="6936" w:type="dxa"/>
          </w:tcPr>
          <w:p w:rsidR="00C526EF" w:rsidRDefault="00F375DE">
            <w:pPr>
              <w:pStyle w:val="NumPar1"/>
              <w:keepNext/>
              <w:numPr>
                <w:ilvl w:val="0"/>
                <w:numId w:val="0"/>
              </w:numPr>
              <w:jc w:val="center"/>
              <w:rPr>
                <w:b/>
                <w:noProof/>
                <w:sz w:val="20"/>
              </w:rPr>
            </w:pPr>
            <w:r>
              <w:rPr>
                <w:b/>
                <w:noProof/>
                <w:sz w:val="20"/>
              </w:rPr>
              <w:drawing>
                <wp:inline distT="0" distB="0" distL="0" distR="0">
                  <wp:extent cx="4314825" cy="286702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4825" cy="2867025"/>
                          </a:xfrm>
                          <a:prstGeom prst="rect">
                            <a:avLst/>
                          </a:prstGeom>
                          <a:noFill/>
                          <a:ln>
                            <a:noFill/>
                          </a:ln>
                        </pic:spPr>
                      </pic:pic>
                    </a:graphicData>
                  </a:graphic>
                </wp:inline>
              </w:drawing>
            </w:r>
          </w:p>
        </w:tc>
        <w:tc>
          <w:tcPr>
            <w:tcW w:w="1898" w:type="dxa"/>
          </w:tcPr>
          <w:p w:rsidR="00C526EF" w:rsidRDefault="00F375DE">
            <w:pPr>
              <w:pStyle w:val="NumPar1"/>
              <w:numPr>
                <w:ilvl w:val="0"/>
                <w:numId w:val="0"/>
              </w:numPr>
              <w:jc w:val="center"/>
              <w:rPr>
                <w:b/>
                <w:noProof/>
                <w:sz w:val="20"/>
              </w:rPr>
            </w:pPr>
            <w:r>
              <w:rPr>
                <w:b/>
                <w:noProof/>
                <w:sz w:val="20"/>
              </w:rPr>
              <w:drawing>
                <wp:inline distT="0" distB="0" distL="0" distR="0">
                  <wp:extent cx="1333500" cy="279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2796540"/>
                          </a:xfrm>
                          <a:prstGeom prst="rect">
                            <a:avLst/>
                          </a:prstGeom>
                          <a:noFill/>
                          <a:ln>
                            <a:noFill/>
                          </a:ln>
                        </pic:spPr>
                      </pic:pic>
                    </a:graphicData>
                  </a:graphic>
                </wp:inline>
              </w:drawing>
            </w:r>
          </w:p>
        </w:tc>
      </w:tr>
    </w:tbl>
    <w:p w:rsidR="00C526EF" w:rsidRDefault="00F375DE">
      <w:pPr>
        <w:pStyle w:val="Source"/>
        <w:rPr>
          <w:b/>
          <w:noProof/>
          <w:lang w:val="ru-RU"/>
        </w:rPr>
      </w:pPr>
      <w:r>
        <w:rPr>
          <w:noProof/>
          <w:lang w:val="ru-RU"/>
        </w:rPr>
        <w:t xml:space="preserve">Източник: </w:t>
      </w:r>
      <w:r>
        <w:rPr>
          <w:noProof/>
        </w:rPr>
        <w:t>Statistical</w:t>
      </w:r>
      <w:r>
        <w:rPr>
          <w:noProof/>
          <w:lang w:val="ru-RU"/>
        </w:rPr>
        <w:t xml:space="preserve"> </w:t>
      </w:r>
      <w:r>
        <w:rPr>
          <w:noProof/>
        </w:rPr>
        <w:t>pocketbook</w:t>
      </w:r>
      <w:r>
        <w:rPr>
          <w:noProof/>
          <w:lang w:val="ru-RU"/>
        </w:rPr>
        <w:t xml:space="preserve"> („Статистически наръчник“), 2018</w:t>
      </w:r>
      <w:r>
        <w:rPr>
          <w:noProof/>
        </w:rPr>
        <w:t> </w:t>
      </w:r>
      <w:r>
        <w:rPr>
          <w:noProof/>
          <w:lang w:val="ru-RU"/>
        </w:rPr>
        <w:t xml:space="preserve">г. Допълващи данни от различни други източници. </w:t>
      </w:r>
    </w:p>
    <w:p w:rsidR="00C526EF" w:rsidRDefault="00F375DE">
      <w:pPr>
        <w:pStyle w:val="NumPar1"/>
        <w:keepNext/>
        <w:rPr>
          <w:b/>
          <w:noProof/>
        </w:rPr>
      </w:pPr>
      <w:r>
        <w:rPr>
          <w:b/>
          <w:noProof/>
        </w:rPr>
        <w:t>Услуги за железопътните предприятия</w:t>
      </w:r>
    </w:p>
    <w:p w:rsidR="00C526EF" w:rsidRDefault="00F375DE">
      <w:pPr>
        <w:rPr>
          <w:noProof/>
          <w:lang w:val="ru-RU"/>
        </w:rPr>
      </w:pPr>
      <w:r>
        <w:rPr>
          <w:noProof/>
          <w:lang w:val="ru-RU"/>
        </w:rPr>
        <w:t>Картографирането на обслужващите съоръжения продължава да бъде пр</w:t>
      </w:r>
      <w:r>
        <w:rPr>
          <w:noProof/>
          <w:lang w:val="ru-RU"/>
        </w:rPr>
        <w:t>едизвикателство поради променливия характер на предлаганите услуги и големия брой различни по вид и мащаб оператори.</w:t>
      </w:r>
    </w:p>
    <w:p w:rsidR="00C526EF" w:rsidRDefault="00F375DE">
      <w:pPr>
        <w:rPr>
          <w:noProof/>
          <w:lang w:val="ru-RU"/>
        </w:rPr>
      </w:pPr>
      <w:r>
        <w:rPr>
          <w:noProof/>
          <w:lang w:val="ru-RU"/>
        </w:rPr>
        <w:t>Според наличните данни от ПНЖП</w:t>
      </w:r>
      <w:r>
        <w:rPr>
          <w:rStyle w:val="FootnoteReference"/>
          <w:noProof/>
        </w:rPr>
        <w:footnoteReference w:id="10"/>
      </w:r>
      <w:r>
        <w:rPr>
          <w:noProof/>
          <w:lang w:val="ru-RU"/>
        </w:rPr>
        <w:t xml:space="preserve"> към 2016</w:t>
      </w:r>
      <w:r>
        <w:rPr>
          <w:noProof/>
        </w:rPr>
        <w:t> </w:t>
      </w:r>
      <w:r>
        <w:rPr>
          <w:noProof/>
          <w:lang w:val="ru-RU"/>
        </w:rPr>
        <w:t>г. са съществували:</w:t>
      </w:r>
    </w:p>
    <w:p w:rsidR="00C526EF" w:rsidRDefault="00F375DE">
      <w:pPr>
        <w:pStyle w:val="ListDash1"/>
        <w:rPr>
          <w:noProof/>
        </w:rPr>
      </w:pPr>
      <w:r>
        <w:rPr>
          <w:noProof/>
        </w:rPr>
        <w:t>31 000 пътнически гари;</w:t>
      </w:r>
    </w:p>
    <w:p w:rsidR="00C526EF" w:rsidRDefault="00F375DE">
      <w:pPr>
        <w:pStyle w:val="ListDash1"/>
        <w:numPr>
          <w:ilvl w:val="0"/>
          <w:numId w:val="19"/>
        </w:numPr>
        <w:rPr>
          <w:noProof/>
        </w:rPr>
      </w:pPr>
      <w:r>
        <w:rPr>
          <w:noProof/>
        </w:rPr>
        <w:t>2358 товарни терминала;</w:t>
      </w:r>
    </w:p>
    <w:p w:rsidR="00C526EF" w:rsidRDefault="00F375DE">
      <w:pPr>
        <w:pStyle w:val="ListDash1"/>
        <w:rPr>
          <w:noProof/>
        </w:rPr>
      </w:pPr>
      <w:r>
        <w:rPr>
          <w:noProof/>
        </w:rPr>
        <w:t>452 разпределителни гари;</w:t>
      </w:r>
    </w:p>
    <w:p w:rsidR="00C526EF" w:rsidRDefault="00F375DE">
      <w:pPr>
        <w:pStyle w:val="ListDash1"/>
        <w:rPr>
          <w:noProof/>
        </w:rPr>
      </w:pPr>
      <w:r>
        <w:rPr>
          <w:noProof/>
        </w:rPr>
        <w:t>1667</w:t>
      </w:r>
      <w:r>
        <w:rPr>
          <w:noProof/>
        </w:rPr>
        <w:t xml:space="preserve"> съоръжения за поддръжка;</w:t>
      </w:r>
    </w:p>
    <w:p w:rsidR="00C526EF" w:rsidRDefault="00F375DE">
      <w:pPr>
        <w:pStyle w:val="ListDash1"/>
        <w:rPr>
          <w:noProof/>
        </w:rPr>
      </w:pPr>
      <w:r>
        <w:rPr>
          <w:noProof/>
        </w:rPr>
        <w:t>702 морски и пристанищни съоръжения; и</w:t>
      </w:r>
    </w:p>
    <w:p w:rsidR="00C526EF" w:rsidRDefault="00F375DE">
      <w:pPr>
        <w:pStyle w:val="ListDash1"/>
        <w:rPr>
          <w:noProof/>
          <w:lang w:val="ru-RU"/>
        </w:rPr>
      </w:pPr>
      <w:r>
        <w:rPr>
          <w:noProof/>
          <w:lang w:val="ru-RU"/>
        </w:rPr>
        <w:t>954 съоръжения за зареждане с гориво.</w:t>
      </w:r>
    </w:p>
    <w:p w:rsidR="00C526EF" w:rsidRDefault="00F375DE">
      <w:pPr>
        <w:rPr>
          <w:b/>
          <w:noProof/>
          <w:lang w:val="ru-RU"/>
        </w:rPr>
      </w:pPr>
      <w:r>
        <w:rPr>
          <w:noProof/>
          <w:lang w:val="ru-RU"/>
        </w:rPr>
        <w:t>Комисията работи по изпълнението на Регламент</w:t>
      </w:r>
      <w:r>
        <w:rPr>
          <w:noProof/>
        </w:rPr>
        <w:t> </w:t>
      </w:r>
      <w:r>
        <w:rPr>
          <w:noProof/>
          <w:lang w:val="ru-RU"/>
        </w:rPr>
        <w:t>(ЕС) 2017/2177 относно достъпа до обслужващи съоръжения</w:t>
      </w:r>
      <w:r>
        <w:rPr>
          <w:rStyle w:val="FootnoteReference"/>
          <w:noProof/>
        </w:rPr>
        <w:footnoteReference w:id="11"/>
      </w:r>
      <w:r>
        <w:rPr>
          <w:noProof/>
          <w:lang w:val="ru-RU"/>
        </w:rPr>
        <w:t>, по създаването на портал относно железопътните съ</w:t>
      </w:r>
      <w:r>
        <w:rPr>
          <w:noProof/>
          <w:lang w:val="ru-RU"/>
        </w:rPr>
        <w:t>оръжения в ЕС с оглед картографирането им и по-доброто изпълнение на Регламента относно ПНЖП във връзка с тяхното наблюдение.</w:t>
      </w:r>
    </w:p>
    <w:p w:rsidR="00C526EF" w:rsidRDefault="00F375DE">
      <w:pPr>
        <w:pStyle w:val="NumPar1"/>
        <w:keepNext/>
        <w:rPr>
          <w:b/>
          <w:noProof/>
        </w:rPr>
      </w:pPr>
      <w:r>
        <w:rPr>
          <w:b/>
          <w:noProof/>
        </w:rPr>
        <w:t>Развитие на железопътните услуги</w:t>
      </w:r>
    </w:p>
    <w:p w:rsidR="00C526EF" w:rsidRDefault="00F375DE">
      <w:pPr>
        <w:rPr>
          <w:noProof/>
          <w:lang w:val="ru-RU"/>
        </w:rPr>
      </w:pPr>
      <w:r>
        <w:rPr>
          <w:noProof/>
          <w:lang w:val="ru-RU"/>
        </w:rPr>
        <w:t xml:space="preserve">Общите влак-километри в ЕС, които включват движението както на пътническите, така и на товарните </w:t>
      </w:r>
      <w:r>
        <w:rPr>
          <w:noProof/>
          <w:lang w:val="ru-RU"/>
        </w:rPr>
        <w:t>влакове, са се запазили стабилни през периода 2009—2016</w:t>
      </w:r>
      <w:r>
        <w:rPr>
          <w:noProof/>
        </w:rPr>
        <w:t> </w:t>
      </w:r>
      <w:r>
        <w:rPr>
          <w:noProof/>
          <w:lang w:val="ru-RU"/>
        </w:rPr>
        <w:t>г. Железопътният пътникопоток е продължил да се увеличава с 1,7</w:t>
      </w:r>
      <w:r>
        <w:rPr>
          <w:noProof/>
        </w:rPr>
        <w:t> </w:t>
      </w:r>
      <w:r>
        <w:rPr>
          <w:noProof/>
          <w:lang w:val="ru-RU"/>
        </w:rPr>
        <w:t>% годишно. За разлика от това, железопътният товаропоток трудно се е възстановил от значителния спад в обема, отчетен през 2009</w:t>
      </w:r>
      <w:r>
        <w:rPr>
          <w:noProof/>
        </w:rPr>
        <w:t> </w:t>
      </w:r>
      <w:r>
        <w:rPr>
          <w:noProof/>
          <w:lang w:val="ru-RU"/>
        </w:rPr>
        <w:t>г. — раз</w:t>
      </w:r>
      <w:r>
        <w:rPr>
          <w:noProof/>
          <w:lang w:val="ru-RU"/>
        </w:rPr>
        <w:t>гарът на икономическата криза. През 2011</w:t>
      </w:r>
      <w:r>
        <w:rPr>
          <w:noProof/>
        </w:rPr>
        <w:t> </w:t>
      </w:r>
      <w:r>
        <w:rPr>
          <w:noProof/>
          <w:lang w:val="ru-RU"/>
        </w:rPr>
        <w:t>г. е отбелязана връхна точка, която е последвана от бавно възстановяване от 2012</w:t>
      </w:r>
      <w:r>
        <w:rPr>
          <w:noProof/>
        </w:rPr>
        <w:t> </w:t>
      </w:r>
      <w:r>
        <w:rPr>
          <w:noProof/>
          <w:lang w:val="ru-RU"/>
        </w:rPr>
        <w:t>г. нататък</w:t>
      </w:r>
      <w:r>
        <w:rPr>
          <w:rStyle w:val="FootnoteReference"/>
          <w:noProof/>
        </w:rPr>
        <w:footnoteReference w:id="12"/>
      </w:r>
      <w:r>
        <w:rPr>
          <w:noProof/>
          <w:lang w:val="ru-RU"/>
        </w:rPr>
        <w:t>.</w:t>
      </w:r>
    </w:p>
    <w:p w:rsidR="00C526EF" w:rsidRDefault="00F375DE">
      <w:pPr>
        <w:keepNext/>
        <w:rPr>
          <w:iCs/>
          <w:noProof/>
          <w:szCs w:val="24"/>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2: Пътникопоток и товаропоток, 2005—2016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iCs/>
          <w:noProof/>
          <w:szCs w:val="24"/>
        </w:rPr>
      </w:pPr>
      <w:r>
        <w:rPr>
          <w:noProof/>
        </w:rPr>
        <w:drawing>
          <wp:inline distT="0" distB="0" distL="0" distR="0">
            <wp:extent cx="5400675" cy="2457450"/>
            <wp:effectExtent l="0" t="0" r="9525"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6288" cy="2460004"/>
                    </a:xfrm>
                    <a:prstGeom prst="rect">
                      <a:avLst/>
                    </a:prstGeom>
                    <a:noFill/>
                    <a:ln>
                      <a:noFill/>
                    </a:ln>
                  </pic:spPr>
                </pic:pic>
              </a:graphicData>
            </a:graphic>
          </wp:inline>
        </w:drawing>
      </w:r>
    </w:p>
    <w:p w:rsidR="00C526EF" w:rsidRDefault="00F375DE">
      <w:pPr>
        <w:pStyle w:val="Source"/>
        <w:rPr>
          <w:noProof/>
          <w:lang w:val="ru-RU"/>
        </w:rPr>
      </w:pPr>
      <w:r>
        <w:rPr>
          <w:noProof/>
          <w:lang w:val="ru-RU"/>
        </w:rPr>
        <w:t>Източник: ПНЖП, 2018</w:t>
      </w:r>
      <w:r>
        <w:rPr>
          <w:noProof/>
        </w:rPr>
        <w:t> </w:t>
      </w:r>
      <w:r>
        <w:rPr>
          <w:noProof/>
          <w:lang w:val="ru-RU"/>
        </w:rPr>
        <w:t xml:space="preserve">г. Допълващи данни от различни други източници </w:t>
      </w:r>
      <w:r>
        <w:rPr>
          <w:noProof/>
          <w:lang w:val="ru-RU"/>
        </w:rPr>
        <w:t>и прогнозни оценки.</w:t>
      </w:r>
    </w:p>
    <w:p w:rsidR="00C526EF" w:rsidRDefault="00F375DE">
      <w:pPr>
        <w:rPr>
          <w:iCs/>
          <w:noProof/>
          <w:szCs w:val="24"/>
          <w:lang w:val="ru-RU"/>
        </w:rPr>
      </w:pPr>
      <w:r>
        <w:rPr>
          <w:noProof/>
          <w:lang w:val="ru-RU"/>
        </w:rPr>
        <w:t>Железопътният транспорт има потенциал да допринесе значително за ускоряване на намаляването на емисиите от транспорта. На железопътния транспорт се падат едва 2</w:t>
      </w:r>
      <w:r>
        <w:rPr>
          <w:noProof/>
        </w:rPr>
        <w:t> </w:t>
      </w:r>
      <w:r>
        <w:rPr>
          <w:noProof/>
          <w:lang w:val="ru-RU"/>
        </w:rPr>
        <w:t>% от общото потребление на енергия в ЕС в транспортния сектор, а неговият д</w:t>
      </w:r>
      <w:r>
        <w:rPr>
          <w:noProof/>
          <w:lang w:val="ru-RU"/>
        </w:rPr>
        <w:t>ял от превозваните с всички видове транспорт товари и пътници през 2016</w:t>
      </w:r>
      <w:r>
        <w:rPr>
          <w:noProof/>
        </w:rPr>
        <w:t> </w:t>
      </w:r>
      <w:r>
        <w:rPr>
          <w:noProof/>
          <w:lang w:val="ru-RU"/>
        </w:rPr>
        <w:t>г. е съответно 11,2</w:t>
      </w:r>
      <w:r>
        <w:rPr>
          <w:noProof/>
        </w:rPr>
        <w:t> </w:t>
      </w:r>
      <w:r>
        <w:rPr>
          <w:noProof/>
          <w:lang w:val="ru-RU"/>
        </w:rPr>
        <w:t>% и 6,6</w:t>
      </w:r>
      <w:r>
        <w:rPr>
          <w:noProof/>
        </w:rPr>
        <w:t> </w:t>
      </w:r>
      <w:r>
        <w:rPr>
          <w:noProof/>
          <w:lang w:val="ru-RU"/>
        </w:rPr>
        <w:t xml:space="preserve">%. Той е също така единственият вид транспорт, при който емисиите на </w:t>
      </w:r>
      <w:r>
        <w:rPr>
          <w:noProof/>
        </w:rPr>
        <w:t>CO</w:t>
      </w:r>
      <w:r>
        <w:rPr>
          <w:iCs/>
          <w:noProof/>
          <w:szCs w:val="24"/>
          <w:vertAlign w:val="subscript"/>
          <w:lang w:val="ru-RU"/>
        </w:rPr>
        <w:t>2</w:t>
      </w:r>
      <w:r>
        <w:rPr>
          <w:noProof/>
          <w:lang w:val="ru-RU"/>
        </w:rPr>
        <w:t xml:space="preserve"> намаляват почти непрекъснато от 1990</w:t>
      </w:r>
      <w:r>
        <w:rPr>
          <w:noProof/>
        </w:rPr>
        <w:t> </w:t>
      </w:r>
      <w:r>
        <w:rPr>
          <w:noProof/>
          <w:lang w:val="ru-RU"/>
        </w:rPr>
        <w:t>г. насам: през 2016</w:t>
      </w:r>
      <w:r>
        <w:rPr>
          <w:noProof/>
        </w:rPr>
        <w:t> </w:t>
      </w:r>
      <w:r>
        <w:rPr>
          <w:noProof/>
          <w:lang w:val="ru-RU"/>
        </w:rPr>
        <w:t>г. неговият дял от емисиит</w:t>
      </w:r>
      <w:r>
        <w:rPr>
          <w:noProof/>
          <w:lang w:val="ru-RU"/>
        </w:rPr>
        <w:t xml:space="preserve">е на </w:t>
      </w:r>
      <w:r>
        <w:rPr>
          <w:noProof/>
        </w:rPr>
        <w:t>CO</w:t>
      </w:r>
      <w:r>
        <w:rPr>
          <w:iCs/>
          <w:noProof/>
          <w:szCs w:val="24"/>
          <w:vertAlign w:val="subscript"/>
          <w:lang w:val="ru-RU"/>
        </w:rPr>
        <w:t>2</w:t>
      </w:r>
      <w:r>
        <w:rPr>
          <w:noProof/>
          <w:lang w:val="ru-RU"/>
        </w:rPr>
        <w:t xml:space="preserve"> от всички видове транспорт</w:t>
      </w:r>
      <w:r>
        <w:rPr>
          <w:rStyle w:val="FootnoteReference"/>
          <w:iCs/>
          <w:noProof/>
          <w:szCs w:val="24"/>
        </w:rPr>
        <w:footnoteReference w:id="13"/>
      </w:r>
      <w:r>
        <w:rPr>
          <w:noProof/>
          <w:lang w:val="ru-RU"/>
        </w:rPr>
        <w:t xml:space="preserve"> е бил само 0,5</w:t>
      </w:r>
      <w:r>
        <w:rPr>
          <w:noProof/>
        </w:rPr>
        <w:t> </w:t>
      </w:r>
      <w:r>
        <w:rPr>
          <w:noProof/>
          <w:lang w:val="ru-RU"/>
        </w:rPr>
        <w:t xml:space="preserve">%. </w:t>
      </w:r>
    </w:p>
    <w:p w:rsidR="00C526EF" w:rsidRDefault="00F375DE">
      <w:pPr>
        <w:keepNext/>
        <w:rPr>
          <w:i/>
          <w:noProof/>
          <w:lang w:val="ru-RU"/>
        </w:rPr>
      </w:pPr>
      <w:r>
        <w:rPr>
          <w:i/>
          <w:noProof/>
          <w:lang w:val="ru-RU"/>
        </w:rPr>
        <w:t>Пътнически превози</w:t>
      </w:r>
    </w:p>
    <w:p w:rsidR="00C526EF" w:rsidRDefault="00F375DE">
      <w:pPr>
        <w:rPr>
          <w:noProof/>
          <w:lang w:val="ru-RU"/>
        </w:rPr>
      </w:pPr>
      <w:r>
        <w:rPr>
          <w:noProof/>
          <w:lang w:val="ru-RU"/>
        </w:rPr>
        <w:t>През 2016</w:t>
      </w:r>
      <w:r>
        <w:rPr>
          <w:noProof/>
        </w:rPr>
        <w:t> </w:t>
      </w:r>
      <w:r>
        <w:rPr>
          <w:noProof/>
          <w:lang w:val="ru-RU"/>
        </w:rPr>
        <w:t>г. пътникопотокът в ЕС е достигнал 450</w:t>
      </w:r>
      <w:r>
        <w:rPr>
          <w:noProof/>
        </w:rPr>
        <w:t> </w:t>
      </w:r>
      <w:r>
        <w:rPr>
          <w:noProof/>
          <w:lang w:val="ru-RU"/>
        </w:rPr>
        <w:t>милиарда пътник</w:t>
      </w:r>
      <w:r>
        <w:rPr>
          <w:noProof/>
        </w:rPr>
        <w:t>o</w:t>
      </w:r>
      <w:r>
        <w:rPr>
          <w:noProof/>
          <w:lang w:val="ru-RU"/>
        </w:rPr>
        <w:t>километра, като сухоземният транспорт е възлизал общо на около 6</w:t>
      </w:r>
      <w:r>
        <w:rPr>
          <w:noProof/>
        </w:rPr>
        <w:t> </w:t>
      </w:r>
      <w:r>
        <w:rPr>
          <w:noProof/>
          <w:lang w:val="ru-RU"/>
        </w:rPr>
        <w:t>трилиона пътникокилометра. Железопътният пътникопот</w:t>
      </w:r>
      <w:r>
        <w:rPr>
          <w:noProof/>
          <w:lang w:val="ru-RU"/>
        </w:rPr>
        <w:t>ок е предимно с национален характер, като през 2016</w:t>
      </w:r>
      <w:r>
        <w:rPr>
          <w:noProof/>
        </w:rPr>
        <w:t> </w:t>
      </w:r>
      <w:r>
        <w:rPr>
          <w:noProof/>
          <w:lang w:val="ru-RU"/>
        </w:rPr>
        <w:t>г. трансграничният дял е само 6</w:t>
      </w:r>
      <w:r>
        <w:rPr>
          <w:noProof/>
        </w:rPr>
        <w:t> </w:t>
      </w:r>
      <w:r>
        <w:rPr>
          <w:noProof/>
          <w:lang w:val="ru-RU"/>
        </w:rPr>
        <w:t>%.</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3: Развитие на железопътния пътникопоток, 2007—2016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2736215"/>
            <wp:effectExtent l="0" t="0" r="0" b="6985"/>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2430" cy="2736215"/>
                    </a:xfrm>
                    <a:prstGeom prst="rect">
                      <a:avLst/>
                    </a:prstGeom>
                    <a:noFill/>
                    <a:ln>
                      <a:noFill/>
                    </a:ln>
                  </pic:spPr>
                </pic:pic>
              </a:graphicData>
            </a:graphic>
          </wp:inline>
        </w:drawing>
      </w:r>
    </w:p>
    <w:p w:rsidR="00C526EF" w:rsidRDefault="00F375DE">
      <w:pPr>
        <w:pStyle w:val="Source"/>
        <w:rPr>
          <w:noProof/>
          <w:lang w:val="ru-RU"/>
        </w:rPr>
      </w:pPr>
      <w:r>
        <w:rPr>
          <w:noProof/>
          <w:lang w:val="ru-RU"/>
        </w:rPr>
        <w:t>Източник: ПНЖП, 2018</w:t>
      </w:r>
      <w:r>
        <w:rPr>
          <w:noProof/>
        </w:rPr>
        <w:t> </w:t>
      </w:r>
      <w:r>
        <w:rPr>
          <w:noProof/>
          <w:lang w:val="ru-RU"/>
        </w:rPr>
        <w:t>г. Допълващи данни от различни други източници и прогнозни оценки.</w:t>
      </w:r>
    </w:p>
    <w:p w:rsidR="00C526EF" w:rsidRDefault="00F375DE">
      <w:pPr>
        <w:rPr>
          <w:noProof/>
          <w:lang w:val="ru-RU"/>
        </w:rPr>
      </w:pPr>
      <w:r>
        <w:rPr>
          <w:noProof/>
          <w:lang w:val="ru-RU"/>
        </w:rPr>
        <w:t xml:space="preserve">Склонността към </w:t>
      </w:r>
      <w:r>
        <w:rPr>
          <w:noProof/>
          <w:lang w:val="ru-RU"/>
        </w:rPr>
        <w:t>пътуване в ЕС се е увеличила от средно 830 пътникокилометра на глава от населението през 2011</w:t>
      </w:r>
      <w:r>
        <w:rPr>
          <w:noProof/>
        </w:rPr>
        <w:t> </w:t>
      </w:r>
      <w:r>
        <w:rPr>
          <w:noProof/>
          <w:lang w:val="ru-RU"/>
        </w:rPr>
        <w:t>г. на средно 882 през 2016</w:t>
      </w:r>
      <w:r>
        <w:rPr>
          <w:noProof/>
        </w:rPr>
        <w:t> </w:t>
      </w:r>
      <w:r>
        <w:rPr>
          <w:noProof/>
          <w:lang w:val="ru-RU"/>
        </w:rPr>
        <w:t>г. (+1,2</w:t>
      </w:r>
      <w:r>
        <w:rPr>
          <w:noProof/>
        </w:rPr>
        <w:t> </w:t>
      </w:r>
      <w:r>
        <w:rPr>
          <w:noProof/>
          <w:lang w:val="ru-RU"/>
        </w:rPr>
        <w:t>% годишно). През периода 2007—2016</w:t>
      </w:r>
      <w:r>
        <w:rPr>
          <w:noProof/>
        </w:rPr>
        <w:t> </w:t>
      </w:r>
      <w:r>
        <w:rPr>
          <w:noProof/>
          <w:lang w:val="ru-RU"/>
        </w:rPr>
        <w:t xml:space="preserve">г. </w:t>
      </w:r>
      <w:r>
        <w:rPr>
          <w:b/>
          <w:noProof/>
          <w:lang w:val="ru-RU"/>
        </w:rPr>
        <w:t>делът</w:t>
      </w:r>
      <w:r>
        <w:rPr>
          <w:noProof/>
          <w:lang w:val="ru-RU"/>
        </w:rPr>
        <w:t xml:space="preserve"> на превоза на пътници с лек автомобил в </w:t>
      </w:r>
      <w:r>
        <w:rPr>
          <w:b/>
          <w:noProof/>
          <w:lang w:val="ru-RU"/>
        </w:rPr>
        <w:t>сухоземния транспорт</w:t>
      </w:r>
      <w:r>
        <w:rPr>
          <w:noProof/>
          <w:lang w:val="ru-RU"/>
        </w:rPr>
        <w:t xml:space="preserve"> се е запазил над 80</w:t>
      </w:r>
      <w:r>
        <w:rPr>
          <w:noProof/>
        </w:rPr>
        <w:t> </w:t>
      </w:r>
      <w:r>
        <w:rPr>
          <w:noProof/>
          <w:lang w:val="ru-RU"/>
        </w:rPr>
        <w:t>%</w:t>
      </w:r>
      <w:r>
        <w:rPr>
          <w:noProof/>
          <w:lang w:val="ru-RU"/>
        </w:rPr>
        <w:t>, а делът на железопътния превоз на пътници се е повишил от 7,0</w:t>
      </w:r>
      <w:r>
        <w:rPr>
          <w:noProof/>
        </w:rPr>
        <w:t> </w:t>
      </w:r>
      <w:r>
        <w:rPr>
          <w:noProof/>
          <w:lang w:val="ru-RU"/>
        </w:rPr>
        <w:t>% на 7,6</w:t>
      </w:r>
      <w:r>
        <w:rPr>
          <w:noProof/>
        </w:rPr>
        <w:t> </w:t>
      </w:r>
      <w:r>
        <w:rPr>
          <w:noProof/>
          <w:lang w:val="ru-RU"/>
        </w:rPr>
        <w:t>%.</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4: Разпределение между видовете сухоземен пътнически транспорт по държави през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 и промяна в дела на железопътния транспорт през периода 2011—2016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tbl>
      <w:tblPr>
        <w:tblW w:w="0" w:type="auto"/>
        <w:tblLook w:val="04A0" w:firstRow="1" w:lastRow="0" w:firstColumn="1" w:lastColumn="0" w:noHBand="0" w:noVBand="1"/>
      </w:tblPr>
      <w:tblGrid>
        <w:gridCol w:w="6764"/>
        <w:gridCol w:w="2070"/>
      </w:tblGrid>
      <w:tr w:rsidR="00C526EF">
        <w:tc>
          <w:tcPr>
            <w:tcW w:w="6528" w:type="dxa"/>
          </w:tcPr>
          <w:p w:rsidR="00C526EF" w:rsidRDefault="00F375DE">
            <w:pPr>
              <w:jc w:val="center"/>
              <w:rPr>
                <w:noProof/>
              </w:rPr>
            </w:pPr>
            <w:r>
              <w:rPr>
                <w:noProof/>
              </w:rPr>
              <w:drawing>
                <wp:inline distT="0" distB="0" distL="0" distR="0">
                  <wp:extent cx="4305300" cy="2876550"/>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300" cy="2876550"/>
                          </a:xfrm>
                          <a:prstGeom prst="rect">
                            <a:avLst/>
                          </a:prstGeom>
                          <a:noFill/>
                          <a:ln>
                            <a:noFill/>
                          </a:ln>
                        </pic:spPr>
                      </pic:pic>
                    </a:graphicData>
                  </a:graphic>
                </wp:inline>
              </w:drawing>
            </w:r>
          </w:p>
        </w:tc>
        <w:tc>
          <w:tcPr>
            <w:tcW w:w="2306" w:type="dxa"/>
          </w:tcPr>
          <w:p w:rsidR="00C526EF" w:rsidRDefault="00F375DE">
            <w:pPr>
              <w:keepNext/>
              <w:jc w:val="center"/>
              <w:rPr>
                <w:noProof/>
              </w:rPr>
            </w:pPr>
            <w:r>
              <w:rPr>
                <w:noProof/>
              </w:rPr>
              <w:drawing>
                <wp:inline distT="0" distB="0" distL="0" distR="0">
                  <wp:extent cx="1211580" cy="29794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1580" cy="2979420"/>
                          </a:xfrm>
                          <a:prstGeom prst="rect">
                            <a:avLst/>
                          </a:prstGeom>
                          <a:noFill/>
                          <a:ln>
                            <a:noFill/>
                          </a:ln>
                        </pic:spPr>
                      </pic:pic>
                    </a:graphicData>
                  </a:graphic>
                </wp:inline>
              </w:drawing>
            </w:r>
          </w:p>
        </w:tc>
      </w:tr>
    </w:tbl>
    <w:p w:rsidR="00C526EF" w:rsidRDefault="00F375DE">
      <w:pPr>
        <w:pStyle w:val="Source"/>
        <w:rPr>
          <w:i w:val="0"/>
          <w:noProof/>
          <w:lang w:val="ru-RU"/>
        </w:rPr>
      </w:pPr>
      <w:r>
        <w:rPr>
          <w:noProof/>
          <w:lang w:val="ru-RU"/>
        </w:rPr>
        <w:t>Източник: Ев</w:t>
      </w:r>
      <w:r>
        <w:rPr>
          <w:noProof/>
          <w:lang w:val="ru-RU"/>
        </w:rPr>
        <w:t xml:space="preserve">ростат и </w:t>
      </w:r>
      <w:r>
        <w:rPr>
          <w:noProof/>
        </w:rPr>
        <w:t>Statistical</w:t>
      </w:r>
      <w:r>
        <w:rPr>
          <w:noProof/>
          <w:lang w:val="ru-RU"/>
        </w:rPr>
        <w:t xml:space="preserve"> </w:t>
      </w:r>
      <w:r>
        <w:rPr>
          <w:noProof/>
        </w:rPr>
        <w:t>pocketbook</w:t>
      </w:r>
      <w:r>
        <w:rPr>
          <w:noProof/>
          <w:lang w:val="ru-RU"/>
        </w:rPr>
        <w:t xml:space="preserve"> („Статистически наръчник“), 2018</w:t>
      </w:r>
      <w:r>
        <w:rPr>
          <w:noProof/>
        </w:rPr>
        <w:t> </w:t>
      </w:r>
      <w:r>
        <w:rPr>
          <w:noProof/>
          <w:lang w:val="ru-RU"/>
        </w:rPr>
        <w:t>г. Данни за 2011</w:t>
      </w:r>
      <w:r>
        <w:rPr>
          <w:noProof/>
        </w:rPr>
        <w:t> </w:t>
      </w:r>
      <w:r>
        <w:rPr>
          <w:noProof/>
          <w:lang w:val="ru-RU"/>
        </w:rPr>
        <w:t xml:space="preserve">г. за ЕС-27. </w:t>
      </w:r>
    </w:p>
    <w:p w:rsidR="00C526EF" w:rsidRDefault="00F375DE">
      <w:pPr>
        <w:keepNext/>
        <w:rPr>
          <w:i/>
          <w:noProof/>
          <w:lang w:val="ru-RU"/>
        </w:rPr>
      </w:pPr>
      <w:r>
        <w:rPr>
          <w:i/>
          <w:noProof/>
          <w:lang w:val="ru-RU"/>
        </w:rPr>
        <w:t>Товарни превози</w:t>
      </w:r>
    </w:p>
    <w:p w:rsidR="00C526EF" w:rsidRDefault="00F375DE">
      <w:pPr>
        <w:rPr>
          <w:noProof/>
          <w:lang w:val="ru-RU"/>
        </w:rPr>
      </w:pPr>
      <w:r>
        <w:rPr>
          <w:noProof/>
          <w:lang w:val="ru-RU"/>
        </w:rPr>
        <w:t>До 2016</w:t>
      </w:r>
      <w:r>
        <w:rPr>
          <w:noProof/>
        </w:rPr>
        <w:t> </w:t>
      </w:r>
      <w:r>
        <w:rPr>
          <w:noProof/>
          <w:lang w:val="ru-RU"/>
        </w:rPr>
        <w:t>г. товаропотокът в ЕС е достигнал 419</w:t>
      </w:r>
      <w:r>
        <w:rPr>
          <w:noProof/>
        </w:rPr>
        <w:t> </w:t>
      </w:r>
      <w:r>
        <w:rPr>
          <w:noProof/>
          <w:lang w:val="ru-RU"/>
        </w:rPr>
        <w:t>милиарда тонкилометра, като сухоземният транспорт е възлизал общо на около 2,5</w:t>
      </w:r>
      <w:r>
        <w:rPr>
          <w:noProof/>
        </w:rPr>
        <w:t> </w:t>
      </w:r>
      <w:r>
        <w:rPr>
          <w:noProof/>
          <w:lang w:val="ru-RU"/>
        </w:rPr>
        <w:t>трилиона тонкиломет</w:t>
      </w:r>
      <w:r>
        <w:rPr>
          <w:noProof/>
          <w:lang w:val="ru-RU"/>
        </w:rPr>
        <w:t>ра. Около половината от общите железопътни товарни превози са трансгранични. Това придава на сектора на железопътните товарни превози силно европейско измерение и поради това той е още по-чувствителен към липсата на оперативна съвместимост и сътрудничество</w:t>
      </w:r>
      <w:r>
        <w:rPr>
          <w:noProof/>
          <w:lang w:val="ru-RU"/>
        </w:rPr>
        <w:t xml:space="preserve"> между националните железопътни мрежи, което може да засегне неговата конкурентоспособност.</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5: Развитие на железопътния товаропоток, 2007—2016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sz w:val="10"/>
        </w:rPr>
      </w:pPr>
      <w:r>
        <w:rPr>
          <w:noProof/>
        </w:rPr>
        <w:drawing>
          <wp:inline distT="0" distB="0" distL="0" distR="0">
            <wp:extent cx="5472430" cy="2736215"/>
            <wp:effectExtent l="0" t="0" r="0" b="6985"/>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2430" cy="2736215"/>
                    </a:xfrm>
                    <a:prstGeom prst="rect">
                      <a:avLst/>
                    </a:prstGeom>
                    <a:noFill/>
                    <a:ln>
                      <a:noFill/>
                    </a:ln>
                  </pic:spPr>
                </pic:pic>
              </a:graphicData>
            </a:graphic>
          </wp:inline>
        </w:drawing>
      </w:r>
    </w:p>
    <w:p w:rsidR="00C526EF" w:rsidRDefault="00F375DE">
      <w:pPr>
        <w:rPr>
          <w:rFonts w:asciiTheme="minorHAnsi" w:eastAsiaTheme="minorHAnsi" w:hAnsiTheme="minorHAnsi" w:cstheme="minorBidi"/>
          <w:i/>
          <w:noProof/>
          <w:sz w:val="20"/>
          <w:szCs w:val="22"/>
          <w:lang w:val="ru-RU"/>
        </w:rPr>
      </w:pPr>
      <w:r>
        <w:rPr>
          <w:rFonts w:asciiTheme="minorHAnsi" w:hAnsiTheme="minorHAnsi"/>
          <w:i/>
          <w:noProof/>
          <w:sz w:val="20"/>
          <w:szCs w:val="22"/>
          <w:lang w:val="ru-RU"/>
        </w:rPr>
        <w:t>Източник: ПНЖП, 2018</w:t>
      </w:r>
      <w:r>
        <w:rPr>
          <w:rFonts w:asciiTheme="minorHAnsi" w:hAnsiTheme="minorHAnsi"/>
          <w:i/>
          <w:noProof/>
          <w:sz w:val="20"/>
          <w:szCs w:val="22"/>
        </w:rPr>
        <w:t> </w:t>
      </w:r>
      <w:r>
        <w:rPr>
          <w:rFonts w:asciiTheme="minorHAnsi" w:hAnsiTheme="minorHAnsi"/>
          <w:i/>
          <w:noProof/>
          <w:sz w:val="20"/>
          <w:szCs w:val="22"/>
          <w:lang w:val="ru-RU"/>
        </w:rPr>
        <w:t>г. Допълващи данни от други различни източници и прогнозни оценки.</w:t>
      </w:r>
    </w:p>
    <w:p w:rsidR="00C526EF" w:rsidRDefault="00F375DE">
      <w:pPr>
        <w:rPr>
          <w:noProof/>
          <w:lang w:val="ru-RU"/>
        </w:rPr>
      </w:pPr>
      <w:r>
        <w:rPr>
          <w:noProof/>
          <w:lang w:val="ru-RU"/>
        </w:rPr>
        <w:t xml:space="preserve">От отчетения </w:t>
      </w:r>
      <w:r>
        <w:rPr>
          <w:noProof/>
          <w:lang w:val="ru-RU"/>
        </w:rPr>
        <w:t>през 2011</w:t>
      </w:r>
      <w:r>
        <w:rPr>
          <w:noProof/>
        </w:rPr>
        <w:t> </w:t>
      </w:r>
      <w:r>
        <w:rPr>
          <w:noProof/>
          <w:lang w:val="ru-RU"/>
        </w:rPr>
        <w:t>г. пик (19</w:t>
      </w:r>
      <w:r>
        <w:rPr>
          <w:noProof/>
        </w:rPr>
        <w:t> </w:t>
      </w:r>
      <w:r>
        <w:rPr>
          <w:noProof/>
          <w:lang w:val="ru-RU"/>
        </w:rPr>
        <w:t>%) насам делът на железопътния транспорт в сухоземния товарен транспорт в ЕС намалява, въпреки че той успява да се запази на около 17</w:t>
      </w:r>
      <w:r>
        <w:rPr>
          <w:noProof/>
        </w:rPr>
        <w:t> </w:t>
      </w:r>
      <w:r>
        <w:rPr>
          <w:noProof/>
          <w:lang w:val="ru-RU"/>
        </w:rPr>
        <w:t>% през 2016</w:t>
      </w:r>
      <w:r>
        <w:rPr>
          <w:noProof/>
        </w:rPr>
        <w:t> </w:t>
      </w:r>
      <w:r>
        <w:rPr>
          <w:noProof/>
          <w:lang w:val="ru-RU"/>
        </w:rPr>
        <w:t>г., а делът на автомобилния транспорт се е увеличил от 75</w:t>
      </w:r>
      <w:r>
        <w:rPr>
          <w:noProof/>
        </w:rPr>
        <w:t> </w:t>
      </w:r>
      <w:r>
        <w:rPr>
          <w:noProof/>
          <w:lang w:val="ru-RU"/>
        </w:rPr>
        <w:t>% на 76</w:t>
      </w:r>
      <w:r>
        <w:rPr>
          <w:noProof/>
        </w:rPr>
        <w:t> </w:t>
      </w:r>
      <w:r>
        <w:rPr>
          <w:noProof/>
          <w:lang w:val="ru-RU"/>
        </w:rPr>
        <w:t>%.</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6: </w:t>
      </w:r>
      <w:r>
        <w:rPr>
          <w:rFonts w:asciiTheme="minorHAnsi" w:hAnsiTheme="minorHAnsi"/>
          <w:iCs/>
          <w:noProof/>
          <w:color w:val="4F81BD" w:themeColor="accent1"/>
          <w:sz w:val="20"/>
          <w:szCs w:val="18"/>
          <w:lang w:val="ru-RU"/>
        </w:rPr>
        <w:t>Разпределение между видовете сухоземен товарен транспорт по държави през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 и промяна в дела на железопътния транспорт през периода 2011—2016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tbl>
      <w:tblPr>
        <w:tblW w:w="0" w:type="auto"/>
        <w:tblLook w:val="04A0" w:firstRow="1" w:lastRow="0" w:firstColumn="1" w:lastColumn="0" w:noHBand="0" w:noVBand="1"/>
      </w:tblPr>
      <w:tblGrid>
        <w:gridCol w:w="6887"/>
        <w:gridCol w:w="1947"/>
      </w:tblGrid>
      <w:tr w:rsidR="00C526EF">
        <w:tc>
          <w:tcPr>
            <w:tcW w:w="6792" w:type="dxa"/>
          </w:tcPr>
          <w:p w:rsidR="00C526EF" w:rsidRDefault="00F375DE">
            <w:pPr>
              <w:pStyle w:val="ListDash1"/>
              <w:keepNext/>
              <w:numPr>
                <w:ilvl w:val="0"/>
                <w:numId w:val="0"/>
              </w:numPr>
              <w:jc w:val="center"/>
              <w:rPr>
                <w:noProof/>
              </w:rPr>
            </w:pPr>
            <w:r>
              <w:rPr>
                <w:noProof/>
              </w:rPr>
              <w:drawing>
                <wp:inline distT="0" distB="0" distL="0" distR="0">
                  <wp:extent cx="4543425" cy="2971800"/>
                  <wp:effectExtent l="0" t="0" r="9525"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3425" cy="2971800"/>
                          </a:xfrm>
                          <a:prstGeom prst="rect">
                            <a:avLst/>
                          </a:prstGeom>
                          <a:noFill/>
                          <a:ln>
                            <a:noFill/>
                          </a:ln>
                        </pic:spPr>
                      </pic:pic>
                    </a:graphicData>
                  </a:graphic>
                </wp:inline>
              </w:drawing>
            </w:r>
          </w:p>
        </w:tc>
        <w:tc>
          <w:tcPr>
            <w:tcW w:w="2042" w:type="dxa"/>
          </w:tcPr>
          <w:p w:rsidR="00C526EF" w:rsidRDefault="00F375DE">
            <w:pPr>
              <w:pStyle w:val="ListDash1"/>
              <w:numPr>
                <w:ilvl w:val="0"/>
                <w:numId w:val="0"/>
              </w:numPr>
              <w:jc w:val="center"/>
              <w:rPr>
                <w:noProof/>
              </w:rPr>
            </w:pPr>
            <w:r>
              <w:rPr>
                <w:noProof/>
              </w:rPr>
              <w:drawing>
                <wp:inline distT="0" distB="0" distL="0" distR="0">
                  <wp:extent cx="1181100" cy="2971800"/>
                  <wp:effectExtent l="0" t="0" r="0" b="0"/>
                  <wp:docPr id="26659" name="Picture 2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2971800"/>
                          </a:xfrm>
                          <a:prstGeom prst="rect">
                            <a:avLst/>
                          </a:prstGeom>
                          <a:noFill/>
                          <a:ln>
                            <a:noFill/>
                          </a:ln>
                        </pic:spPr>
                      </pic:pic>
                    </a:graphicData>
                  </a:graphic>
                </wp:inline>
              </w:drawing>
            </w:r>
          </w:p>
        </w:tc>
      </w:tr>
    </w:tbl>
    <w:p w:rsidR="00C526EF" w:rsidRDefault="00F375DE">
      <w:pPr>
        <w:pStyle w:val="Source"/>
        <w:rPr>
          <w:i w:val="0"/>
          <w:noProof/>
        </w:rPr>
      </w:pPr>
      <w:r>
        <w:rPr>
          <w:noProof/>
        </w:rPr>
        <w:t>Източник: Евростат</w:t>
      </w:r>
    </w:p>
    <w:p w:rsidR="00C526EF" w:rsidRDefault="00F375DE">
      <w:pPr>
        <w:pStyle w:val="NumPar1"/>
        <w:keepNext/>
        <w:rPr>
          <w:b/>
          <w:noProof/>
          <w:lang w:val="ru-RU"/>
        </w:rPr>
      </w:pPr>
      <w:r>
        <w:rPr>
          <w:b/>
          <w:noProof/>
          <w:lang w:val="ru-RU"/>
        </w:rPr>
        <w:t>Развитие на рамковите условия в железопътния сектор</w:t>
      </w:r>
    </w:p>
    <w:p w:rsidR="00C526EF" w:rsidRDefault="00F375DE">
      <w:pPr>
        <w:pStyle w:val="NumPar2"/>
        <w:keepNext/>
        <w:rPr>
          <w:b/>
          <w:noProof/>
          <w:lang w:val="ru-RU"/>
        </w:rPr>
      </w:pPr>
      <w:r>
        <w:rPr>
          <w:b/>
          <w:noProof/>
          <w:lang w:val="ru-RU"/>
        </w:rPr>
        <w:t xml:space="preserve">Налагане на такси за ползване </w:t>
      </w:r>
      <w:r>
        <w:rPr>
          <w:b/>
          <w:noProof/>
          <w:lang w:val="ru-RU"/>
        </w:rPr>
        <w:t>на инфраструктурата</w:t>
      </w:r>
    </w:p>
    <w:p w:rsidR="00C526EF" w:rsidRDefault="00F375DE">
      <w:pPr>
        <w:rPr>
          <w:noProof/>
          <w:lang w:val="ru-RU"/>
        </w:rPr>
      </w:pPr>
      <w:r>
        <w:rPr>
          <w:noProof/>
          <w:lang w:val="ru-RU"/>
        </w:rPr>
        <w:t>В повечето държави таксите за достъп до релсов път са представлявали над 80</w:t>
      </w:r>
      <w:r>
        <w:rPr>
          <w:noProof/>
        </w:rPr>
        <w:t> </w:t>
      </w:r>
      <w:r>
        <w:rPr>
          <w:noProof/>
          <w:lang w:val="ru-RU"/>
        </w:rPr>
        <w:t xml:space="preserve">% от приходите на управителите на инфраструктура, получени от такси, както за пътнически влакове, така и за товарни влакове. </w:t>
      </w:r>
    </w:p>
    <w:p w:rsidR="00C526EF" w:rsidRDefault="00F375DE">
      <w:pPr>
        <w:rPr>
          <w:noProof/>
          <w:lang w:val="ru-RU"/>
        </w:rPr>
      </w:pPr>
      <w:r>
        <w:rPr>
          <w:noProof/>
          <w:lang w:val="ru-RU"/>
        </w:rPr>
        <w:t>Таксите за достъп до релсов път за</w:t>
      </w:r>
      <w:r>
        <w:rPr>
          <w:noProof/>
          <w:lang w:val="ru-RU"/>
        </w:rPr>
        <w:t xml:space="preserve"> високоскоростните влакове (без надценките) са по-високи от другите такси за превоз на пътници, като те достигат максимално равнище в Обединеното кралство (19</w:t>
      </w:r>
      <w:r>
        <w:rPr>
          <w:noProof/>
        </w:rPr>
        <w:t> EUR</w:t>
      </w:r>
      <w:r>
        <w:rPr>
          <w:noProof/>
          <w:lang w:val="ru-RU"/>
        </w:rPr>
        <w:t xml:space="preserve"> на влак-километър през 2016</w:t>
      </w:r>
      <w:r>
        <w:rPr>
          <w:noProof/>
        </w:rPr>
        <w:t> </w:t>
      </w:r>
      <w:r>
        <w:rPr>
          <w:noProof/>
          <w:lang w:val="ru-RU"/>
        </w:rPr>
        <w:t>г.).</w:t>
      </w:r>
    </w:p>
    <w:p w:rsidR="00C526EF" w:rsidRDefault="00F375DE">
      <w:pPr>
        <w:rPr>
          <w:noProof/>
          <w:lang w:val="ru-RU"/>
        </w:rPr>
      </w:pPr>
      <w:r>
        <w:rPr>
          <w:noProof/>
          <w:lang w:val="ru-RU"/>
        </w:rPr>
        <w:t>В повечето държави таксите за достъп до релсов път за традиц</w:t>
      </w:r>
      <w:r>
        <w:rPr>
          <w:noProof/>
          <w:lang w:val="ru-RU"/>
        </w:rPr>
        <w:t xml:space="preserve">ионните пътнически влакове на дълги разстояния (без надценките </w:t>
      </w:r>
      <w:r>
        <w:rPr>
          <w:noProof/>
          <w:lang w:val="ru-RU"/>
        </w:rPr>
        <w:noBreakHyphen/>
        <w:t>) са били по-малко от 3</w:t>
      </w:r>
      <w:r>
        <w:rPr>
          <w:noProof/>
        </w:rPr>
        <w:t> EUR</w:t>
      </w:r>
      <w:r>
        <w:rPr>
          <w:noProof/>
          <w:lang w:val="ru-RU"/>
        </w:rPr>
        <w:t xml:space="preserve"> на влак-километър.</w:t>
      </w:r>
      <w:bookmarkStart w:id="1" w:name="_GoBack"/>
      <w:bookmarkEnd w:id="1"/>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7: Такси за достъп (без надценки): пътнически влакове по тип и по държави,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272669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2430" cy="2726690"/>
                    </a:xfrm>
                    <a:prstGeom prst="rect">
                      <a:avLst/>
                    </a:prstGeom>
                    <a:noFill/>
                    <a:ln>
                      <a:noFill/>
                    </a:ln>
                  </pic:spPr>
                </pic:pic>
              </a:graphicData>
            </a:graphic>
          </wp:inline>
        </w:drawing>
      </w:r>
    </w:p>
    <w:p w:rsidR="00C526EF" w:rsidRDefault="00F375DE">
      <w:pPr>
        <w:pStyle w:val="Source"/>
        <w:rPr>
          <w:noProof/>
          <w:lang w:val="ru-RU"/>
        </w:rPr>
      </w:pPr>
      <w:r>
        <w:rPr>
          <w:noProof/>
          <w:lang w:val="ru-RU"/>
        </w:rPr>
        <w:t>Източник: ПНЖП, 2018</w:t>
      </w:r>
      <w:r>
        <w:rPr>
          <w:noProof/>
        </w:rPr>
        <w:t> </w:t>
      </w:r>
      <w:r>
        <w:rPr>
          <w:noProof/>
          <w:lang w:val="ru-RU"/>
        </w:rPr>
        <w:t xml:space="preserve">г. Данните за Германия включват </w:t>
      </w:r>
      <w:r>
        <w:rPr>
          <w:noProof/>
          <w:lang w:val="ru-RU"/>
        </w:rPr>
        <w:t>надценки.</w:t>
      </w:r>
    </w:p>
    <w:p w:rsidR="00C526EF" w:rsidRDefault="00F375DE">
      <w:pPr>
        <w:rPr>
          <w:noProof/>
          <w:lang w:val="ru-RU"/>
        </w:rPr>
      </w:pPr>
      <w:r>
        <w:rPr>
          <w:noProof/>
          <w:lang w:val="ru-RU"/>
        </w:rPr>
        <w:t>Наблюдението на таксите за превоз на товари (без надценките) се извършва в три различни групи максимален брутен тонаж (1000, 1600 и 6000). Пет държави членки (Дания, Естония, Латвия, Португалия и Франция) прилагат фиксирана такса на влак-километъ</w:t>
      </w:r>
      <w:r>
        <w:rPr>
          <w:noProof/>
          <w:lang w:val="ru-RU"/>
        </w:rPr>
        <w:t xml:space="preserve">р. В повечето други държави членки таксите за достъп се увеличават с размера на влака, но не непременно пропорционално на тонажа. </w:t>
      </w:r>
    </w:p>
    <w:p w:rsidR="00C526EF" w:rsidRDefault="00F375DE">
      <w:pPr>
        <w:rPr>
          <w:rFonts w:asciiTheme="minorHAnsi" w:eastAsiaTheme="minorHAnsi" w:hAnsiTheme="minorHAnsi" w:cstheme="minorBidi"/>
          <w:iCs/>
          <w:noProof/>
          <w:color w:val="4F81BD" w:themeColor="accent1"/>
          <w:sz w:val="20"/>
          <w:szCs w:val="18"/>
          <w:lang w:val="ru-RU"/>
        </w:rPr>
      </w:pPr>
      <w:r>
        <w:rPr>
          <w:noProof/>
          <w:lang w:val="ru-RU"/>
        </w:rPr>
        <w:t>По отношение на равнищата на таксуване през периода 2013—2016</w:t>
      </w:r>
      <w:r>
        <w:rPr>
          <w:noProof/>
        </w:rPr>
        <w:t> </w:t>
      </w:r>
      <w:r>
        <w:rPr>
          <w:noProof/>
          <w:lang w:val="ru-RU"/>
        </w:rPr>
        <w:t>г. (когато е приложимо) не се наблюдава ясна възходяща или низх</w:t>
      </w:r>
      <w:r>
        <w:rPr>
          <w:noProof/>
          <w:lang w:val="ru-RU"/>
        </w:rPr>
        <w:t>одяща тенденция нито за пътническите, нито за товарните влакове.</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8: Такси за достъп (без надценки): товарни влакове по тип и по държави,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pStyle w:val="NumPar2"/>
        <w:keepNext/>
        <w:numPr>
          <w:ilvl w:val="0"/>
          <w:numId w:val="0"/>
        </w:numPr>
        <w:jc w:val="center"/>
        <w:rPr>
          <w:noProof/>
        </w:rPr>
      </w:pPr>
      <w:r>
        <w:rPr>
          <w:noProof/>
        </w:rPr>
        <w:drawing>
          <wp:inline distT="0" distB="0" distL="0" distR="0">
            <wp:extent cx="5472430" cy="272669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2430" cy="2726690"/>
                    </a:xfrm>
                    <a:prstGeom prst="rect">
                      <a:avLst/>
                    </a:prstGeom>
                    <a:noFill/>
                    <a:ln>
                      <a:noFill/>
                    </a:ln>
                  </pic:spPr>
                </pic:pic>
              </a:graphicData>
            </a:graphic>
          </wp:inline>
        </w:drawing>
      </w:r>
    </w:p>
    <w:p w:rsidR="00C526EF" w:rsidRDefault="00F375DE">
      <w:pPr>
        <w:pStyle w:val="Source"/>
        <w:rPr>
          <w:noProof/>
          <w:lang w:val="ru-RU"/>
        </w:rPr>
      </w:pPr>
      <w:r>
        <w:rPr>
          <w:noProof/>
          <w:lang w:val="ru-RU"/>
        </w:rPr>
        <w:t>Източник: ПНЖП, 2018</w:t>
      </w:r>
      <w:r>
        <w:rPr>
          <w:noProof/>
        </w:rPr>
        <w:t> </w:t>
      </w:r>
      <w:r>
        <w:rPr>
          <w:noProof/>
          <w:lang w:val="ru-RU"/>
        </w:rPr>
        <w:t>г. За Германия: не е налично разпределение по типове влакове, тази фигура включва</w:t>
      </w:r>
      <w:r>
        <w:rPr>
          <w:noProof/>
          <w:lang w:val="ru-RU"/>
        </w:rPr>
        <w:t xml:space="preserve"> надценки.</w:t>
      </w:r>
    </w:p>
    <w:p w:rsidR="00C526EF" w:rsidRDefault="00F375DE">
      <w:pPr>
        <w:pStyle w:val="NumPar2"/>
        <w:keepNext/>
        <w:rPr>
          <w:b/>
          <w:noProof/>
          <w:lang w:val="ru-RU"/>
        </w:rPr>
      </w:pPr>
      <w:r>
        <w:rPr>
          <w:b/>
          <w:noProof/>
          <w:lang w:val="ru-RU"/>
        </w:rPr>
        <w:t>Разпределяне на капацитета, ограничения на инфраструктурата и пречки пред постигането на по-ефективни железопътни услуги</w:t>
      </w:r>
    </w:p>
    <w:p w:rsidR="00C526EF" w:rsidRDefault="00F375DE">
      <w:pPr>
        <w:rPr>
          <w:noProof/>
          <w:lang w:val="ru-RU"/>
        </w:rPr>
      </w:pPr>
      <w:r>
        <w:rPr>
          <w:noProof/>
          <w:lang w:val="ru-RU"/>
        </w:rPr>
        <w:t>Най-интензивно използваните мрежи са тези в Северозападна Европа, включително Нидерландия (през 2016</w:t>
      </w:r>
      <w:r>
        <w:rPr>
          <w:noProof/>
        </w:rPr>
        <w:t> </w:t>
      </w:r>
      <w:r>
        <w:rPr>
          <w:noProof/>
          <w:lang w:val="ru-RU"/>
        </w:rPr>
        <w:t>г. са експлоатирани поч</w:t>
      </w:r>
      <w:r>
        <w:rPr>
          <w:noProof/>
          <w:lang w:val="ru-RU"/>
        </w:rPr>
        <w:t>ти 50</w:t>
      </w:r>
      <w:r>
        <w:rPr>
          <w:noProof/>
        </w:rPr>
        <w:t> </w:t>
      </w:r>
      <w:r>
        <w:rPr>
          <w:noProof/>
          <w:lang w:val="ru-RU"/>
        </w:rPr>
        <w:t>000</w:t>
      </w:r>
      <w:r>
        <w:rPr>
          <w:noProof/>
        </w:rPr>
        <w:t> </w:t>
      </w:r>
      <w:r>
        <w:rPr>
          <w:noProof/>
          <w:lang w:val="ru-RU"/>
        </w:rPr>
        <w:t>влак-километра на всеки километър от трасето) и Обединеното кралство, Австрия, Дания, Люксембург, Германия и Белгия, където степента на използване на мрежата е била с около 70</w:t>
      </w:r>
      <w:r>
        <w:rPr>
          <w:noProof/>
        </w:rPr>
        <w:t> </w:t>
      </w:r>
      <w:r>
        <w:rPr>
          <w:noProof/>
          <w:lang w:val="ru-RU"/>
        </w:rPr>
        <w:t>% по-висока от средната за ЕС.</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9: Използване на мрежата през </w:t>
      </w:r>
      <w:r>
        <w:rPr>
          <w:rFonts w:asciiTheme="minorHAnsi" w:hAnsiTheme="minorHAnsi"/>
          <w:iCs/>
          <w:noProof/>
          <w:color w:val="4F81BD" w:themeColor="accent1"/>
          <w:sz w:val="20"/>
          <w:szCs w:val="18"/>
          <w:lang w:val="ru-RU"/>
        </w:rPr>
        <w:t>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 и кумулативен среден темп на растеж, 2011—2016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г. </w:t>
      </w:r>
    </w:p>
    <w:tbl>
      <w:tblPr>
        <w:tblW w:w="0" w:type="auto"/>
        <w:tblLook w:val="04A0" w:firstRow="1" w:lastRow="0" w:firstColumn="1" w:lastColumn="0" w:noHBand="0" w:noVBand="1"/>
      </w:tblPr>
      <w:tblGrid>
        <w:gridCol w:w="6793"/>
        <w:gridCol w:w="2041"/>
      </w:tblGrid>
      <w:tr w:rsidR="00C526EF">
        <w:tc>
          <w:tcPr>
            <w:tcW w:w="6636" w:type="dxa"/>
          </w:tcPr>
          <w:p w:rsidR="00C526EF" w:rsidRDefault="00F375DE">
            <w:pPr>
              <w:keepNext/>
              <w:jc w:val="center"/>
              <w:rPr>
                <w:noProof/>
              </w:rPr>
            </w:pPr>
            <w:r>
              <w:rPr>
                <w:noProof/>
              </w:rPr>
              <w:drawing>
                <wp:inline distT="0" distB="0" distL="0" distR="0">
                  <wp:extent cx="4314825" cy="2876550"/>
                  <wp:effectExtent l="0" t="0" r="9525"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tc>
        <w:tc>
          <w:tcPr>
            <w:tcW w:w="2198" w:type="dxa"/>
          </w:tcPr>
          <w:p w:rsidR="00C526EF" w:rsidRDefault="00F375DE">
            <w:pPr>
              <w:jc w:val="center"/>
              <w:rPr>
                <w:noProof/>
              </w:rPr>
            </w:pPr>
            <w:r>
              <w:rPr>
                <w:noProof/>
              </w:rPr>
              <w:drawing>
                <wp:inline distT="0" distB="0" distL="0" distR="0">
                  <wp:extent cx="1196340" cy="2926080"/>
                  <wp:effectExtent l="0" t="0" r="3810" b="7620"/>
                  <wp:docPr id="26663" name="Picture 2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6340" cy="2926080"/>
                          </a:xfrm>
                          <a:prstGeom prst="rect">
                            <a:avLst/>
                          </a:prstGeom>
                          <a:noFill/>
                          <a:ln>
                            <a:noFill/>
                          </a:ln>
                        </pic:spPr>
                      </pic:pic>
                    </a:graphicData>
                  </a:graphic>
                </wp:inline>
              </w:drawing>
            </w:r>
          </w:p>
        </w:tc>
      </w:tr>
    </w:tbl>
    <w:p w:rsidR="00C526EF" w:rsidRDefault="00F375DE">
      <w:pPr>
        <w:pStyle w:val="Source"/>
        <w:rPr>
          <w:noProof/>
          <w:lang w:val="ru-RU"/>
        </w:rPr>
      </w:pPr>
      <w:r>
        <w:rPr>
          <w:noProof/>
          <w:lang w:val="ru-RU"/>
        </w:rPr>
        <w:t>Източник: ПНЖП, 2018</w:t>
      </w:r>
      <w:r>
        <w:rPr>
          <w:noProof/>
        </w:rPr>
        <w:t> </w:t>
      </w:r>
      <w:r>
        <w:rPr>
          <w:noProof/>
          <w:lang w:val="ru-RU"/>
        </w:rPr>
        <w:t xml:space="preserve">г., и </w:t>
      </w:r>
      <w:r>
        <w:rPr>
          <w:noProof/>
        </w:rPr>
        <w:t>Statistical</w:t>
      </w:r>
      <w:r>
        <w:rPr>
          <w:noProof/>
          <w:lang w:val="ru-RU"/>
        </w:rPr>
        <w:t xml:space="preserve"> </w:t>
      </w:r>
      <w:r>
        <w:rPr>
          <w:noProof/>
        </w:rPr>
        <w:t>pocketbook</w:t>
      </w:r>
      <w:r>
        <w:rPr>
          <w:noProof/>
          <w:lang w:val="ru-RU"/>
        </w:rPr>
        <w:t xml:space="preserve"> („Статистически наръчник“), 2018</w:t>
      </w:r>
      <w:r>
        <w:rPr>
          <w:noProof/>
        </w:rPr>
        <w:t> </w:t>
      </w:r>
      <w:r>
        <w:rPr>
          <w:noProof/>
          <w:lang w:val="ru-RU"/>
        </w:rPr>
        <w:t>г.</w:t>
      </w:r>
    </w:p>
    <w:p w:rsidR="00C526EF" w:rsidRDefault="00F375DE">
      <w:pPr>
        <w:rPr>
          <w:noProof/>
          <w:lang w:val="ru-RU"/>
        </w:rPr>
      </w:pPr>
      <w:r>
        <w:rPr>
          <w:noProof/>
          <w:lang w:val="ru-RU"/>
        </w:rPr>
        <w:t>Претоварването подчертава наличието на ограничения на инфраструктурата; това възпрепятства използването на</w:t>
      </w:r>
      <w:r>
        <w:rPr>
          <w:noProof/>
          <w:lang w:val="ru-RU"/>
        </w:rPr>
        <w:t xml:space="preserve"> мрежата за всички потенциални превози. Общата дължина на релсовия път, за който е посочено, че е претоварен (включително Норвегия), се увеличава и е достигнала почти 3000</w:t>
      </w:r>
      <w:r>
        <w:rPr>
          <w:noProof/>
        </w:rPr>
        <w:t> km</w:t>
      </w:r>
      <w:r>
        <w:rPr>
          <w:noProof/>
          <w:lang w:val="ru-RU"/>
        </w:rPr>
        <w:t xml:space="preserve"> през 2016</w:t>
      </w:r>
      <w:r>
        <w:rPr>
          <w:noProof/>
        </w:rPr>
        <w:t> </w:t>
      </w:r>
      <w:r>
        <w:rPr>
          <w:noProof/>
          <w:lang w:val="ru-RU"/>
        </w:rPr>
        <w:t>г., включително 1000</w:t>
      </w:r>
      <w:r>
        <w:rPr>
          <w:noProof/>
        </w:rPr>
        <w:t> km</w:t>
      </w:r>
      <w:r>
        <w:rPr>
          <w:noProof/>
          <w:lang w:val="ru-RU"/>
        </w:rPr>
        <w:t xml:space="preserve"> от коридорите за железопътни товарни превози; 4</w:t>
      </w:r>
      <w:r>
        <w:rPr>
          <w:noProof/>
          <w:lang w:val="ru-RU"/>
        </w:rPr>
        <w:t>0</w:t>
      </w:r>
      <w:r>
        <w:rPr>
          <w:noProof/>
        </w:rPr>
        <w:t> </w:t>
      </w:r>
      <w:r>
        <w:rPr>
          <w:noProof/>
          <w:lang w:val="ru-RU"/>
        </w:rPr>
        <w:t>% от общата дължина на претоварения релсов път са в Обединеното кралство. Налице е значително претоварване и в Германия, Италия и Румъния, като всички тези държави са посочили като претоварени над 100</w:t>
      </w:r>
      <w:r>
        <w:rPr>
          <w:noProof/>
        </w:rPr>
        <w:t> km</w:t>
      </w:r>
      <w:r>
        <w:rPr>
          <w:noProof/>
          <w:lang w:val="ru-RU"/>
        </w:rPr>
        <w:t xml:space="preserve"> от релсовия път. </w:t>
      </w:r>
    </w:p>
    <w:p w:rsidR="00C526EF" w:rsidRDefault="00F375DE">
      <w:pPr>
        <w:rPr>
          <w:noProof/>
          <w:lang w:val="ru-RU"/>
        </w:rPr>
      </w:pPr>
      <w:r>
        <w:rPr>
          <w:noProof/>
          <w:lang w:val="ru-RU"/>
        </w:rPr>
        <w:t xml:space="preserve">Услугите, на които най-често се </w:t>
      </w:r>
      <w:r>
        <w:rPr>
          <w:noProof/>
          <w:lang w:val="ru-RU"/>
        </w:rPr>
        <w:t>отдава приоритет в държавите членки, са тези, които се предоставят по силата на задължение за извършване на обществена услуга, което е приоритет от първостепенно значение в 11 държави членки, следвани от услугите за международни пътнически и товарни превоз</w:t>
      </w:r>
      <w:r>
        <w:rPr>
          <w:noProof/>
          <w:lang w:val="ru-RU"/>
        </w:rPr>
        <w:t>и.</w:t>
      </w:r>
    </w:p>
    <w:p w:rsidR="00C526EF" w:rsidRDefault="00F375DE">
      <w:pPr>
        <w:rPr>
          <w:noProof/>
          <w:lang w:val="ru-RU"/>
        </w:rPr>
      </w:pPr>
      <w:r>
        <w:rPr>
          <w:noProof/>
          <w:lang w:val="ru-RU"/>
        </w:rPr>
        <w:t>Ограниченията при експлоатацията на инфраструктурата могат също така да ограничават железопътния транспорт и да представляват пречка пред постигането на по-ефективни железопътни услуги. Несъвместимостта по-специално на заварените национални системи за к</w:t>
      </w:r>
      <w:r>
        <w:rPr>
          <w:noProof/>
          <w:lang w:val="ru-RU"/>
        </w:rPr>
        <w:t>онтрол на влаковете представлява значителна пречка пред оперативната съвместимост. Поради това Съюзът въведе обща европейска система за сигнализация — европейската система за управление на железопътното движение (</w:t>
      </w:r>
      <w:r>
        <w:rPr>
          <w:noProof/>
        </w:rPr>
        <w:t>ERTMS</w:t>
      </w:r>
      <w:r>
        <w:rPr>
          <w:noProof/>
          <w:lang w:val="ru-RU"/>
        </w:rPr>
        <w:t>). Съгласно новия европейски план за в</w:t>
      </w:r>
      <w:r>
        <w:rPr>
          <w:noProof/>
          <w:lang w:val="ru-RU"/>
        </w:rPr>
        <w:t>недряване на европейска система за управление на железопътното движение</w:t>
      </w:r>
      <w:r>
        <w:rPr>
          <w:rStyle w:val="FootnoteReference"/>
          <w:noProof/>
        </w:rPr>
        <w:footnoteReference w:id="14"/>
      </w:r>
      <w:r>
        <w:rPr>
          <w:noProof/>
          <w:lang w:val="ru-RU"/>
        </w:rPr>
        <w:t xml:space="preserve"> около 30</w:t>
      </w:r>
      <w:r>
        <w:rPr>
          <w:noProof/>
          <w:lang w:val="ru-RU"/>
        </w:rPr>
        <w:noBreakHyphen/>
        <w:t>40</w:t>
      </w:r>
      <w:r>
        <w:rPr>
          <w:noProof/>
        </w:rPr>
        <w:t> </w:t>
      </w:r>
      <w:r>
        <w:rPr>
          <w:noProof/>
          <w:lang w:val="ru-RU"/>
        </w:rPr>
        <w:t>% от коридорите на основната мрежа трябва да бъдат оборудвани с европейската система за управление на железопътното движение до 2023</w:t>
      </w:r>
      <w:r>
        <w:rPr>
          <w:noProof/>
        </w:rPr>
        <w:t> </w:t>
      </w:r>
      <w:r>
        <w:rPr>
          <w:noProof/>
          <w:lang w:val="ru-RU"/>
        </w:rPr>
        <w:t>г. (15</w:t>
      </w:r>
      <w:r>
        <w:rPr>
          <w:noProof/>
        </w:rPr>
        <w:t> </w:t>
      </w:r>
      <w:r>
        <w:rPr>
          <w:noProof/>
          <w:lang w:val="ru-RU"/>
        </w:rPr>
        <w:t>672</w:t>
      </w:r>
      <w:r>
        <w:rPr>
          <w:noProof/>
        </w:rPr>
        <w:t> km</w:t>
      </w:r>
      <w:r>
        <w:rPr>
          <w:noProof/>
          <w:lang w:val="ru-RU"/>
        </w:rPr>
        <w:t>): понастоящем тази систе</w:t>
      </w:r>
      <w:r>
        <w:rPr>
          <w:noProof/>
          <w:lang w:val="ru-RU"/>
        </w:rPr>
        <w:t>ма е въведена в експлоатация по само една трета от посочените километри, така че през следващите години предстои още много работа.</w:t>
      </w:r>
    </w:p>
    <w:p w:rsidR="00C526EF" w:rsidRDefault="00F375DE">
      <w:pPr>
        <w:pStyle w:val="NumPar2"/>
        <w:keepNext/>
        <w:rPr>
          <w:b/>
          <w:noProof/>
          <w:lang w:val="ru-RU"/>
        </w:rPr>
      </w:pPr>
      <w:r>
        <w:rPr>
          <w:b/>
          <w:noProof/>
          <w:lang w:val="ru-RU"/>
        </w:rPr>
        <w:t>Разходи по инфраструктурата и финансирането им</w:t>
      </w:r>
    </w:p>
    <w:p w:rsidR="00C526EF" w:rsidRDefault="00F375DE">
      <w:pPr>
        <w:rPr>
          <w:noProof/>
          <w:lang w:val="ru-RU"/>
        </w:rPr>
      </w:pPr>
      <w:r>
        <w:rPr>
          <w:noProof/>
          <w:lang w:val="ru-RU"/>
        </w:rPr>
        <w:t>Общите разходи на ЕС по инфраструктурата са нараснали от 29</w:t>
      </w:r>
      <w:r>
        <w:rPr>
          <w:noProof/>
        </w:rPr>
        <w:t> </w:t>
      </w:r>
      <w:r>
        <w:rPr>
          <w:noProof/>
          <w:lang w:val="ru-RU"/>
        </w:rPr>
        <w:t>милиарда евро през</w:t>
      </w:r>
      <w:r>
        <w:rPr>
          <w:noProof/>
          <w:lang w:val="ru-RU"/>
        </w:rPr>
        <w:t xml:space="preserve"> 2011</w:t>
      </w:r>
      <w:r>
        <w:rPr>
          <w:noProof/>
        </w:rPr>
        <w:t> </w:t>
      </w:r>
      <w:r>
        <w:rPr>
          <w:noProof/>
          <w:lang w:val="ru-RU"/>
        </w:rPr>
        <w:t>г. на 50</w:t>
      </w:r>
      <w:r>
        <w:rPr>
          <w:noProof/>
        </w:rPr>
        <w:t> </w:t>
      </w:r>
      <w:r>
        <w:rPr>
          <w:noProof/>
          <w:lang w:val="ru-RU"/>
        </w:rPr>
        <w:t>милиарда евро през 2015</w:t>
      </w:r>
      <w:r>
        <w:rPr>
          <w:noProof/>
        </w:rPr>
        <w:t> </w:t>
      </w:r>
      <w:r>
        <w:rPr>
          <w:noProof/>
          <w:lang w:val="ru-RU"/>
        </w:rPr>
        <w:t>г., като през 2016</w:t>
      </w:r>
      <w:r>
        <w:rPr>
          <w:noProof/>
        </w:rPr>
        <w:t> </w:t>
      </w:r>
      <w:r>
        <w:rPr>
          <w:noProof/>
          <w:lang w:val="ru-RU"/>
        </w:rPr>
        <w:t>г. са спаднали с 3,5</w:t>
      </w:r>
      <w:r>
        <w:rPr>
          <w:noProof/>
        </w:rPr>
        <w:t> </w:t>
      </w:r>
      <w:r>
        <w:rPr>
          <w:noProof/>
          <w:lang w:val="ru-RU"/>
        </w:rPr>
        <w:t>милиарда евро</w:t>
      </w:r>
      <w:r>
        <w:rPr>
          <w:rStyle w:val="FootnoteReference"/>
          <w:noProof/>
        </w:rPr>
        <w:footnoteReference w:id="15"/>
      </w:r>
      <w:r>
        <w:rPr>
          <w:noProof/>
          <w:lang w:val="ru-RU"/>
        </w:rPr>
        <w:t>.</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10: Разходи по инфраструктурата и дял на разходите за поддръжка и подновяване, 2011—2016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2740660"/>
            <wp:effectExtent l="0" t="0" r="0" b="254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2430" cy="2740660"/>
                    </a:xfrm>
                    <a:prstGeom prst="rect">
                      <a:avLst/>
                    </a:prstGeom>
                    <a:noFill/>
                    <a:ln>
                      <a:noFill/>
                    </a:ln>
                  </pic:spPr>
                </pic:pic>
              </a:graphicData>
            </a:graphic>
          </wp:inline>
        </w:drawing>
      </w:r>
    </w:p>
    <w:p w:rsidR="00C526EF" w:rsidRDefault="00F375DE">
      <w:pPr>
        <w:pStyle w:val="Source"/>
        <w:rPr>
          <w:noProof/>
          <w:lang w:val="ru-RU"/>
        </w:rPr>
      </w:pPr>
      <w:r>
        <w:rPr>
          <w:noProof/>
          <w:lang w:val="ru-RU"/>
        </w:rPr>
        <w:t>Източник: ПНЖП, 2018</w:t>
      </w:r>
      <w:r>
        <w:rPr>
          <w:noProof/>
        </w:rPr>
        <w:t> </w:t>
      </w:r>
      <w:r>
        <w:rPr>
          <w:noProof/>
          <w:lang w:val="ru-RU"/>
        </w:rPr>
        <w:t>г.</w:t>
      </w:r>
    </w:p>
    <w:p w:rsidR="00C526EF" w:rsidRDefault="00F375DE">
      <w:pPr>
        <w:rPr>
          <w:noProof/>
          <w:lang w:val="ru-RU"/>
        </w:rPr>
      </w:pPr>
      <w:r>
        <w:rPr>
          <w:noProof/>
          <w:lang w:val="ru-RU"/>
        </w:rPr>
        <w:t xml:space="preserve">ЕС може да съфинансира или подкрепя </w:t>
      </w:r>
      <w:r>
        <w:rPr>
          <w:noProof/>
          <w:lang w:val="ru-RU"/>
        </w:rPr>
        <w:t>инвестиционни проекти за железопътна инфраструктура чрез Кохезионния фонд, Европейския фонд за регионално развитие, Механизма за свързване на Европа, Европейската инвестиционна банка и Европейския фонд за стратегически инвестиции. Над 33</w:t>
      </w:r>
      <w:r>
        <w:rPr>
          <w:noProof/>
        </w:rPr>
        <w:t> </w:t>
      </w:r>
      <w:r>
        <w:rPr>
          <w:noProof/>
          <w:lang w:val="ru-RU"/>
        </w:rPr>
        <w:t>милиарда евро са р</w:t>
      </w:r>
      <w:r>
        <w:rPr>
          <w:noProof/>
          <w:lang w:val="ru-RU"/>
        </w:rPr>
        <w:t>азпределени като безвъзмездни средства за инвестиции в железопътна инфраструктура по линия на текущата финансова рамка на ЕС (2014—2020</w:t>
      </w:r>
      <w:r>
        <w:rPr>
          <w:noProof/>
        </w:rPr>
        <w:t> </w:t>
      </w:r>
      <w:r>
        <w:rPr>
          <w:noProof/>
          <w:lang w:val="ru-RU"/>
        </w:rPr>
        <w:t>г.).</w:t>
      </w:r>
    </w:p>
    <w:p w:rsidR="00C526EF" w:rsidRDefault="00F375DE">
      <w:pPr>
        <w:rPr>
          <w:noProof/>
          <w:lang w:val="ru-RU"/>
        </w:rPr>
      </w:pPr>
      <w:r>
        <w:rPr>
          <w:noProof/>
          <w:lang w:val="ru-RU"/>
        </w:rPr>
        <w:t>Поддръжката и подновяването на съществуващата мрежа за подобряване на безопасността и оперативната ефективност и га</w:t>
      </w:r>
      <w:r>
        <w:rPr>
          <w:noProof/>
          <w:lang w:val="ru-RU"/>
        </w:rPr>
        <w:t>рантиране на надеждна услуга са сериозно предизвикателство за управителите на инфраструктура — и по-специално предвид увеличаването на превозите и амбициозните цели по отношение на ефективността, договорени между националните органи и операторите.</w:t>
      </w:r>
    </w:p>
    <w:p w:rsidR="00C526EF" w:rsidRDefault="00F375DE">
      <w:pPr>
        <w:rPr>
          <w:noProof/>
          <w:lang w:val="ru-RU"/>
        </w:rPr>
      </w:pPr>
      <w:r>
        <w:rPr>
          <w:noProof/>
          <w:lang w:val="ru-RU"/>
        </w:rPr>
        <w:t>През 201</w:t>
      </w:r>
      <w:r>
        <w:rPr>
          <w:noProof/>
          <w:lang w:val="ru-RU"/>
        </w:rPr>
        <w:t>6</w:t>
      </w:r>
      <w:r>
        <w:rPr>
          <w:noProof/>
        </w:rPr>
        <w:t> </w:t>
      </w:r>
      <w:r>
        <w:rPr>
          <w:noProof/>
          <w:lang w:val="ru-RU"/>
        </w:rPr>
        <w:t>г. общите отчетени разходи за поддръжка и подновяване са били 26 милиарда евро</w:t>
      </w:r>
      <w:r>
        <w:rPr>
          <w:rStyle w:val="FootnoteReference"/>
          <w:noProof/>
        </w:rPr>
        <w:footnoteReference w:id="16"/>
      </w:r>
      <w:r>
        <w:rPr>
          <w:noProof/>
          <w:lang w:val="ru-RU"/>
        </w:rPr>
        <w:t>. Делът на разходите за поддръжка и подновяване е бил 54</w:t>
      </w:r>
      <w:r>
        <w:rPr>
          <w:noProof/>
        </w:rPr>
        <w:t> </w:t>
      </w:r>
      <w:r>
        <w:rPr>
          <w:noProof/>
          <w:lang w:val="ru-RU"/>
        </w:rPr>
        <w:t>% от общите разходи, но се различава в отделните държави, като държавите от Централна и Източна Европа изразходват зна</w:t>
      </w:r>
      <w:r>
        <w:rPr>
          <w:noProof/>
          <w:lang w:val="ru-RU"/>
        </w:rPr>
        <w:t>чителен дял за поддръжка и подновяване на линиите.</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11: Разходи по инфраструктурата и дял на разходите за поддръжка и подновяване по държави,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2736215"/>
            <wp:effectExtent l="0" t="0" r="0" b="6985"/>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2430" cy="2736215"/>
                    </a:xfrm>
                    <a:prstGeom prst="rect">
                      <a:avLst/>
                    </a:prstGeom>
                    <a:noFill/>
                    <a:ln>
                      <a:noFill/>
                    </a:ln>
                  </pic:spPr>
                </pic:pic>
              </a:graphicData>
            </a:graphic>
          </wp:inline>
        </w:drawing>
      </w:r>
    </w:p>
    <w:p w:rsidR="00C526EF" w:rsidRDefault="00F375DE">
      <w:pPr>
        <w:pStyle w:val="Source"/>
        <w:rPr>
          <w:noProof/>
          <w:lang w:val="ru-RU"/>
        </w:rPr>
      </w:pPr>
      <w:r>
        <w:rPr>
          <w:noProof/>
          <w:lang w:val="ru-RU"/>
        </w:rPr>
        <w:t>Източник: ПНЖП, 2018</w:t>
      </w:r>
      <w:r>
        <w:rPr>
          <w:noProof/>
        </w:rPr>
        <w:t> </w:t>
      </w:r>
      <w:r>
        <w:rPr>
          <w:noProof/>
          <w:lang w:val="ru-RU"/>
        </w:rPr>
        <w:t>г. За Норвегия и Швеция данните за подобрения включват подновявания.</w:t>
      </w:r>
    </w:p>
    <w:p w:rsidR="00C526EF" w:rsidRDefault="00F375DE">
      <w:pPr>
        <w:rPr>
          <w:noProof/>
          <w:lang w:val="ru-RU"/>
        </w:rPr>
      </w:pPr>
      <w:r>
        <w:rPr>
          <w:noProof/>
          <w:lang w:val="ru-RU"/>
        </w:rPr>
        <w:t>Управителите на инфраструктура получават ресурси за поддръжката и подобряването на своята железопътна инфраструктура от различни източници, въпреки че през 2016</w:t>
      </w:r>
      <w:r>
        <w:rPr>
          <w:noProof/>
        </w:rPr>
        <w:t> </w:t>
      </w:r>
      <w:r>
        <w:rPr>
          <w:noProof/>
          <w:lang w:val="ru-RU"/>
        </w:rPr>
        <w:t>г. 70</w:t>
      </w:r>
      <w:r>
        <w:rPr>
          <w:noProof/>
        </w:rPr>
        <w:t> </w:t>
      </w:r>
      <w:r>
        <w:rPr>
          <w:noProof/>
          <w:lang w:val="ru-RU"/>
        </w:rPr>
        <w:t xml:space="preserve">% са били осигурени от националните бюджети. Техните собствени ресурси включват такси за </w:t>
      </w:r>
      <w:r>
        <w:rPr>
          <w:noProof/>
          <w:lang w:val="ru-RU"/>
        </w:rPr>
        <w:t>достъп до инфраструктурата. Делът на общото финансиране, получено от вътрешни източници, е бил най-висок в Латвия (100</w:t>
      </w:r>
      <w:r>
        <w:rPr>
          <w:noProof/>
        </w:rPr>
        <w:t> </w:t>
      </w:r>
      <w:r>
        <w:rPr>
          <w:noProof/>
          <w:lang w:val="ru-RU"/>
        </w:rPr>
        <w:t>%), Литва и Франция (и в двете около 81</w:t>
      </w:r>
      <w:r>
        <w:rPr>
          <w:noProof/>
        </w:rPr>
        <w:t> </w:t>
      </w:r>
      <w:r>
        <w:rPr>
          <w:noProof/>
          <w:lang w:val="ru-RU"/>
        </w:rPr>
        <w:t>%), следвани от Словакия (69</w:t>
      </w:r>
      <w:r>
        <w:rPr>
          <w:noProof/>
        </w:rPr>
        <w:t> </w:t>
      </w:r>
      <w:r>
        <w:rPr>
          <w:noProof/>
          <w:lang w:val="ru-RU"/>
        </w:rPr>
        <w:t>%) и Обединеното кралство (42</w:t>
      </w:r>
      <w:r>
        <w:rPr>
          <w:noProof/>
        </w:rPr>
        <w:t> </w:t>
      </w:r>
      <w:r>
        <w:rPr>
          <w:noProof/>
          <w:lang w:val="ru-RU"/>
        </w:rPr>
        <w:t xml:space="preserve">%).  </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12: Държавно финансиране </w:t>
      </w:r>
      <w:r>
        <w:rPr>
          <w:rFonts w:asciiTheme="minorHAnsi" w:hAnsiTheme="minorHAnsi"/>
          <w:iCs/>
          <w:noProof/>
          <w:color w:val="4F81BD" w:themeColor="accent1"/>
          <w:sz w:val="20"/>
          <w:szCs w:val="18"/>
          <w:lang w:val="ru-RU"/>
        </w:rPr>
        <w:t>за железопътната инфраструктура по източници и държави,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pStyle w:val="NumPar2"/>
        <w:keepNext/>
        <w:numPr>
          <w:ilvl w:val="0"/>
          <w:numId w:val="0"/>
        </w:numPr>
        <w:ind w:left="720" w:hanging="720"/>
        <w:jc w:val="center"/>
        <w:rPr>
          <w:b/>
          <w:noProof/>
        </w:rPr>
      </w:pPr>
      <w:r>
        <w:rPr>
          <w:noProof/>
        </w:rPr>
        <w:drawing>
          <wp:inline distT="0" distB="0" distL="0" distR="0">
            <wp:extent cx="5472430" cy="272669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2430" cy="2726690"/>
                    </a:xfrm>
                    <a:prstGeom prst="rect">
                      <a:avLst/>
                    </a:prstGeom>
                    <a:noFill/>
                    <a:ln>
                      <a:noFill/>
                    </a:ln>
                  </pic:spPr>
                </pic:pic>
              </a:graphicData>
            </a:graphic>
          </wp:inline>
        </w:drawing>
      </w:r>
    </w:p>
    <w:p w:rsidR="00C526EF" w:rsidRDefault="00F375DE">
      <w:pPr>
        <w:pStyle w:val="Source"/>
        <w:rPr>
          <w:noProof/>
        </w:rPr>
      </w:pPr>
      <w:r>
        <w:rPr>
          <w:noProof/>
        </w:rPr>
        <w:t>Източник: ПНЖП, 2018 г.</w:t>
      </w:r>
    </w:p>
    <w:p w:rsidR="00C526EF" w:rsidRDefault="00F375DE">
      <w:pPr>
        <w:pStyle w:val="NumPar2"/>
        <w:keepNext/>
        <w:rPr>
          <w:b/>
          <w:noProof/>
        </w:rPr>
      </w:pPr>
      <w:r>
        <w:rPr>
          <w:b/>
          <w:noProof/>
        </w:rPr>
        <w:t>Качество на железопътните транспортни услуги</w:t>
      </w:r>
    </w:p>
    <w:p w:rsidR="00C526EF" w:rsidRDefault="00F375DE">
      <w:pPr>
        <w:keepNext/>
        <w:rPr>
          <w:i/>
          <w:noProof/>
          <w:lang w:val="ru-RU"/>
        </w:rPr>
      </w:pPr>
      <w:r>
        <w:rPr>
          <w:i/>
          <w:noProof/>
          <w:lang w:val="ru-RU"/>
        </w:rPr>
        <w:t>Точност и надеждност на услугите за пътнически превози</w:t>
      </w:r>
    </w:p>
    <w:p w:rsidR="00C526EF" w:rsidRDefault="00F375DE">
      <w:pPr>
        <w:rPr>
          <w:noProof/>
          <w:lang w:val="ru-RU"/>
        </w:rPr>
      </w:pPr>
      <w:r>
        <w:rPr>
          <w:noProof/>
          <w:lang w:val="ru-RU"/>
        </w:rPr>
        <w:t>Въз основа на използваното определение</w:t>
      </w:r>
      <w:r>
        <w:rPr>
          <w:rStyle w:val="FootnoteReference"/>
          <w:noProof/>
        </w:rPr>
        <w:footnoteReference w:id="17"/>
      </w:r>
      <w:r>
        <w:rPr>
          <w:noProof/>
          <w:lang w:val="ru-RU"/>
        </w:rPr>
        <w:t xml:space="preserve"> средно 90</w:t>
      </w:r>
      <w:r>
        <w:rPr>
          <w:noProof/>
        </w:rPr>
        <w:t> </w:t>
      </w:r>
      <w:r>
        <w:rPr>
          <w:noProof/>
          <w:lang w:val="ru-RU"/>
        </w:rPr>
        <w:t xml:space="preserve">% от местните и </w:t>
      </w:r>
      <w:r>
        <w:rPr>
          <w:noProof/>
          <w:lang w:val="ru-RU"/>
        </w:rPr>
        <w:t xml:space="preserve">регионалните услуги за превоз на пътници са били </w:t>
      </w:r>
      <w:r>
        <w:rPr>
          <w:b/>
          <w:noProof/>
          <w:lang w:val="ru-RU"/>
        </w:rPr>
        <w:t>точни</w:t>
      </w:r>
      <w:r>
        <w:rPr>
          <w:noProof/>
          <w:lang w:val="ru-RU"/>
        </w:rPr>
        <w:t xml:space="preserve">. Услугите на дълги разстояния като цяло са с по-малка степен на точност, тъй като дългите разстояния често включват по-натоварени линии със смесени превози.  </w:t>
      </w:r>
      <w:r>
        <w:rPr>
          <w:b/>
          <w:noProof/>
          <w:lang w:val="ru-RU"/>
        </w:rPr>
        <w:t>Надеждността</w:t>
      </w:r>
      <w:r>
        <w:rPr>
          <w:noProof/>
          <w:lang w:val="ru-RU"/>
        </w:rPr>
        <w:t xml:space="preserve"> на услугите, изразена чрез про</w:t>
      </w:r>
      <w:r>
        <w:rPr>
          <w:noProof/>
          <w:lang w:val="ru-RU"/>
        </w:rPr>
        <w:t>цента на отменяне, обичайно е под 2 % както за влаковете на дълги разстояния, така и за местните и регионалните влакове.</w:t>
      </w:r>
    </w:p>
    <w:p w:rsidR="00C526EF" w:rsidRDefault="00F375DE">
      <w:pPr>
        <w:rPr>
          <w:noProof/>
          <w:lang w:val="ru-RU"/>
        </w:rPr>
      </w:pPr>
      <w:r>
        <w:rPr>
          <w:i/>
          <w:noProof/>
          <w:lang w:val="ru-RU"/>
        </w:rPr>
        <w:t>Точност и надеждност на услугите за товарни превози</w:t>
      </w:r>
    </w:p>
    <w:p w:rsidR="00C526EF" w:rsidRDefault="00F375DE">
      <w:pPr>
        <w:rPr>
          <w:noProof/>
          <w:lang w:val="ru-RU"/>
        </w:rPr>
      </w:pPr>
      <w:r>
        <w:rPr>
          <w:noProof/>
          <w:lang w:val="ru-RU"/>
        </w:rPr>
        <w:t xml:space="preserve">Има ограничени данни за </w:t>
      </w:r>
      <w:r>
        <w:rPr>
          <w:b/>
          <w:noProof/>
          <w:lang w:val="ru-RU"/>
        </w:rPr>
        <w:t>надеждността</w:t>
      </w:r>
      <w:r>
        <w:rPr>
          <w:noProof/>
          <w:lang w:val="ru-RU"/>
        </w:rPr>
        <w:t xml:space="preserve"> на услугите за товарни превози, тъй като държа</w:t>
      </w:r>
      <w:r>
        <w:rPr>
          <w:noProof/>
          <w:lang w:val="ru-RU"/>
        </w:rPr>
        <w:t>вите членки все още се възползват от преходния период, за да се адаптират към новите задължения за докладване съгласно Регламента относно ПНЖП. Повечето държави членки са докладвали, че местните услуги за товарни превози са били по-</w:t>
      </w:r>
      <w:r>
        <w:rPr>
          <w:b/>
          <w:noProof/>
          <w:lang w:val="ru-RU"/>
        </w:rPr>
        <w:t>точни</w:t>
      </w:r>
      <w:r>
        <w:rPr>
          <w:rStyle w:val="FootnoteReference"/>
          <w:noProof/>
        </w:rPr>
        <w:footnoteReference w:id="18"/>
      </w:r>
      <w:r>
        <w:rPr>
          <w:noProof/>
          <w:lang w:val="ru-RU"/>
        </w:rPr>
        <w:t xml:space="preserve"> от международните</w:t>
      </w:r>
      <w:r>
        <w:rPr>
          <w:noProof/>
          <w:lang w:val="ru-RU"/>
        </w:rPr>
        <w:t xml:space="preserve"> услуги за товарни превози. От ограничените налични данни изглежда, че надеждността на услугите за товарни превози е значително по-малка от тази на услугите за пътнически превози и че международните услуги са по-засегнати от националните, основно поради из</w:t>
      </w:r>
      <w:r>
        <w:rPr>
          <w:noProof/>
          <w:lang w:val="ru-RU"/>
        </w:rPr>
        <w:t>минаването на по-дълги разстояния.</w:t>
      </w:r>
    </w:p>
    <w:p w:rsidR="00C526EF" w:rsidRDefault="00F375DE">
      <w:pPr>
        <w:rPr>
          <w:i/>
          <w:noProof/>
          <w:lang w:val="ru-RU"/>
        </w:rPr>
      </w:pPr>
      <w:r>
        <w:rPr>
          <w:i/>
          <w:noProof/>
          <w:lang w:val="ru-RU"/>
        </w:rPr>
        <w:t>Безопасност</w:t>
      </w:r>
    </w:p>
    <w:p w:rsidR="00C526EF" w:rsidRDefault="00F375DE">
      <w:pPr>
        <w:rPr>
          <w:noProof/>
          <w:lang w:val="ru-RU"/>
        </w:rPr>
      </w:pPr>
      <w:r>
        <w:rPr>
          <w:noProof/>
          <w:lang w:val="ru-RU"/>
        </w:rPr>
        <w:t>Железопътните превози остават един от най-безопасните видове транспорт. През 2016</w:t>
      </w:r>
      <w:r>
        <w:rPr>
          <w:noProof/>
        </w:rPr>
        <w:t> </w:t>
      </w:r>
      <w:r>
        <w:rPr>
          <w:noProof/>
          <w:lang w:val="ru-RU"/>
        </w:rPr>
        <w:t>г. е имало 964 смъртни случаи</w:t>
      </w:r>
      <w:r>
        <w:rPr>
          <w:rStyle w:val="FootnoteReference"/>
          <w:noProof/>
        </w:rPr>
        <w:footnoteReference w:id="19"/>
      </w:r>
      <w:r>
        <w:rPr>
          <w:noProof/>
          <w:lang w:val="ru-RU"/>
        </w:rPr>
        <w:t xml:space="preserve"> при железопътни превози в Европа : по-голямата част от тях са били с хора, използващи железопътн</w:t>
      </w:r>
      <w:r>
        <w:rPr>
          <w:noProof/>
          <w:lang w:val="ru-RU"/>
        </w:rPr>
        <w:t>ите прелези (255), и лица без право на достъп (600). Броят на смъртните случаи на служители и пътници е бил съответно 32 и 44. През периода 2010—2015</w:t>
      </w:r>
      <w:r>
        <w:rPr>
          <w:noProof/>
        </w:rPr>
        <w:t> </w:t>
      </w:r>
      <w:r>
        <w:rPr>
          <w:noProof/>
          <w:lang w:val="ru-RU"/>
        </w:rPr>
        <w:t>г. продължава тенденцията на подобряване на безопасността на железниците, въпреки че през 2016</w:t>
      </w:r>
      <w:r>
        <w:rPr>
          <w:noProof/>
        </w:rPr>
        <w:t> </w:t>
      </w:r>
      <w:r>
        <w:rPr>
          <w:noProof/>
          <w:lang w:val="ru-RU"/>
        </w:rPr>
        <w:t>г. броят на</w:t>
      </w:r>
      <w:r>
        <w:rPr>
          <w:noProof/>
          <w:lang w:val="ru-RU"/>
        </w:rPr>
        <w:t xml:space="preserve"> смъртните случаи и сериозните наранявания леко се е увеличил. През периода 2011—2015</w:t>
      </w:r>
      <w:r>
        <w:rPr>
          <w:noProof/>
        </w:rPr>
        <w:t> </w:t>
      </w:r>
      <w:r>
        <w:rPr>
          <w:noProof/>
          <w:lang w:val="ru-RU"/>
        </w:rPr>
        <w:t xml:space="preserve">г. пътуването с железниците е било над 25 пъти по-безопасно от пътуването с лек автомобил. </w:t>
      </w:r>
    </w:p>
    <w:p w:rsidR="00C526EF" w:rsidRDefault="00F375DE">
      <w:pPr>
        <w:keepNext/>
        <w:rPr>
          <w:i/>
          <w:noProof/>
          <w:lang w:val="ru-RU"/>
        </w:rPr>
      </w:pPr>
      <w:r>
        <w:rPr>
          <w:i/>
          <w:noProof/>
          <w:lang w:val="ru-RU"/>
        </w:rPr>
        <w:t>Удовлетвореност на клиентите от пътническите услуги</w:t>
      </w:r>
    </w:p>
    <w:p w:rsidR="00C526EF" w:rsidRDefault="00F375DE">
      <w:pPr>
        <w:rPr>
          <w:noProof/>
          <w:lang w:val="ru-RU"/>
        </w:rPr>
      </w:pPr>
      <w:r>
        <w:rPr>
          <w:noProof/>
          <w:lang w:val="ru-RU"/>
        </w:rPr>
        <w:t>Съгласно проучване на Евро</w:t>
      </w:r>
      <w:r>
        <w:rPr>
          <w:noProof/>
          <w:lang w:val="ru-RU"/>
        </w:rPr>
        <w:t>барометър</w:t>
      </w:r>
      <w:r>
        <w:rPr>
          <w:rStyle w:val="FootnoteReference"/>
          <w:noProof/>
        </w:rPr>
        <w:footnoteReference w:id="20"/>
      </w:r>
      <w:r>
        <w:rPr>
          <w:noProof/>
          <w:lang w:val="ru-RU"/>
        </w:rPr>
        <w:t>, публикувано през септември 2018</w:t>
      </w:r>
      <w:r>
        <w:rPr>
          <w:noProof/>
        </w:rPr>
        <w:t> </w:t>
      </w:r>
      <w:r>
        <w:rPr>
          <w:noProof/>
          <w:lang w:val="ru-RU"/>
        </w:rPr>
        <w:t>г., 66</w:t>
      </w:r>
      <w:r>
        <w:rPr>
          <w:noProof/>
        </w:rPr>
        <w:t> </w:t>
      </w:r>
      <w:r>
        <w:rPr>
          <w:noProof/>
          <w:lang w:val="ru-RU"/>
        </w:rPr>
        <w:t>% от европейците са доволни от честотата на пътническите влакове, 59</w:t>
      </w:r>
      <w:r>
        <w:rPr>
          <w:noProof/>
        </w:rPr>
        <w:t> </w:t>
      </w:r>
      <w:r>
        <w:rPr>
          <w:noProof/>
          <w:lang w:val="ru-RU"/>
        </w:rPr>
        <w:t>% — от точността и надеждността, а 55</w:t>
      </w:r>
      <w:r>
        <w:rPr>
          <w:noProof/>
        </w:rPr>
        <w:t> </w:t>
      </w:r>
      <w:r>
        <w:rPr>
          <w:noProof/>
          <w:lang w:val="ru-RU"/>
        </w:rPr>
        <w:t xml:space="preserve">% — от информацията за пътуванията, предоставяна по време на пътуванията, особено когато има </w:t>
      </w:r>
      <w:r>
        <w:rPr>
          <w:noProof/>
          <w:lang w:val="ru-RU"/>
        </w:rPr>
        <w:t>закъснение. Тези данни представляват значителни подобрения в сравнение със сходно проучване, проведено през 2013</w:t>
      </w:r>
      <w:r>
        <w:rPr>
          <w:noProof/>
        </w:rPr>
        <w:t> </w:t>
      </w:r>
      <w:r>
        <w:rPr>
          <w:noProof/>
          <w:lang w:val="ru-RU"/>
        </w:rPr>
        <w:t>г.</w:t>
      </w:r>
    </w:p>
    <w:p w:rsidR="00C526EF" w:rsidRDefault="00F375DE">
      <w:pPr>
        <w:rPr>
          <w:noProof/>
          <w:lang w:val="ru-RU"/>
        </w:rPr>
      </w:pPr>
      <w:r>
        <w:rPr>
          <w:noProof/>
          <w:lang w:val="ru-RU"/>
        </w:rPr>
        <w:t>Проучването предоставя също така поглед върху навиците за пътуване. Четирима от всеки петима (80</w:t>
      </w:r>
      <w:r>
        <w:rPr>
          <w:noProof/>
        </w:rPr>
        <w:t> </w:t>
      </w:r>
      <w:r>
        <w:rPr>
          <w:noProof/>
          <w:lang w:val="ru-RU"/>
        </w:rPr>
        <w:t>%) европейци пътуват с влак и е най-вероятн</w:t>
      </w:r>
      <w:r>
        <w:rPr>
          <w:noProof/>
          <w:lang w:val="ru-RU"/>
        </w:rPr>
        <w:t>о да използват влак за крайградски пътувания (67</w:t>
      </w:r>
      <w:r>
        <w:rPr>
          <w:noProof/>
        </w:rPr>
        <w:t> </w:t>
      </w:r>
      <w:r>
        <w:rPr>
          <w:noProof/>
          <w:lang w:val="ru-RU"/>
        </w:rPr>
        <w:t>%). Все още съществуват значителни възможности за подобрение: едва 38</w:t>
      </w:r>
      <w:r>
        <w:rPr>
          <w:noProof/>
        </w:rPr>
        <w:t> </w:t>
      </w:r>
      <w:r>
        <w:rPr>
          <w:noProof/>
          <w:lang w:val="ru-RU"/>
        </w:rPr>
        <w:t>% от европейците са доволни от начина на разглеждане на жалбите, а по отношение на достъпността до железопътните услуги за пътници с нама</w:t>
      </w:r>
      <w:r>
        <w:rPr>
          <w:noProof/>
          <w:lang w:val="ru-RU"/>
        </w:rPr>
        <w:t>лена подвижност се изисква допълнителна работа. Проучването показва също така, че 75</w:t>
      </w:r>
      <w:r>
        <w:rPr>
          <w:noProof/>
        </w:rPr>
        <w:t> </w:t>
      </w:r>
      <w:r>
        <w:rPr>
          <w:noProof/>
          <w:lang w:val="ru-RU"/>
        </w:rPr>
        <w:t>% от европейците считат, че купуването на билети за влакове е лесно, а 62</w:t>
      </w:r>
      <w:r>
        <w:rPr>
          <w:noProof/>
        </w:rPr>
        <w:t> </w:t>
      </w:r>
      <w:r>
        <w:rPr>
          <w:noProof/>
          <w:lang w:val="ru-RU"/>
        </w:rPr>
        <w:t>% са доволни от наличността на билети за пътувания, при които се използват няколко влака или видо</w:t>
      </w:r>
      <w:r>
        <w:rPr>
          <w:noProof/>
          <w:lang w:val="ru-RU"/>
        </w:rPr>
        <w:t>ве транспорт.</w:t>
      </w:r>
    </w:p>
    <w:p w:rsidR="00C526EF" w:rsidRDefault="00F375DE">
      <w:pPr>
        <w:keepNext/>
        <w:rPr>
          <w:i/>
          <w:noProof/>
          <w:lang w:val="ru-RU"/>
        </w:rPr>
      </w:pPr>
      <w:r>
        <w:rPr>
          <w:i/>
          <w:noProof/>
          <w:lang w:val="ru-RU"/>
        </w:rPr>
        <w:t>Удовлетвореност на заинтересованите страни от услугите по коридорите за железопътни товарни превози</w:t>
      </w:r>
    </w:p>
    <w:p w:rsidR="00C526EF" w:rsidRDefault="00F375DE">
      <w:pPr>
        <w:rPr>
          <w:noProof/>
          <w:lang w:val="ru-RU"/>
        </w:rPr>
      </w:pPr>
      <w:r>
        <w:rPr>
          <w:noProof/>
          <w:lang w:val="ru-RU"/>
        </w:rPr>
        <w:t>Няма обхващащо целия ЕС съпоставително проучване на удовлетвореността на клиентите по отношение на услугите за товарни превози</w:t>
      </w:r>
      <w:r>
        <w:rPr>
          <w:rStyle w:val="FootnoteReference"/>
          <w:noProof/>
        </w:rPr>
        <w:footnoteReference w:id="21"/>
      </w:r>
      <w:r>
        <w:rPr>
          <w:noProof/>
          <w:lang w:val="ru-RU"/>
        </w:rPr>
        <w:t>. Независимо от</w:t>
      </w:r>
      <w:r>
        <w:rPr>
          <w:noProof/>
          <w:lang w:val="ru-RU"/>
        </w:rPr>
        <w:t xml:space="preserve"> това, изглежда между заинтересованите страни има определен консенсус относно трите основни елемента за гарантиране на удовлетвореност на клиентите от железопътните товарни превози: надеждност, гъвкавост и предоставяне на надеждна информация за превоза.</w:t>
      </w:r>
    </w:p>
    <w:p w:rsidR="00C526EF" w:rsidRDefault="00F375DE">
      <w:pPr>
        <w:pStyle w:val="NumPar2"/>
        <w:keepNext/>
        <w:rPr>
          <w:b/>
          <w:noProof/>
        </w:rPr>
      </w:pPr>
      <w:r>
        <w:rPr>
          <w:b/>
          <w:noProof/>
        </w:rPr>
        <w:t>Об</w:t>
      </w:r>
      <w:r>
        <w:rPr>
          <w:b/>
          <w:noProof/>
        </w:rPr>
        <w:t>ществени поръчки за услуги</w:t>
      </w:r>
    </w:p>
    <w:p w:rsidR="00C526EF" w:rsidRDefault="00F375DE">
      <w:pPr>
        <w:rPr>
          <w:noProof/>
          <w:lang w:val="ru-RU"/>
        </w:rPr>
      </w:pPr>
      <w:r>
        <w:rPr>
          <w:noProof/>
          <w:lang w:val="ru-RU"/>
        </w:rPr>
        <w:t>През 2016</w:t>
      </w:r>
      <w:r>
        <w:rPr>
          <w:noProof/>
        </w:rPr>
        <w:t> </w:t>
      </w:r>
      <w:r>
        <w:rPr>
          <w:noProof/>
          <w:lang w:val="ru-RU"/>
        </w:rPr>
        <w:t>г. над 60</w:t>
      </w:r>
      <w:r>
        <w:rPr>
          <w:noProof/>
        </w:rPr>
        <w:t> </w:t>
      </w:r>
      <w:r>
        <w:rPr>
          <w:noProof/>
          <w:lang w:val="ru-RU"/>
        </w:rPr>
        <w:t>% от всички железопътни пътник</w:t>
      </w:r>
      <w:r>
        <w:rPr>
          <w:noProof/>
        </w:rPr>
        <w:t>o</w:t>
      </w:r>
      <w:r>
        <w:rPr>
          <w:noProof/>
          <w:lang w:val="ru-RU"/>
        </w:rPr>
        <w:t>километри в ЕС са изминати чрез използване на услуги, предоставени в рамките на задължение за извършване на обществена услуга, като обезщетението за задължението за извършване на</w:t>
      </w:r>
      <w:r>
        <w:rPr>
          <w:noProof/>
          <w:lang w:val="ru-RU"/>
        </w:rPr>
        <w:t xml:space="preserve"> обществена услуга продължава да бъде важен източник на приходи за железопътните предприятия в повечето държави членки. Задължението за извършване на обществена услуга се използва в по-голяма степен за националните и регионалните железопътни услуги, отколк</w:t>
      </w:r>
      <w:r>
        <w:rPr>
          <w:noProof/>
          <w:lang w:val="ru-RU"/>
        </w:rPr>
        <w:t>ото за услугите на дълги разстояния; само малък брой държави са докладвали, че прилагат задължение за извършване на обществена услуга по отношение на международни услуги.</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13: Пътник</w:t>
      </w:r>
      <w:r>
        <w:rPr>
          <w:rFonts w:asciiTheme="minorHAnsi" w:hAnsiTheme="minorHAnsi"/>
          <w:iCs/>
          <w:noProof/>
          <w:color w:val="4F81BD" w:themeColor="accent1"/>
          <w:sz w:val="20"/>
          <w:szCs w:val="18"/>
        </w:rPr>
        <w:t>o</w:t>
      </w:r>
      <w:r>
        <w:rPr>
          <w:rFonts w:asciiTheme="minorHAnsi" w:hAnsiTheme="minorHAnsi"/>
          <w:iCs/>
          <w:noProof/>
          <w:color w:val="4F81BD" w:themeColor="accent1"/>
          <w:sz w:val="20"/>
          <w:szCs w:val="18"/>
          <w:lang w:val="ru-RU"/>
        </w:rPr>
        <w:t>километри при железопътните услуги, обхванати от задължение за извъ</w:t>
      </w:r>
      <w:r>
        <w:rPr>
          <w:rFonts w:asciiTheme="minorHAnsi" w:hAnsiTheme="minorHAnsi"/>
          <w:iCs/>
          <w:noProof/>
          <w:color w:val="4F81BD" w:themeColor="accent1"/>
          <w:sz w:val="20"/>
          <w:szCs w:val="18"/>
          <w:lang w:val="ru-RU"/>
        </w:rPr>
        <w:t>ршване на обществена услуга (ЗИОУ), и търговските железопътни услуги,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2726690"/>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2430" cy="2726690"/>
                    </a:xfrm>
                    <a:prstGeom prst="rect">
                      <a:avLst/>
                    </a:prstGeom>
                    <a:noFill/>
                    <a:ln>
                      <a:noFill/>
                    </a:ln>
                  </pic:spPr>
                </pic:pic>
              </a:graphicData>
            </a:graphic>
          </wp:inline>
        </w:drawing>
      </w:r>
    </w:p>
    <w:p w:rsidR="00C526EF" w:rsidRDefault="00F375DE">
      <w:pPr>
        <w:pStyle w:val="Source"/>
        <w:rPr>
          <w:noProof/>
          <w:lang w:val="ru-RU"/>
        </w:rPr>
      </w:pPr>
      <w:r>
        <w:rPr>
          <w:noProof/>
          <w:lang w:val="ru-RU"/>
        </w:rPr>
        <w:t>Източник: ПНЖП, 2018</w:t>
      </w:r>
      <w:r>
        <w:rPr>
          <w:noProof/>
        </w:rPr>
        <w:t> </w:t>
      </w:r>
      <w:r>
        <w:rPr>
          <w:noProof/>
          <w:lang w:val="ru-RU"/>
        </w:rPr>
        <w:t>г. Няма скорошни данни за Нидерландия.</w:t>
      </w:r>
    </w:p>
    <w:p w:rsidR="00C526EF" w:rsidRDefault="00F375DE">
      <w:pPr>
        <w:rPr>
          <w:noProof/>
          <w:lang w:val="ru-RU"/>
        </w:rPr>
      </w:pPr>
      <w:r>
        <w:rPr>
          <w:noProof/>
          <w:lang w:val="ru-RU"/>
        </w:rPr>
        <w:t>Конкурсни тръжни процедури са били използвани за едва 41</w:t>
      </w:r>
      <w:r>
        <w:rPr>
          <w:noProof/>
        </w:rPr>
        <w:t> </w:t>
      </w:r>
      <w:r>
        <w:rPr>
          <w:noProof/>
          <w:lang w:val="ru-RU"/>
        </w:rPr>
        <w:t>% от всички действащи през 2016</w:t>
      </w:r>
      <w:r>
        <w:rPr>
          <w:noProof/>
        </w:rPr>
        <w:t> </w:t>
      </w:r>
      <w:r>
        <w:rPr>
          <w:noProof/>
          <w:lang w:val="ru-RU"/>
        </w:rPr>
        <w:t>г. услуги, обхванати от зад</w:t>
      </w:r>
      <w:r>
        <w:rPr>
          <w:noProof/>
          <w:lang w:val="ru-RU"/>
        </w:rPr>
        <w:t>ължение за извършване на обществена услуга, като това е почти изключително в три държави членки, които са осъществили либерализация на ранен етап (Обединеното кралство, Германия и Швеция). Благодарение на четвъртия железопътен пакет конкурсните тръжни проц</w:t>
      </w:r>
      <w:r>
        <w:rPr>
          <w:noProof/>
          <w:lang w:val="ru-RU"/>
        </w:rPr>
        <w:t>едури постепенно ще станат задължителна практика, а прякото възлагане на поръчки ще бъде разрешено само в изключителни случаи. През 2016</w:t>
      </w:r>
      <w:r>
        <w:rPr>
          <w:noProof/>
        </w:rPr>
        <w:t> </w:t>
      </w:r>
      <w:r>
        <w:rPr>
          <w:noProof/>
          <w:lang w:val="ru-RU"/>
        </w:rPr>
        <w:t>г. са били възложени поръчки чрез нови конкурсни търгове за повече от 32 милиона влак-километра годишно.</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14: </w:t>
      </w:r>
      <w:r>
        <w:rPr>
          <w:rFonts w:asciiTheme="minorHAnsi" w:hAnsiTheme="minorHAnsi"/>
          <w:iCs/>
          <w:noProof/>
          <w:color w:val="4F81BD" w:themeColor="accent1"/>
          <w:sz w:val="20"/>
          <w:szCs w:val="18"/>
          <w:lang w:val="ru-RU"/>
        </w:rPr>
        <w:t>Задължения за извършване на обществена услуга, възложени чрез конкурсни търгове, и пряко възложени такива,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269494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2430" cy="2694940"/>
                    </a:xfrm>
                    <a:prstGeom prst="rect">
                      <a:avLst/>
                    </a:prstGeom>
                    <a:noFill/>
                    <a:ln>
                      <a:noFill/>
                    </a:ln>
                  </pic:spPr>
                </pic:pic>
              </a:graphicData>
            </a:graphic>
          </wp:inline>
        </w:drawing>
      </w:r>
    </w:p>
    <w:p w:rsidR="00C526EF" w:rsidRDefault="00F375DE">
      <w:pPr>
        <w:spacing w:before="100" w:after="200"/>
        <w:rPr>
          <w:noProof/>
          <w:lang w:val="ru-RU"/>
        </w:rPr>
      </w:pPr>
      <w:r>
        <w:rPr>
          <w:rFonts w:ascii="Calibri" w:hAnsi="Calibri"/>
          <w:i/>
          <w:noProof/>
          <w:sz w:val="20"/>
          <w:szCs w:val="22"/>
          <w:lang w:val="ru-RU"/>
        </w:rPr>
        <w:t>Източник: ПНЖП, 2018</w:t>
      </w:r>
      <w:r>
        <w:rPr>
          <w:rFonts w:ascii="Calibri" w:hAnsi="Calibri"/>
          <w:i/>
          <w:noProof/>
          <w:sz w:val="20"/>
          <w:szCs w:val="22"/>
        </w:rPr>
        <w:t> </w:t>
      </w:r>
      <w:r>
        <w:rPr>
          <w:rFonts w:ascii="Calibri" w:hAnsi="Calibri"/>
          <w:i/>
          <w:noProof/>
          <w:sz w:val="20"/>
          <w:szCs w:val="22"/>
          <w:lang w:val="ru-RU"/>
        </w:rPr>
        <w:t>г. Няма данни за Нидерландия.</w:t>
      </w:r>
    </w:p>
    <w:p w:rsidR="00C526EF" w:rsidRDefault="00F375DE">
      <w:pPr>
        <w:rPr>
          <w:noProof/>
          <w:lang w:val="ru-RU"/>
        </w:rPr>
      </w:pPr>
      <w:r>
        <w:rPr>
          <w:noProof/>
          <w:lang w:val="ru-RU"/>
        </w:rPr>
        <w:t>Размерът на обезщетението за всеки влак-километър, свързано със задължението за извършва</w:t>
      </w:r>
      <w:r>
        <w:rPr>
          <w:noProof/>
          <w:lang w:val="ru-RU"/>
        </w:rPr>
        <w:t>не на обществена услуга, и делът на разходите за задължението за извършване на обществена услуга, които се покриват от пътническите тарифи, се различават значително между отделните държави. Средното обезщетение за задължението за извършване на обществена у</w:t>
      </w:r>
      <w:r>
        <w:rPr>
          <w:noProof/>
          <w:lang w:val="ru-RU"/>
        </w:rPr>
        <w:t>слуга е отрицателно в Обединеното кралство, където оферентите за изключителни права в рамките на поръчки за задължения за извършване на обществена услуга („франчайзи“) могат да платят „премия“, ако те преценят, че услугите могат да се предоставят по рентаб</w:t>
      </w:r>
      <w:r>
        <w:rPr>
          <w:noProof/>
          <w:lang w:val="ru-RU"/>
        </w:rPr>
        <w:t xml:space="preserve">илен начин при текущите (регулирани) равнища на таксите за достъп и тарифите. </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15: Средно обезщетение за ЗИОУ, доколкото има данни,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rFonts w:asciiTheme="minorHAnsi" w:eastAsiaTheme="minorHAnsi" w:hAnsiTheme="minorHAnsi" w:cstheme="minorBidi"/>
          <w:iCs/>
          <w:noProof/>
          <w:color w:val="4F81BD" w:themeColor="accent1"/>
          <w:sz w:val="20"/>
          <w:szCs w:val="18"/>
        </w:rPr>
      </w:pPr>
      <w:r>
        <w:rPr>
          <w:rFonts w:eastAsiaTheme="minorHAnsi"/>
          <w:noProof/>
        </w:rPr>
        <w:drawing>
          <wp:inline distT="0" distB="0" distL="0" distR="0">
            <wp:extent cx="5472430" cy="2740660"/>
            <wp:effectExtent l="0" t="0" r="0" b="254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72430" cy="2740660"/>
                    </a:xfrm>
                    <a:prstGeom prst="rect">
                      <a:avLst/>
                    </a:prstGeom>
                    <a:noFill/>
                    <a:ln>
                      <a:noFill/>
                    </a:ln>
                  </pic:spPr>
                </pic:pic>
              </a:graphicData>
            </a:graphic>
          </wp:inline>
        </w:drawing>
      </w:r>
    </w:p>
    <w:p w:rsidR="00C526EF" w:rsidRDefault="00F375DE">
      <w:pPr>
        <w:spacing w:before="100" w:after="200"/>
        <w:rPr>
          <w:rFonts w:ascii="Calibri" w:eastAsia="Calibri" w:hAnsi="Calibri"/>
          <w:i/>
          <w:noProof/>
          <w:sz w:val="20"/>
          <w:szCs w:val="22"/>
          <w:lang w:val="ru-RU"/>
        </w:rPr>
      </w:pPr>
      <w:r>
        <w:rPr>
          <w:rFonts w:ascii="Calibri" w:hAnsi="Calibri"/>
          <w:i/>
          <w:noProof/>
          <w:sz w:val="20"/>
          <w:szCs w:val="22"/>
          <w:lang w:val="ru-RU"/>
        </w:rPr>
        <w:t>Източник: ПНЖП, 2018</w:t>
      </w:r>
      <w:r>
        <w:rPr>
          <w:rFonts w:ascii="Calibri" w:hAnsi="Calibri"/>
          <w:i/>
          <w:noProof/>
          <w:sz w:val="20"/>
          <w:szCs w:val="22"/>
        </w:rPr>
        <w:t> </w:t>
      </w:r>
      <w:r>
        <w:rPr>
          <w:rFonts w:ascii="Calibri" w:hAnsi="Calibri"/>
          <w:i/>
          <w:noProof/>
          <w:sz w:val="20"/>
          <w:szCs w:val="22"/>
          <w:lang w:val="ru-RU"/>
        </w:rPr>
        <w:t>г. Няма данни за Гърция, Нидерландия, Португалия</w:t>
      </w:r>
    </w:p>
    <w:p w:rsidR="00C526EF" w:rsidRDefault="00C526EF">
      <w:pPr>
        <w:pStyle w:val="NumPar2"/>
        <w:numPr>
          <w:ilvl w:val="0"/>
          <w:numId w:val="0"/>
        </w:numPr>
        <w:ind w:left="1200" w:hanging="720"/>
        <w:rPr>
          <w:b/>
          <w:noProof/>
          <w:lang w:val="ru-RU"/>
        </w:rPr>
      </w:pP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16: Дял на разходите за ЗИОУ,</w:t>
      </w:r>
      <w:r>
        <w:rPr>
          <w:rFonts w:asciiTheme="minorHAnsi" w:hAnsiTheme="minorHAnsi"/>
          <w:iCs/>
          <w:noProof/>
          <w:color w:val="4F81BD" w:themeColor="accent1"/>
          <w:sz w:val="20"/>
          <w:szCs w:val="18"/>
          <w:lang w:val="ru-RU"/>
        </w:rPr>
        <w:t xml:space="preserve"> които се покриват от пътническите тарифи, доколкото има данни,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pStyle w:val="NumPar2"/>
        <w:keepNext/>
        <w:numPr>
          <w:ilvl w:val="0"/>
          <w:numId w:val="0"/>
        </w:numPr>
        <w:jc w:val="center"/>
        <w:rPr>
          <w:b/>
          <w:noProof/>
        </w:rPr>
      </w:pPr>
      <w:r>
        <w:rPr>
          <w:noProof/>
        </w:rPr>
        <w:drawing>
          <wp:inline distT="0" distB="0" distL="0" distR="0">
            <wp:extent cx="5472430" cy="2678430"/>
            <wp:effectExtent l="0" t="0" r="0" b="762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2430" cy="2678430"/>
                    </a:xfrm>
                    <a:prstGeom prst="rect">
                      <a:avLst/>
                    </a:prstGeom>
                    <a:noFill/>
                    <a:ln>
                      <a:noFill/>
                    </a:ln>
                  </pic:spPr>
                </pic:pic>
              </a:graphicData>
            </a:graphic>
          </wp:inline>
        </w:drawing>
      </w:r>
    </w:p>
    <w:p w:rsidR="00C526EF" w:rsidRDefault="00F375DE">
      <w:pPr>
        <w:spacing w:before="100" w:after="200"/>
        <w:rPr>
          <w:rFonts w:ascii="Calibri" w:eastAsia="Calibri" w:hAnsi="Calibri"/>
          <w:i/>
          <w:noProof/>
          <w:sz w:val="20"/>
          <w:szCs w:val="22"/>
          <w:lang w:val="ru-RU"/>
        </w:rPr>
      </w:pPr>
      <w:r>
        <w:rPr>
          <w:rFonts w:ascii="Calibri" w:hAnsi="Calibri"/>
          <w:i/>
          <w:noProof/>
          <w:sz w:val="20"/>
          <w:szCs w:val="22"/>
          <w:lang w:val="ru-RU"/>
        </w:rPr>
        <w:t>Източник: ПНЖП, 2018</w:t>
      </w:r>
      <w:r>
        <w:rPr>
          <w:rFonts w:ascii="Calibri" w:hAnsi="Calibri"/>
          <w:i/>
          <w:noProof/>
          <w:sz w:val="20"/>
          <w:szCs w:val="22"/>
        </w:rPr>
        <w:t> </w:t>
      </w:r>
      <w:r>
        <w:rPr>
          <w:rFonts w:ascii="Calibri" w:hAnsi="Calibri"/>
          <w:i/>
          <w:noProof/>
          <w:sz w:val="20"/>
          <w:szCs w:val="22"/>
          <w:lang w:val="ru-RU"/>
        </w:rPr>
        <w:t>г. Няма данни за Франция и Словения</w:t>
      </w:r>
    </w:p>
    <w:p w:rsidR="00C526EF" w:rsidRDefault="00F375DE">
      <w:pPr>
        <w:pStyle w:val="NumPar2"/>
        <w:keepNext/>
        <w:rPr>
          <w:b/>
          <w:noProof/>
        </w:rPr>
      </w:pPr>
      <w:r>
        <w:rPr>
          <w:b/>
          <w:noProof/>
        </w:rPr>
        <w:t>Лицензиране</w:t>
      </w:r>
    </w:p>
    <w:p w:rsidR="00C526EF" w:rsidRDefault="00F375DE">
      <w:pPr>
        <w:rPr>
          <w:noProof/>
          <w:lang w:val="ru-RU"/>
        </w:rPr>
      </w:pPr>
      <w:r>
        <w:rPr>
          <w:noProof/>
          <w:lang w:val="ru-RU"/>
        </w:rPr>
        <w:t>През 2016</w:t>
      </w:r>
      <w:r>
        <w:rPr>
          <w:noProof/>
        </w:rPr>
        <w:t> </w:t>
      </w:r>
      <w:r>
        <w:rPr>
          <w:noProof/>
          <w:lang w:val="ru-RU"/>
        </w:rPr>
        <w:t xml:space="preserve">г. </w:t>
      </w:r>
      <w:r>
        <w:rPr>
          <w:b/>
          <w:noProof/>
          <w:lang w:val="ru-RU"/>
        </w:rPr>
        <w:t>броят на активните лицензи</w:t>
      </w:r>
      <w:r>
        <w:rPr>
          <w:noProof/>
          <w:lang w:val="ru-RU"/>
        </w:rPr>
        <w:t xml:space="preserve"> на железопътните предприятия е варирал, като в Германия той е бил 448, а в Люксембург и Ирландия — 2. Полша и Чешката република също са отчели над 100 активни лиценза, а Обединеното кралство над 50.</w:t>
      </w:r>
    </w:p>
    <w:p w:rsidR="00C526EF" w:rsidRDefault="00F375DE">
      <w:pPr>
        <w:rPr>
          <w:noProof/>
          <w:lang w:val="ru-RU"/>
        </w:rPr>
      </w:pPr>
      <w:r>
        <w:rPr>
          <w:b/>
          <w:noProof/>
          <w:lang w:val="ru-RU"/>
        </w:rPr>
        <w:t xml:space="preserve">Средните такси </w:t>
      </w:r>
      <w:r>
        <w:rPr>
          <w:noProof/>
          <w:lang w:val="ru-RU"/>
        </w:rPr>
        <w:t>за получаване на лиценз през 2016</w:t>
      </w:r>
      <w:r>
        <w:rPr>
          <w:noProof/>
        </w:rPr>
        <w:t> </w:t>
      </w:r>
      <w:r>
        <w:rPr>
          <w:noProof/>
          <w:lang w:val="ru-RU"/>
        </w:rPr>
        <w:t>г. са в</w:t>
      </w:r>
      <w:r>
        <w:rPr>
          <w:noProof/>
          <w:lang w:val="ru-RU"/>
        </w:rPr>
        <w:t>арирали между 37</w:t>
      </w:r>
      <w:r>
        <w:rPr>
          <w:noProof/>
        </w:rPr>
        <w:t> </w:t>
      </w:r>
      <w:r>
        <w:rPr>
          <w:noProof/>
          <w:lang w:val="ru-RU"/>
        </w:rPr>
        <w:t>500</w:t>
      </w:r>
      <w:r>
        <w:rPr>
          <w:noProof/>
        </w:rPr>
        <w:t> EUR</w:t>
      </w:r>
      <w:r>
        <w:rPr>
          <w:noProof/>
          <w:lang w:val="ru-RU"/>
        </w:rPr>
        <w:t xml:space="preserve"> в Португалия и 10</w:t>
      </w:r>
      <w:r>
        <w:rPr>
          <w:noProof/>
        </w:rPr>
        <w:t> EUR</w:t>
      </w:r>
      <w:r>
        <w:rPr>
          <w:noProof/>
          <w:lang w:val="ru-RU"/>
        </w:rPr>
        <w:t xml:space="preserve"> в Хърватия.</w:t>
      </w:r>
    </w:p>
    <w:p w:rsidR="00C526EF" w:rsidRDefault="00F375DE">
      <w:pPr>
        <w:rPr>
          <w:noProof/>
          <w:lang w:val="ru-RU"/>
        </w:rPr>
      </w:pPr>
      <w:r>
        <w:rPr>
          <w:noProof/>
          <w:lang w:val="ru-RU"/>
        </w:rPr>
        <w:t xml:space="preserve">Швеция, Испания и Полша са отчели най-дълъг </w:t>
      </w:r>
      <w:r>
        <w:rPr>
          <w:b/>
          <w:noProof/>
          <w:lang w:val="ru-RU"/>
        </w:rPr>
        <w:t>среден</w:t>
      </w:r>
      <w:r>
        <w:rPr>
          <w:noProof/>
          <w:lang w:val="ru-RU"/>
        </w:rPr>
        <w:t xml:space="preserve"> </w:t>
      </w:r>
      <w:r>
        <w:rPr>
          <w:b/>
          <w:noProof/>
          <w:lang w:val="ru-RU"/>
        </w:rPr>
        <w:t>срок за получаване на лиценз</w:t>
      </w:r>
      <w:r>
        <w:rPr>
          <w:noProof/>
          <w:lang w:val="ru-RU"/>
        </w:rPr>
        <w:t xml:space="preserve"> (над 100 дни).</w:t>
      </w:r>
    </w:p>
    <w:p w:rsidR="00C526EF" w:rsidRDefault="00F375DE">
      <w:pPr>
        <w:pStyle w:val="NumPar2"/>
        <w:keepNext/>
        <w:rPr>
          <w:b/>
          <w:noProof/>
          <w:lang w:val="ru-RU"/>
        </w:rPr>
      </w:pPr>
      <w:r>
        <w:rPr>
          <w:b/>
          <w:noProof/>
          <w:lang w:val="ru-RU"/>
        </w:rPr>
        <w:t>Степен на отваряне на пазара и използване на правата за достъп</w:t>
      </w:r>
    </w:p>
    <w:p w:rsidR="00C526EF" w:rsidRDefault="00F375DE">
      <w:pPr>
        <w:rPr>
          <w:noProof/>
          <w:lang w:val="ru-RU"/>
        </w:rPr>
      </w:pPr>
      <w:r>
        <w:rPr>
          <w:noProof/>
          <w:lang w:val="ru-RU"/>
        </w:rPr>
        <w:t>Благодарение на законодателството на ЕС</w:t>
      </w:r>
      <w:r>
        <w:rPr>
          <w:noProof/>
          <w:lang w:val="ru-RU"/>
        </w:rPr>
        <w:t xml:space="preserve"> пазарът на </w:t>
      </w:r>
      <w:r>
        <w:rPr>
          <w:b/>
          <w:noProof/>
          <w:lang w:val="ru-RU"/>
        </w:rPr>
        <w:t>железопътни товарни превози</w:t>
      </w:r>
      <w:r>
        <w:rPr>
          <w:noProof/>
          <w:lang w:val="ru-RU"/>
        </w:rPr>
        <w:t xml:space="preserve"> беше отворен </w:t>
      </w:r>
      <w:r>
        <w:rPr>
          <w:b/>
          <w:noProof/>
          <w:lang w:val="ru-RU"/>
        </w:rPr>
        <w:t>за конкуренция</w:t>
      </w:r>
      <w:r>
        <w:rPr>
          <w:noProof/>
          <w:lang w:val="ru-RU"/>
        </w:rPr>
        <w:t xml:space="preserve"> през 2007</w:t>
      </w:r>
      <w:r>
        <w:rPr>
          <w:noProof/>
        </w:rPr>
        <w:t> </w:t>
      </w:r>
      <w:r>
        <w:rPr>
          <w:noProof/>
          <w:lang w:val="ru-RU"/>
        </w:rPr>
        <w:t>г. През 2016</w:t>
      </w:r>
      <w:r>
        <w:rPr>
          <w:noProof/>
        </w:rPr>
        <w:t> </w:t>
      </w:r>
      <w:r>
        <w:rPr>
          <w:noProof/>
          <w:lang w:val="ru-RU"/>
        </w:rPr>
        <w:t xml:space="preserve">г. във всички държави, с изключение на Гърция, Ирландия, Литва и Люксембург, е имало нови оператори, които осъществяват дейност и се конкурират с националните традиционни предприятия, а в половината от държавите </w:t>
      </w:r>
      <w:r>
        <w:rPr>
          <w:b/>
          <w:noProof/>
          <w:lang w:val="ru-RU"/>
        </w:rPr>
        <w:t>пазарният дял</w:t>
      </w:r>
      <w:r>
        <w:rPr>
          <w:noProof/>
          <w:lang w:val="ru-RU"/>
        </w:rPr>
        <w:t xml:space="preserve"> на конкурентите е бил над 40</w:t>
      </w:r>
      <w:r>
        <w:rPr>
          <w:noProof/>
        </w:rPr>
        <w:t> </w:t>
      </w:r>
      <w:r>
        <w:rPr>
          <w:noProof/>
          <w:lang w:val="ru-RU"/>
        </w:rPr>
        <w:t>%</w:t>
      </w:r>
      <w:r>
        <w:rPr>
          <w:noProof/>
          <w:lang w:val="ru-RU"/>
        </w:rPr>
        <w:t>. През периода 2011—2016</w:t>
      </w:r>
      <w:r>
        <w:rPr>
          <w:noProof/>
        </w:rPr>
        <w:t> </w:t>
      </w:r>
      <w:r>
        <w:rPr>
          <w:noProof/>
          <w:lang w:val="ru-RU"/>
        </w:rPr>
        <w:t>г. във всички държави от ЕС пазарният дял на конкурентите трайно нараства. Конкурентите са загубили пазарен дял само в Швеция и Естония, като в Естония техният пазарен дял е намалял от 41</w:t>
      </w:r>
      <w:r>
        <w:rPr>
          <w:noProof/>
        </w:rPr>
        <w:t> </w:t>
      </w:r>
      <w:r>
        <w:rPr>
          <w:noProof/>
          <w:lang w:val="ru-RU"/>
        </w:rPr>
        <w:t>% на 20</w:t>
      </w:r>
      <w:r>
        <w:rPr>
          <w:noProof/>
        </w:rPr>
        <w:t> </w:t>
      </w:r>
      <w:r>
        <w:rPr>
          <w:noProof/>
          <w:lang w:val="ru-RU"/>
        </w:rPr>
        <w:t xml:space="preserve">%. </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17: Конкуренти на пазара</w:t>
      </w:r>
      <w:r>
        <w:rPr>
          <w:rFonts w:asciiTheme="minorHAnsi" w:hAnsiTheme="minorHAnsi"/>
          <w:iCs/>
          <w:noProof/>
          <w:color w:val="4F81BD" w:themeColor="accent1"/>
          <w:sz w:val="20"/>
          <w:szCs w:val="18"/>
          <w:lang w:val="ru-RU"/>
        </w:rPr>
        <w:t xml:space="preserve"> на товарни превози, пазарен дял и кумулативен среден темп на растеж, 2011—2016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 xml:space="preserve">г. </w:t>
      </w:r>
    </w:p>
    <w:tbl>
      <w:tblPr>
        <w:tblW w:w="0" w:type="auto"/>
        <w:tblLook w:val="04A0" w:firstRow="1" w:lastRow="0" w:firstColumn="1" w:lastColumn="0" w:noHBand="0" w:noVBand="1"/>
      </w:tblPr>
      <w:tblGrid>
        <w:gridCol w:w="6809"/>
        <w:gridCol w:w="2025"/>
      </w:tblGrid>
      <w:tr w:rsidR="00C526EF">
        <w:tc>
          <w:tcPr>
            <w:tcW w:w="6756" w:type="dxa"/>
          </w:tcPr>
          <w:p w:rsidR="00C526EF" w:rsidRDefault="00F375DE">
            <w:pPr>
              <w:keepNext/>
              <w:jc w:val="center"/>
              <w:rPr>
                <w:noProof/>
              </w:rPr>
            </w:pPr>
            <w:r>
              <w:rPr>
                <w:noProof/>
              </w:rPr>
              <w:drawing>
                <wp:inline distT="0" distB="0" distL="0" distR="0">
                  <wp:extent cx="4305300" cy="2847975"/>
                  <wp:effectExtent l="0" t="0" r="0" b="9525"/>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5300" cy="2847975"/>
                          </a:xfrm>
                          <a:prstGeom prst="rect">
                            <a:avLst/>
                          </a:prstGeom>
                          <a:noFill/>
                          <a:ln>
                            <a:noFill/>
                          </a:ln>
                        </pic:spPr>
                      </pic:pic>
                    </a:graphicData>
                  </a:graphic>
                </wp:inline>
              </w:drawing>
            </w:r>
          </w:p>
        </w:tc>
        <w:tc>
          <w:tcPr>
            <w:tcW w:w="2078" w:type="dxa"/>
          </w:tcPr>
          <w:p w:rsidR="00C526EF" w:rsidRDefault="00F375DE">
            <w:pPr>
              <w:keepNext/>
              <w:jc w:val="center"/>
              <w:rPr>
                <w:noProof/>
              </w:rPr>
            </w:pPr>
            <w:r>
              <w:rPr>
                <w:noProof/>
              </w:rPr>
              <w:drawing>
                <wp:inline distT="0" distB="0" distL="0" distR="0">
                  <wp:extent cx="1173480" cy="2651760"/>
                  <wp:effectExtent l="0" t="0" r="7620" b="0"/>
                  <wp:docPr id="26672" name="Picture 2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3480" cy="2651760"/>
                          </a:xfrm>
                          <a:prstGeom prst="rect">
                            <a:avLst/>
                          </a:prstGeom>
                          <a:noFill/>
                          <a:ln>
                            <a:noFill/>
                          </a:ln>
                        </pic:spPr>
                      </pic:pic>
                    </a:graphicData>
                  </a:graphic>
                </wp:inline>
              </w:drawing>
            </w:r>
          </w:p>
        </w:tc>
      </w:tr>
    </w:tbl>
    <w:p w:rsidR="00C526EF" w:rsidRDefault="00F375DE">
      <w:pPr>
        <w:spacing w:before="100" w:after="200"/>
        <w:rPr>
          <w:rFonts w:ascii="Calibri" w:eastAsia="Calibri" w:hAnsi="Calibri"/>
          <w:i/>
          <w:noProof/>
          <w:sz w:val="20"/>
          <w:szCs w:val="22"/>
          <w:lang w:val="ru-RU"/>
        </w:rPr>
      </w:pPr>
      <w:r>
        <w:rPr>
          <w:rFonts w:ascii="Calibri" w:hAnsi="Calibri"/>
          <w:i/>
          <w:noProof/>
          <w:sz w:val="20"/>
          <w:szCs w:val="22"/>
          <w:lang w:val="ru-RU"/>
        </w:rPr>
        <w:t>Източник: ПНЖП, 2018</w:t>
      </w:r>
      <w:r>
        <w:rPr>
          <w:rFonts w:ascii="Calibri" w:hAnsi="Calibri"/>
          <w:i/>
          <w:noProof/>
          <w:sz w:val="20"/>
          <w:szCs w:val="22"/>
        </w:rPr>
        <w:t> </w:t>
      </w:r>
      <w:r>
        <w:rPr>
          <w:rFonts w:ascii="Calibri" w:hAnsi="Calibri"/>
          <w:i/>
          <w:noProof/>
          <w:sz w:val="20"/>
          <w:szCs w:val="22"/>
          <w:lang w:val="ru-RU"/>
        </w:rPr>
        <w:t>г. Един оператор с дял от 100</w:t>
      </w:r>
      <w:r>
        <w:rPr>
          <w:rFonts w:ascii="Calibri" w:hAnsi="Calibri"/>
          <w:i/>
          <w:noProof/>
          <w:sz w:val="20"/>
          <w:szCs w:val="22"/>
        </w:rPr>
        <w:t> </w:t>
      </w:r>
      <w:r>
        <w:rPr>
          <w:rFonts w:ascii="Calibri" w:hAnsi="Calibri"/>
          <w:i/>
          <w:noProof/>
          <w:sz w:val="20"/>
          <w:szCs w:val="22"/>
          <w:lang w:val="ru-RU"/>
        </w:rPr>
        <w:t>% в Гърция, Ирландия, Литва, Люксембург</w:t>
      </w:r>
    </w:p>
    <w:p w:rsidR="00C526EF" w:rsidRDefault="00F375DE">
      <w:pPr>
        <w:rPr>
          <w:noProof/>
          <w:lang w:val="ru-RU"/>
        </w:rPr>
      </w:pPr>
      <w:r>
        <w:rPr>
          <w:noProof/>
          <w:lang w:val="ru-RU"/>
        </w:rPr>
        <w:t xml:space="preserve">Въпреки че </w:t>
      </w:r>
      <w:r>
        <w:rPr>
          <w:b/>
          <w:noProof/>
          <w:lang w:val="ru-RU"/>
        </w:rPr>
        <w:t>международният пазар за превоз на пътници</w:t>
      </w:r>
      <w:r>
        <w:rPr>
          <w:noProof/>
          <w:lang w:val="ru-RU"/>
        </w:rPr>
        <w:t xml:space="preserve"> е </w:t>
      </w:r>
      <w:r>
        <w:rPr>
          <w:b/>
          <w:noProof/>
          <w:lang w:val="ru-RU"/>
        </w:rPr>
        <w:t xml:space="preserve">отворен за </w:t>
      </w:r>
      <w:r>
        <w:rPr>
          <w:b/>
          <w:noProof/>
          <w:lang w:val="ru-RU"/>
        </w:rPr>
        <w:t>конкуренция</w:t>
      </w:r>
      <w:r>
        <w:rPr>
          <w:noProof/>
          <w:lang w:val="ru-RU"/>
        </w:rPr>
        <w:t xml:space="preserve"> от 2010</w:t>
      </w:r>
      <w:r>
        <w:rPr>
          <w:noProof/>
        </w:rPr>
        <w:t> </w:t>
      </w:r>
      <w:r>
        <w:rPr>
          <w:noProof/>
          <w:lang w:val="ru-RU"/>
        </w:rPr>
        <w:t xml:space="preserve">г. насам, държавите членки ще продължат да регулират достъпа до своите </w:t>
      </w:r>
      <w:r>
        <w:rPr>
          <w:b/>
          <w:noProof/>
          <w:lang w:val="ru-RU"/>
        </w:rPr>
        <w:t>национални пазари за превоз на пътници</w:t>
      </w:r>
      <w:r>
        <w:rPr>
          <w:noProof/>
          <w:lang w:val="ru-RU"/>
        </w:rPr>
        <w:t xml:space="preserve"> до изпълнението на четвъртия железопътен пакет. Железопътните предприятия за превоз на пътници могат да предлагат своите услуг</w:t>
      </w:r>
      <w:r>
        <w:rPr>
          <w:noProof/>
          <w:lang w:val="ru-RU"/>
        </w:rPr>
        <w:t>и в рамките на схема за изпълнение на задължение за извършване на обществена услуга или изцяло при търговски условия (т.е. без обезщетение от обществения сектор). И при двата пазара услугите могат да се предлагат само от традиционен оператор с монополно по</w:t>
      </w:r>
      <w:r>
        <w:rPr>
          <w:noProof/>
          <w:lang w:val="ru-RU"/>
        </w:rPr>
        <w:t>ложение или могат да бъдат отворени за други конкуриращи се железопътни предприятия. Според докладваните данни само в половината от държавите членки са налице конкуренти, които осъществяват дейност на пазара на търговски услуги за превоз на пътници. Техния</w:t>
      </w:r>
      <w:r>
        <w:rPr>
          <w:noProof/>
          <w:lang w:val="ru-RU"/>
        </w:rPr>
        <w:t xml:space="preserve">т </w:t>
      </w:r>
      <w:r>
        <w:rPr>
          <w:b/>
          <w:noProof/>
          <w:lang w:val="ru-RU"/>
        </w:rPr>
        <w:t>пазарен</w:t>
      </w:r>
      <w:r>
        <w:rPr>
          <w:noProof/>
          <w:lang w:val="ru-RU"/>
        </w:rPr>
        <w:t xml:space="preserve"> </w:t>
      </w:r>
      <w:r>
        <w:rPr>
          <w:b/>
          <w:noProof/>
          <w:lang w:val="ru-RU"/>
        </w:rPr>
        <w:t>дял</w:t>
      </w:r>
      <w:r>
        <w:rPr>
          <w:noProof/>
          <w:lang w:val="ru-RU"/>
        </w:rPr>
        <w:t xml:space="preserve"> е като цяло по-висок от 10</w:t>
      </w:r>
      <w:r>
        <w:rPr>
          <w:noProof/>
        </w:rPr>
        <w:t> </w:t>
      </w:r>
      <w:r>
        <w:rPr>
          <w:noProof/>
          <w:lang w:val="ru-RU"/>
        </w:rPr>
        <w:t>%, а в четири държави членки почти всички търговски услуги се предлагат от новите участници. В сегмента, обхванат от задължение за извършване на обществена услуга, също присъстват алтернативни оператори; техният паз</w:t>
      </w:r>
      <w:r>
        <w:rPr>
          <w:noProof/>
          <w:lang w:val="ru-RU"/>
        </w:rPr>
        <w:t>арен дял обаче е над 10</w:t>
      </w:r>
      <w:r>
        <w:rPr>
          <w:noProof/>
        </w:rPr>
        <w:t> </w:t>
      </w:r>
      <w:r>
        <w:rPr>
          <w:noProof/>
          <w:lang w:val="ru-RU"/>
        </w:rPr>
        <w:t>% само в ограничен брой държави членки.</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18: Конкуренти на пазара на търговски услуги за превоз на пътници, пазарен дял,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rFonts w:asciiTheme="minorHAnsi" w:eastAsiaTheme="minorHAnsi" w:hAnsiTheme="minorHAnsi" w:cstheme="minorBidi"/>
          <w:iCs/>
          <w:noProof/>
          <w:color w:val="4F81BD" w:themeColor="accent1"/>
          <w:sz w:val="20"/>
          <w:szCs w:val="18"/>
        </w:rPr>
      </w:pPr>
      <w:r>
        <w:rPr>
          <w:rFonts w:eastAsiaTheme="minorHAnsi"/>
          <w:noProof/>
        </w:rPr>
        <w:drawing>
          <wp:inline distT="0" distB="0" distL="0" distR="0">
            <wp:extent cx="5472430" cy="2726690"/>
            <wp:effectExtent l="0" t="0" r="0"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72430" cy="2726690"/>
                    </a:xfrm>
                    <a:prstGeom prst="rect">
                      <a:avLst/>
                    </a:prstGeom>
                    <a:noFill/>
                    <a:ln>
                      <a:noFill/>
                    </a:ln>
                  </pic:spPr>
                </pic:pic>
              </a:graphicData>
            </a:graphic>
          </wp:inline>
        </w:drawing>
      </w:r>
    </w:p>
    <w:p w:rsidR="00C526EF" w:rsidRDefault="00F375DE">
      <w:pPr>
        <w:spacing w:before="100" w:after="200"/>
        <w:rPr>
          <w:rFonts w:ascii="Calibri" w:eastAsia="Calibri" w:hAnsi="Calibri"/>
          <w:i/>
          <w:noProof/>
          <w:sz w:val="20"/>
          <w:szCs w:val="22"/>
          <w:lang w:val="ru-RU"/>
        </w:rPr>
      </w:pPr>
      <w:r>
        <w:rPr>
          <w:rFonts w:ascii="Calibri" w:hAnsi="Calibri"/>
          <w:i/>
          <w:noProof/>
          <w:sz w:val="20"/>
          <w:szCs w:val="22"/>
          <w:lang w:val="ru-RU"/>
        </w:rPr>
        <w:t>Източник: ПНЖП, 2018</w:t>
      </w:r>
      <w:r>
        <w:rPr>
          <w:rFonts w:ascii="Calibri" w:hAnsi="Calibri"/>
          <w:i/>
          <w:noProof/>
          <w:sz w:val="20"/>
          <w:szCs w:val="22"/>
        </w:rPr>
        <w:t> </w:t>
      </w:r>
      <w:r>
        <w:rPr>
          <w:rFonts w:ascii="Calibri" w:hAnsi="Calibri"/>
          <w:i/>
          <w:noProof/>
          <w:sz w:val="20"/>
          <w:szCs w:val="22"/>
          <w:lang w:val="ru-RU"/>
        </w:rPr>
        <w:t xml:space="preserve">г. Няма данни за Белгия, Чешката република, Ирландия, Нидерландия и </w:t>
      </w:r>
      <w:r>
        <w:rPr>
          <w:rFonts w:ascii="Calibri" w:hAnsi="Calibri"/>
          <w:i/>
          <w:noProof/>
          <w:sz w:val="20"/>
          <w:szCs w:val="22"/>
          <w:lang w:val="ru-RU"/>
        </w:rPr>
        <w:t>Румъния.</w:t>
      </w:r>
    </w:p>
    <w:p w:rsidR="00C526EF" w:rsidRDefault="00C526EF">
      <w:pPr>
        <w:rPr>
          <w:noProof/>
          <w:lang w:val="ru-RU"/>
        </w:rPr>
      </w:pP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19: Конкуренти на пазара за превози на пътници, обхванати от ЗИОУ, пазарен дял,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pStyle w:val="NumPar2"/>
        <w:keepNext/>
        <w:numPr>
          <w:ilvl w:val="0"/>
          <w:numId w:val="0"/>
        </w:numPr>
        <w:jc w:val="center"/>
        <w:rPr>
          <w:b/>
          <w:noProof/>
        </w:rPr>
      </w:pPr>
      <w:r>
        <w:rPr>
          <w:noProof/>
        </w:rPr>
        <w:drawing>
          <wp:inline distT="0" distB="0" distL="0" distR="0">
            <wp:extent cx="5472430" cy="2834640"/>
            <wp:effectExtent l="0" t="0" r="0" b="381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2430" cy="2834640"/>
                    </a:xfrm>
                    <a:prstGeom prst="rect">
                      <a:avLst/>
                    </a:prstGeom>
                    <a:noFill/>
                    <a:ln>
                      <a:noFill/>
                    </a:ln>
                  </pic:spPr>
                </pic:pic>
              </a:graphicData>
            </a:graphic>
          </wp:inline>
        </w:drawing>
      </w:r>
    </w:p>
    <w:p w:rsidR="00C526EF" w:rsidRDefault="00F375DE">
      <w:pPr>
        <w:spacing w:before="100" w:after="200"/>
        <w:rPr>
          <w:b/>
          <w:noProof/>
          <w:lang w:val="ru-RU"/>
        </w:rPr>
      </w:pPr>
      <w:r>
        <w:rPr>
          <w:rFonts w:ascii="Calibri" w:hAnsi="Calibri"/>
          <w:i/>
          <w:noProof/>
          <w:sz w:val="20"/>
          <w:szCs w:val="22"/>
          <w:lang w:val="ru-RU"/>
        </w:rPr>
        <w:t>Източник: ПНЖП, 2018</w:t>
      </w:r>
      <w:r>
        <w:rPr>
          <w:rFonts w:ascii="Calibri" w:hAnsi="Calibri"/>
          <w:i/>
          <w:noProof/>
          <w:sz w:val="20"/>
          <w:szCs w:val="22"/>
        </w:rPr>
        <w:t> </w:t>
      </w:r>
      <w:r>
        <w:rPr>
          <w:rFonts w:ascii="Calibri" w:hAnsi="Calibri"/>
          <w:i/>
          <w:noProof/>
          <w:sz w:val="20"/>
          <w:szCs w:val="22"/>
          <w:lang w:val="ru-RU"/>
        </w:rPr>
        <w:t>г. Всички други държави членки са докладвали един единствен оператор.</w:t>
      </w:r>
    </w:p>
    <w:p w:rsidR="00C526EF" w:rsidRDefault="00F375DE">
      <w:pPr>
        <w:pStyle w:val="NumPar2"/>
        <w:keepNext/>
        <w:rPr>
          <w:b/>
          <w:noProof/>
        </w:rPr>
      </w:pPr>
      <w:r>
        <w:rPr>
          <w:b/>
          <w:noProof/>
        </w:rPr>
        <w:t>Заетост и социални условия</w:t>
      </w:r>
    </w:p>
    <w:p w:rsidR="00C526EF" w:rsidRDefault="00F375DE">
      <w:pPr>
        <w:rPr>
          <w:noProof/>
          <w:lang w:val="ru-RU"/>
        </w:rPr>
      </w:pPr>
      <w:r>
        <w:rPr>
          <w:noProof/>
          <w:lang w:val="ru-RU"/>
        </w:rPr>
        <w:t>Съгласно данните от СНЖП, отчет</w:t>
      </w:r>
      <w:r>
        <w:rPr>
          <w:noProof/>
          <w:lang w:val="ru-RU"/>
        </w:rPr>
        <w:t>ени от държавите членки и Норвегия, в края на 2016</w:t>
      </w:r>
      <w:r>
        <w:rPr>
          <w:noProof/>
        </w:rPr>
        <w:t> </w:t>
      </w:r>
      <w:r>
        <w:rPr>
          <w:noProof/>
          <w:lang w:val="ru-RU"/>
        </w:rPr>
        <w:t>г. в европейския железопътен сектор са били заети малко над 1</w:t>
      </w:r>
      <w:r>
        <w:rPr>
          <w:noProof/>
        </w:rPr>
        <w:t> </w:t>
      </w:r>
      <w:r>
        <w:rPr>
          <w:noProof/>
          <w:lang w:val="ru-RU"/>
        </w:rPr>
        <w:t>милион души, като железопътните предприятия са осигурили заетост на около 600</w:t>
      </w:r>
      <w:r>
        <w:rPr>
          <w:noProof/>
        </w:rPr>
        <w:t> </w:t>
      </w:r>
      <w:r>
        <w:rPr>
          <w:noProof/>
          <w:lang w:val="ru-RU"/>
        </w:rPr>
        <w:t>000 от тях, а управителите на инфраструктура на 440</w:t>
      </w:r>
      <w:r>
        <w:rPr>
          <w:noProof/>
        </w:rPr>
        <w:t> </w:t>
      </w:r>
      <w:r>
        <w:rPr>
          <w:noProof/>
          <w:lang w:val="ru-RU"/>
        </w:rPr>
        <w:t>000 от тях.</w:t>
      </w:r>
    </w:p>
    <w:p w:rsidR="00C526EF" w:rsidRDefault="00F375DE">
      <w:pPr>
        <w:rPr>
          <w:noProof/>
          <w:lang w:val="ru-RU"/>
        </w:rPr>
      </w:pPr>
      <w:r>
        <w:rPr>
          <w:noProof/>
          <w:lang w:val="ru-RU"/>
        </w:rPr>
        <w:t>Работната сила е съставена предимно от мъже; средно жените са едва 21</w:t>
      </w:r>
      <w:r>
        <w:rPr>
          <w:noProof/>
        </w:rPr>
        <w:t> </w:t>
      </w:r>
      <w:r>
        <w:rPr>
          <w:noProof/>
          <w:lang w:val="ru-RU"/>
        </w:rPr>
        <w:t>%. Делът на служителите жени варира между 50</w:t>
      </w:r>
      <w:r>
        <w:rPr>
          <w:noProof/>
        </w:rPr>
        <w:t> </w:t>
      </w:r>
      <w:r>
        <w:rPr>
          <w:noProof/>
          <w:lang w:val="ru-RU"/>
        </w:rPr>
        <w:t>% в Естония и 8</w:t>
      </w:r>
      <w:r>
        <w:rPr>
          <w:noProof/>
        </w:rPr>
        <w:t> </w:t>
      </w:r>
      <w:r>
        <w:rPr>
          <w:noProof/>
          <w:lang w:val="ru-RU"/>
        </w:rPr>
        <w:t>% в Австрия.</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20: Служители по пол и държави,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2731135"/>
            <wp:effectExtent l="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72430" cy="2731135"/>
                    </a:xfrm>
                    <a:prstGeom prst="rect">
                      <a:avLst/>
                    </a:prstGeom>
                    <a:noFill/>
                    <a:ln>
                      <a:noFill/>
                    </a:ln>
                  </pic:spPr>
                </pic:pic>
              </a:graphicData>
            </a:graphic>
          </wp:inline>
        </w:drawing>
      </w:r>
    </w:p>
    <w:p w:rsidR="00C526EF" w:rsidRDefault="00F375DE">
      <w:pPr>
        <w:spacing w:before="100" w:after="200"/>
        <w:rPr>
          <w:rFonts w:ascii="Calibri" w:eastAsia="Calibri" w:hAnsi="Calibri"/>
          <w:i/>
          <w:noProof/>
          <w:sz w:val="20"/>
          <w:szCs w:val="22"/>
          <w:lang w:val="ru-RU"/>
        </w:rPr>
      </w:pPr>
      <w:r>
        <w:rPr>
          <w:rFonts w:ascii="Calibri" w:hAnsi="Calibri"/>
          <w:i/>
          <w:noProof/>
          <w:sz w:val="20"/>
          <w:szCs w:val="22"/>
          <w:lang w:val="ru-RU"/>
        </w:rPr>
        <w:t>Източник: ПНЖП, 2018</w:t>
      </w:r>
      <w:r>
        <w:rPr>
          <w:rFonts w:ascii="Calibri" w:hAnsi="Calibri"/>
          <w:i/>
          <w:noProof/>
          <w:sz w:val="20"/>
          <w:szCs w:val="22"/>
        </w:rPr>
        <w:t> </w:t>
      </w:r>
      <w:r>
        <w:rPr>
          <w:rFonts w:ascii="Calibri" w:hAnsi="Calibri"/>
          <w:i/>
          <w:noProof/>
          <w:sz w:val="20"/>
          <w:szCs w:val="22"/>
          <w:lang w:val="ru-RU"/>
        </w:rPr>
        <w:t>г. Няма данни за Люксембург.</w:t>
      </w:r>
    </w:p>
    <w:p w:rsidR="00C526EF" w:rsidRDefault="00F375DE">
      <w:pPr>
        <w:rPr>
          <w:noProof/>
          <w:lang w:val="ru-RU"/>
        </w:rPr>
      </w:pPr>
      <w:r>
        <w:rPr>
          <w:noProof/>
          <w:lang w:val="ru-RU"/>
        </w:rPr>
        <w:t>Застаряването</w:t>
      </w:r>
      <w:r>
        <w:rPr>
          <w:noProof/>
          <w:lang w:val="ru-RU"/>
        </w:rPr>
        <w:t xml:space="preserve"> на работната сила продължава да буди загриженост, особено за Гърция, Испания и Италия, където през 2016</w:t>
      </w:r>
      <w:r>
        <w:rPr>
          <w:noProof/>
        </w:rPr>
        <w:t> </w:t>
      </w:r>
      <w:r>
        <w:rPr>
          <w:noProof/>
          <w:lang w:val="ru-RU"/>
        </w:rPr>
        <w:t>г. над 50</w:t>
      </w:r>
      <w:r>
        <w:rPr>
          <w:noProof/>
        </w:rPr>
        <w:t> </w:t>
      </w:r>
      <w:r>
        <w:rPr>
          <w:noProof/>
          <w:lang w:val="ru-RU"/>
        </w:rPr>
        <w:t>% от работната сила е била съставена от служители на възраст над 50 години.</w:t>
      </w:r>
    </w:p>
    <w:p w:rsidR="00C526EF" w:rsidRDefault="00F375DE">
      <w:pPr>
        <w:keepNext/>
        <w:rPr>
          <w:noProof/>
          <w:lang w:val="ru-RU"/>
        </w:rPr>
      </w:pPr>
      <w:r>
        <w:rPr>
          <w:rFonts w:asciiTheme="minorHAnsi" w:hAnsiTheme="minorHAnsi"/>
          <w:iCs/>
          <w:noProof/>
          <w:color w:val="4F81BD" w:themeColor="accent1"/>
          <w:sz w:val="20"/>
          <w:szCs w:val="18"/>
          <w:lang w:val="ru-RU"/>
        </w:rPr>
        <w:t>Фигура</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21: Служители по възрастова група и държави, 2016</w:t>
      </w:r>
      <w:r>
        <w:rPr>
          <w:rFonts w:asciiTheme="minorHAnsi" w:hAnsiTheme="minorHAnsi"/>
          <w:iCs/>
          <w:noProof/>
          <w:color w:val="4F81BD" w:themeColor="accent1"/>
          <w:sz w:val="20"/>
          <w:szCs w:val="18"/>
        </w:rPr>
        <w:t> </w:t>
      </w:r>
      <w:r>
        <w:rPr>
          <w:rFonts w:asciiTheme="minorHAnsi" w:hAnsiTheme="minorHAnsi"/>
          <w:iCs/>
          <w:noProof/>
          <w:color w:val="4F81BD" w:themeColor="accent1"/>
          <w:sz w:val="20"/>
          <w:szCs w:val="18"/>
          <w:lang w:val="ru-RU"/>
        </w:rPr>
        <w:t>г.</w:t>
      </w:r>
    </w:p>
    <w:p w:rsidR="00C526EF" w:rsidRDefault="00F375DE">
      <w:pPr>
        <w:keepNext/>
        <w:jc w:val="center"/>
        <w:rPr>
          <w:noProof/>
        </w:rPr>
      </w:pPr>
      <w:r>
        <w:rPr>
          <w:noProof/>
        </w:rPr>
        <w:drawing>
          <wp:inline distT="0" distB="0" distL="0" distR="0">
            <wp:extent cx="5472430" cy="3060700"/>
            <wp:effectExtent l="0" t="0" r="0" b="635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72430" cy="3060700"/>
                    </a:xfrm>
                    <a:prstGeom prst="rect">
                      <a:avLst/>
                    </a:prstGeom>
                    <a:noFill/>
                    <a:ln>
                      <a:noFill/>
                    </a:ln>
                  </pic:spPr>
                </pic:pic>
              </a:graphicData>
            </a:graphic>
          </wp:inline>
        </w:drawing>
      </w:r>
    </w:p>
    <w:p w:rsidR="00C526EF" w:rsidRDefault="00F375DE">
      <w:pPr>
        <w:spacing w:before="100" w:after="200"/>
        <w:rPr>
          <w:rFonts w:ascii="Calibri" w:eastAsia="Calibri" w:hAnsi="Calibri"/>
          <w:i/>
          <w:noProof/>
          <w:sz w:val="20"/>
          <w:szCs w:val="22"/>
          <w:lang w:val="ru-RU"/>
        </w:rPr>
      </w:pPr>
      <w:r>
        <w:rPr>
          <w:rFonts w:ascii="Calibri" w:hAnsi="Calibri"/>
          <w:i/>
          <w:noProof/>
          <w:sz w:val="20"/>
          <w:szCs w:val="22"/>
          <w:lang w:val="ru-RU"/>
        </w:rPr>
        <w:t>Изт</w:t>
      </w:r>
      <w:r>
        <w:rPr>
          <w:rFonts w:ascii="Calibri" w:hAnsi="Calibri"/>
          <w:i/>
          <w:noProof/>
          <w:sz w:val="20"/>
          <w:szCs w:val="22"/>
          <w:lang w:val="ru-RU"/>
        </w:rPr>
        <w:t>очник: ПНЖП, 2018</w:t>
      </w:r>
      <w:r>
        <w:rPr>
          <w:rFonts w:ascii="Calibri" w:hAnsi="Calibri"/>
          <w:i/>
          <w:noProof/>
          <w:sz w:val="20"/>
          <w:szCs w:val="22"/>
        </w:rPr>
        <w:t> </w:t>
      </w:r>
      <w:r>
        <w:rPr>
          <w:rFonts w:ascii="Calibri" w:hAnsi="Calibri"/>
          <w:i/>
          <w:noProof/>
          <w:sz w:val="20"/>
          <w:szCs w:val="22"/>
          <w:lang w:val="ru-RU"/>
        </w:rPr>
        <w:t>г. Няма данни за Люксембург.</w:t>
      </w:r>
    </w:p>
    <w:p w:rsidR="00C526EF" w:rsidRDefault="00F375DE">
      <w:pPr>
        <w:rPr>
          <w:noProof/>
          <w:lang w:val="ru-RU"/>
        </w:rPr>
      </w:pPr>
      <w:r>
        <w:rPr>
          <w:noProof/>
          <w:lang w:val="ru-RU"/>
        </w:rPr>
        <w:t>Данните показват, че 90</w:t>
      </w:r>
      <w:r>
        <w:rPr>
          <w:noProof/>
        </w:rPr>
        <w:t> </w:t>
      </w:r>
      <w:r>
        <w:rPr>
          <w:noProof/>
          <w:lang w:val="ru-RU"/>
        </w:rPr>
        <w:t>% от служителите или повече имат постоянни договори, което е отражение както на необходимостта от задържане на високо квалифицирания персонал, като машинисти и сигналисти, така и на тра</w:t>
      </w:r>
      <w:r>
        <w:rPr>
          <w:noProof/>
          <w:lang w:val="ru-RU"/>
        </w:rPr>
        <w:t>диционните политики за заетост. 80</w:t>
      </w:r>
      <w:r>
        <w:rPr>
          <w:noProof/>
        </w:rPr>
        <w:t> </w:t>
      </w:r>
      <w:r>
        <w:rPr>
          <w:noProof/>
          <w:lang w:val="ru-RU"/>
        </w:rPr>
        <w:t>% от персонала или повече са заети на пълен работен ден.</w:t>
      </w:r>
    </w:p>
    <w:p w:rsidR="00C526EF" w:rsidRDefault="00F375DE">
      <w:pPr>
        <w:rPr>
          <w:noProof/>
          <w:lang w:val="ru-RU"/>
        </w:rPr>
      </w:pPr>
      <w:r>
        <w:rPr>
          <w:noProof/>
          <w:lang w:val="ru-RU"/>
        </w:rPr>
        <w:t xml:space="preserve">Само няколко държави членки са докладвали, че използват програми за чиракуване и стажове, които са по-често прилагани в Австрия за железопътните предприятия и в </w:t>
      </w:r>
      <w:r>
        <w:rPr>
          <w:noProof/>
          <w:lang w:val="ru-RU"/>
        </w:rPr>
        <w:t>Германия за управителите на инфраструктура.</w:t>
      </w:r>
    </w:p>
    <w:p w:rsidR="00C526EF" w:rsidRDefault="00F375DE">
      <w:pPr>
        <w:pStyle w:val="NumPar1"/>
        <w:keepNext/>
        <w:rPr>
          <w:b/>
          <w:noProof/>
        </w:rPr>
      </w:pPr>
      <w:r>
        <w:rPr>
          <w:b/>
          <w:noProof/>
        </w:rPr>
        <w:t>Заключения</w:t>
      </w:r>
    </w:p>
    <w:p w:rsidR="00C526EF" w:rsidRDefault="00F375DE">
      <w:pPr>
        <w:rPr>
          <w:noProof/>
          <w:lang w:val="ru-RU"/>
        </w:rPr>
      </w:pPr>
      <w:r>
        <w:rPr>
          <w:noProof/>
          <w:lang w:val="ru-RU"/>
        </w:rPr>
        <w:t>Настоящият раздел съдържа заключения, изведени въз основа на анализа, извършен в настоящия доклад и в придружаващия работен документ на службите на Комисията, а така също и преглед на целесъобразността</w:t>
      </w:r>
      <w:r>
        <w:rPr>
          <w:noProof/>
          <w:lang w:val="ru-RU"/>
        </w:rPr>
        <w:t xml:space="preserve"> на текущите инициативи на Комисията и необходимостта от законодателство в железопътния сектор.</w:t>
      </w:r>
    </w:p>
    <w:p w:rsidR="00C526EF" w:rsidRDefault="00F375DE">
      <w:pPr>
        <w:rPr>
          <w:noProof/>
          <w:lang w:val="ru-RU"/>
        </w:rPr>
      </w:pPr>
      <w:r>
        <w:rPr>
          <w:noProof/>
          <w:lang w:val="ru-RU"/>
        </w:rPr>
        <w:t>Железниците на ЕС продължават да бележат ръст, като пътникопотокът се е увеличил значително по-специално през периода 2011—2016</w:t>
      </w:r>
      <w:r>
        <w:rPr>
          <w:noProof/>
        </w:rPr>
        <w:t> </w:t>
      </w:r>
      <w:r>
        <w:rPr>
          <w:noProof/>
          <w:lang w:val="ru-RU"/>
        </w:rPr>
        <w:t>г. Товаропотокът обаче остава не</w:t>
      </w:r>
      <w:r>
        <w:rPr>
          <w:noProof/>
          <w:lang w:val="ru-RU"/>
        </w:rPr>
        <w:t>стабилен и това е довело до загуба на дял на този вид транспорт в сравнение с автомобилния през 2016</w:t>
      </w:r>
      <w:r>
        <w:rPr>
          <w:noProof/>
        </w:rPr>
        <w:t> </w:t>
      </w:r>
      <w:r>
        <w:rPr>
          <w:noProof/>
          <w:lang w:val="ru-RU"/>
        </w:rPr>
        <w:t>г. Същевременно е налице постепенно отваряне на железопътните пазари, а нивата на безопасност се запазват високи. Секторът става постепенно все по-ефективе</w:t>
      </w:r>
      <w:r>
        <w:rPr>
          <w:noProof/>
          <w:lang w:val="ru-RU"/>
        </w:rPr>
        <w:t>н и иновативен и отговаря по-добре на нуждите на клиентите.</w:t>
      </w:r>
    </w:p>
    <w:p w:rsidR="00C526EF" w:rsidRDefault="00F375DE">
      <w:pPr>
        <w:rPr>
          <w:noProof/>
          <w:lang w:val="ru-RU"/>
        </w:rPr>
      </w:pPr>
      <w:r>
        <w:rPr>
          <w:noProof/>
          <w:lang w:val="ru-RU"/>
        </w:rPr>
        <w:t>Железопътният транспорт има важен принос за транспортния микс на ЕС, като осигурява екологично чиста мобилност и високо ниво на ефикасност. Въпреки че удовлетвореността на европейците от железопът</w:t>
      </w:r>
      <w:r>
        <w:rPr>
          <w:noProof/>
          <w:lang w:val="ru-RU"/>
        </w:rPr>
        <w:t>ните услуги за превоз на пътници се е повишила в сравнение с периода преди 5 години, все още има възможности за подобрение по отношение на правата на пътниците. Все още продължават преговорите със законодателите относно предложението на Комисията от 2017</w:t>
      </w:r>
      <w:r>
        <w:rPr>
          <w:noProof/>
        </w:rPr>
        <w:t> </w:t>
      </w:r>
      <w:r>
        <w:rPr>
          <w:noProof/>
          <w:lang w:val="ru-RU"/>
        </w:rPr>
        <w:t>г</w:t>
      </w:r>
      <w:r>
        <w:rPr>
          <w:noProof/>
          <w:lang w:val="ru-RU"/>
        </w:rPr>
        <w:t>. за преразглеждане на Регламент</w:t>
      </w:r>
      <w:r>
        <w:rPr>
          <w:noProof/>
        </w:rPr>
        <w:t> </w:t>
      </w:r>
      <w:r>
        <w:rPr>
          <w:noProof/>
          <w:lang w:val="ru-RU"/>
        </w:rPr>
        <w:t>(ЕО) 1371/2007</w:t>
      </w:r>
      <w:r>
        <w:rPr>
          <w:rStyle w:val="FootnoteReference"/>
          <w:noProof/>
        </w:rPr>
        <w:footnoteReference w:id="22"/>
      </w:r>
      <w:r>
        <w:rPr>
          <w:noProof/>
          <w:lang w:val="ru-RU"/>
        </w:rPr>
        <w:t xml:space="preserve"> относно правата и задълженията на пътниците, използващи железопътен транспорт.</w:t>
      </w:r>
    </w:p>
    <w:p w:rsidR="00C526EF" w:rsidRDefault="00F375DE">
      <w:pPr>
        <w:rPr>
          <w:noProof/>
          <w:lang w:val="ru-RU"/>
        </w:rPr>
      </w:pPr>
      <w:r>
        <w:rPr>
          <w:noProof/>
          <w:lang w:val="ru-RU"/>
        </w:rPr>
        <w:t>Тези тенденции на развитие са се проявили на фона на значителна промяна в рамките на сектора, обусловена от структурните промени</w:t>
      </w:r>
      <w:r>
        <w:rPr>
          <w:noProof/>
          <w:lang w:val="ru-RU"/>
        </w:rPr>
        <w:t>, които започнаха да се осъществяват преди повече от 20 години в резултат на законодателството на ЕС и които приключиха с приемането на четвъртия железопътен пакет през 2016</w:t>
      </w:r>
      <w:r>
        <w:rPr>
          <w:noProof/>
        </w:rPr>
        <w:t> </w:t>
      </w:r>
      <w:r>
        <w:rPr>
          <w:noProof/>
          <w:lang w:val="ru-RU"/>
        </w:rPr>
        <w:t>г. Прилагането на техническия стълб от пакета от юни</w:t>
      </w:r>
      <w:r>
        <w:rPr>
          <w:noProof/>
        </w:rPr>
        <w:t> </w:t>
      </w:r>
      <w:r>
        <w:rPr>
          <w:noProof/>
          <w:lang w:val="ru-RU"/>
        </w:rPr>
        <w:t>2019</w:t>
      </w:r>
      <w:r>
        <w:rPr>
          <w:noProof/>
        </w:rPr>
        <w:t> </w:t>
      </w:r>
      <w:r>
        <w:rPr>
          <w:noProof/>
          <w:lang w:val="ru-RU"/>
        </w:rPr>
        <w:t>г. нататък ще подобри ощ</w:t>
      </w:r>
      <w:r>
        <w:rPr>
          <w:noProof/>
          <w:lang w:val="ru-RU"/>
        </w:rPr>
        <w:t>е повече оперативната съвместимост между националните железопътни мрежи. Също така, ще се намали бюрокрацията, свързана с дейности извън пределите на една единствена държава членка, и ще се засили ролята на Агенция за железопътен транспорт на Европейския с</w:t>
      </w:r>
      <w:r>
        <w:rPr>
          <w:noProof/>
          <w:lang w:val="ru-RU"/>
        </w:rPr>
        <w:t>ъюз. Благодарение на пазарния стълб през декември 2019</w:t>
      </w:r>
      <w:r>
        <w:rPr>
          <w:noProof/>
        </w:rPr>
        <w:t> </w:t>
      </w:r>
      <w:r>
        <w:rPr>
          <w:noProof/>
          <w:lang w:val="ru-RU"/>
        </w:rPr>
        <w:t>г. ще завърши процесът на отваряне на националните пазари, а принципът на провеждане на конкурсни тръжни процедури ще се наложи като правило за обществените поръчки за услуги в ЕС най-късно до декември</w:t>
      </w:r>
      <w:r>
        <w:rPr>
          <w:noProof/>
          <w:lang w:val="ru-RU"/>
        </w:rPr>
        <w:t xml:space="preserve"> 2023</w:t>
      </w:r>
      <w:r>
        <w:rPr>
          <w:noProof/>
        </w:rPr>
        <w:t> </w:t>
      </w:r>
      <w:r>
        <w:rPr>
          <w:noProof/>
          <w:lang w:val="ru-RU"/>
        </w:rPr>
        <w:t xml:space="preserve">г., като пряко възлагане ще бъде разрешено само в изключителни случаи. </w:t>
      </w:r>
    </w:p>
    <w:p w:rsidR="00C526EF" w:rsidRDefault="00F375DE">
      <w:pPr>
        <w:rPr>
          <w:noProof/>
          <w:lang w:val="ru-RU"/>
        </w:rPr>
      </w:pPr>
      <w:r>
        <w:rPr>
          <w:noProof/>
          <w:lang w:val="ru-RU"/>
        </w:rPr>
        <w:t>Комисията е продължила работата си по изпълнението на мерки, необходими за ефективното функциониране на пазара. Сега тя насочва вниманието си към правоприлагането, за да гарантир</w:t>
      </w:r>
      <w:r>
        <w:rPr>
          <w:noProof/>
          <w:lang w:val="ru-RU"/>
        </w:rPr>
        <w:t>а, че двата стълба на пакета се транспонират и прилагат правилно, както и че се приемат и спазват актове за изпълнение.</w:t>
      </w:r>
    </w:p>
    <w:p w:rsidR="00C526EF" w:rsidRDefault="00F375DE">
      <w:pPr>
        <w:rPr>
          <w:noProof/>
          <w:lang w:val="ru-RU"/>
        </w:rPr>
      </w:pPr>
      <w:r>
        <w:rPr>
          <w:noProof/>
          <w:lang w:val="ru-RU"/>
        </w:rPr>
        <w:t>По отношение на трудностите пред увеличаването на дела на железопътните товарни превози, поради своя международен характер тези услуги с</w:t>
      </w:r>
      <w:r>
        <w:rPr>
          <w:noProof/>
          <w:lang w:val="ru-RU"/>
        </w:rPr>
        <w:t>а чувствителни на пречки пред оперативната съвместимост и проблеми, свързани с трансграничната координация. Комисията изпълнява програма от допълващи инициативи и мерки, за да се справи със ситуацията. Наскоро беше подсилена дългогодишната политика на Коми</w:t>
      </w:r>
      <w:r>
        <w:rPr>
          <w:noProof/>
          <w:lang w:val="ru-RU"/>
        </w:rPr>
        <w:t>сията за постигане на оперативна съвместимост (включително ефикасно и координирано внедряване на европейската система за управление на железопътното движение), като беше поставен акцент върху разрешаването на практически проблеми, свързани с трансграничнат</w:t>
      </w:r>
      <w:r>
        <w:rPr>
          <w:noProof/>
          <w:lang w:val="ru-RU"/>
        </w:rPr>
        <w:t>а експлоатация.</w:t>
      </w:r>
    </w:p>
    <w:p w:rsidR="00C526EF" w:rsidRDefault="00F375DE">
      <w:pPr>
        <w:rPr>
          <w:noProof/>
          <w:szCs w:val="24"/>
          <w:lang w:val="ru-RU"/>
        </w:rPr>
      </w:pPr>
      <w:r>
        <w:rPr>
          <w:noProof/>
          <w:lang w:val="ru-RU"/>
        </w:rPr>
        <w:t>Политиката на Комисията за развитие на инфраструктурата, изразена под формата на политиката за трансевропейската транспортна мрежа (</w:t>
      </w:r>
      <w:r>
        <w:rPr>
          <w:noProof/>
        </w:rPr>
        <w:t>TEN</w:t>
      </w:r>
      <w:r>
        <w:rPr>
          <w:noProof/>
          <w:lang w:val="ru-RU"/>
        </w:rPr>
        <w:t>-</w:t>
      </w:r>
      <w:r>
        <w:rPr>
          <w:noProof/>
        </w:rPr>
        <w:t>T</w:t>
      </w:r>
      <w:r>
        <w:rPr>
          <w:noProof/>
          <w:lang w:val="ru-RU"/>
        </w:rPr>
        <w:t>), има за цел подобряване на инфраструктурата чрез намиране на решение на участъците с недостатъчна про</w:t>
      </w:r>
      <w:r>
        <w:rPr>
          <w:noProof/>
          <w:lang w:val="ru-RU"/>
        </w:rPr>
        <w:t>пускателна способност и липсващите връзки. За следващия финансов период Комисията е предложила да използва финансова подкрепа по линия на Механизма за свързване на Европа 2, К</w:t>
      </w:r>
      <w:r>
        <w:rPr>
          <w:noProof/>
        </w:rPr>
        <w:t>o</w:t>
      </w:r>
      <w:r>
        <w:rPr>
          <w:noProof/>
          <w:lang w:val="ru-RU"/>
        </w:rPr>
        <w:t xml:space="preserve">хезионния фонд, Европейския фонд за регионално развитие и </w:t>
      </w:r>
      <w:r>
        <w:rPr>
          <w:noProof/>
        </w:rPr>
        <w:t>InvestEU</w:t>
      </w:r>
      <w:r>
        <w:rPr>
          <w:noProof/>
          <w:lang w:val="ru-RU"/>
        </w:rPr>
        <w:t>, за да се уск</w:t>
      </w:r>
      <w:r>
        <w:rPr>
          <w:noProof/>
          <w:lang w:val="ru-RU"/>
        </w:rPr>
        <w:t>ори цифровизацията на железниците. С оглед подпомагане на достъпа до финансиране за железопътния сектор, Комисията разработва методология за оценяване на компонентите за екологизиране в железопътните проекти в рамките на своя план за действие за финансиран</w:t>
      </w:r>
      <w:r>
        <w:rPr>
          <w:noProof/>
          <w:lang w:val="ru-RU"/>
        </w:rPr>
        <w:t>е за устойчив растеж</w:t>
      </w:r>
      <w:r>
        <w:rPr>
          <w:rStyle w:val="FootnoteReference"/>
          <w:noProof/>
        </w:rPr>
        <w:footnoteReference w:id="23"/>
      </w:r>
      <w:r>
        <w:rPr>
          <w:noProof/>
          <w:lang w:val="ru-RU"/>
        </w:rPr>
        <w:t>.</w:t>
      </w:r>
    </w:p>
    <w:p w:rsidR="00C526EF" w:rsidRDefault="00F375DE">
      <w:pPr>
        <w:rPr>
          <w:noProof/>
          <w:lang w:val="ru-RU"/>
        </w:rPr>
      </w:pPr>
      <w:r>
        <w:rPr>
          <w:noProof/>
          <w:lang w:val="ru-RU"/>
        </w:rPr>
        <w:t>Коридорите за железопътни товарни превози продължават да бъдат основна част от политиката на Комисията за стимулиране на железопътните товарни превози. Продължава оценката на Регламента за железопътните товарни превози</w:t>
      </w:r>
      <w:r>
        <w:rPr>
          <w:rStyle w:val="FootnoteReference"/>
          <w:noProof/>
        </w:rPr>
        <w:footnoteReference w:id="24"/>
      </w:r>
      <w:r>
        <w:rPr>
          <w:noProof/>
          <w:lang w:val="ru-RU"/>
        </w:rPr>
        <w:t xml:space="preserve"> и Директивата</w:t>
      </w:r>
      <w:r>
        <w:rPr>
          <w:noProof/>
          <w:lang w:val="ru-RU"/>
        </w:rPr>
        <w:t xml:space="preserve"> за машинистите, управляващи влакове</w:t>
      </w:r>
      <w:r>
        <w:rPr>
          <w:rStyle w:val="FootnoteReference"/>
          <w:noProof/>
        </w:rPr>
        <w:footnoteReference w:id="25"/>
      </w:r>
      <w:r>
        <w:rPr>
          <w:noProof/>
          <w:lang w:val="ru-RU"/>
        </w:rPr>
        <w:t>. С цел укрепване на железопътните товарни превози през ноември</w:t>
      </w:r>
      <w:r>
        <w:rPr>
          <w:noProof/>
        </w:rPr>
        <w:t> </w:t>
      </w:r>
      <w:r>
        <w:rPr>
          <w:noProof/>
          <w:lang w:val="ru-RU"/>
        </w:rPr>
        <w:t>2017</w:t>
      </w:r>
      <w:r>
        <w:rPr>
          <w:noProof/>
        </w:rPr>
        <w:t> </w:t>
      </w:r>
      <w:r>
        <w:rPr>
          <w:noProof/>
          <w:lang w:val="ru-RU"/>
        </w:rPr>
        <w:t>г. Комисията предложи да измени Директива 92/106/</w:t>
      </w:r>
      <w:r>
        <w:rPr>
          <w:noProof/>
        </w:rPr>
        <w:t>E</w:t>
      </w:r>
      <w:r>
        <w:rPr>
          <w:noProof/>
          <w:lang w:val="ru-RU"/>
        </w:rPr>
        <w:t>О относно комбинирания транспорт</w:t>
      </w:r>
      <w:r>
        <w:rPr>
          <w:rStyle w:val="FootnoteReference"/>
          <w:noProof/>
        </w:rPr>
        <w:footnoteReference w:id="26"/>
      </w:r>
      <w:r>
        <w:rPr>
          <w:noProof/>
          <w:lang w:val="ru-RU"/>
        </w:rPr>
        <w:t xml:space="preserve"> като част от своя втори пакет за мобилност, за да осигури нови и п</w:t>
      </w:r>
      <w:r>
        <w:rPr>
          <w:noProof/>
          <w:lang w:val="ru-RU"/>
        </w:rPr>
        <w:t>о-ефективни мерки за подкрепа за пренасочване на товарите от автомобилния към железопътния транспорт.</w:t>
      </w:r>
    </w:p>
    <w:p w:rsidR="00C526EF" w:rsidRDefault="00F375DE">
      <w:pPr>
        <w:rPr>
          <w:noProof/>
          <w:lang w:val="ru-RU"/>
        </w:rPr>
      </w:pPr>
      <w:r>
        <w:rPr>
          <w:noProof/>
          <w:lang w:val="ru-RU"/>
        </w:rPr>
        <w:t>Тези ключови политики се съпътстват от усилия за разрешаване на проблема, свързан с шума от железопътния транспорт, за по-добро интегриране на железопътни</w:t>
      </w:r>
      <w:r>
        <w:rPr>
          <w:noProof/>
          <w:lang w:val="ru-RU"/>
        </w:rPr>
        <w:t xml:space="preserve">я транспорт в системата за мултимодални превози чрез внедряване на цифрови технологии и за насърчаване на иновациите, и по-специално чрез дейностите на съвместното предприятие </w:t>
      </w:r>
      <w:r>
        <w:rPr>
          <w:noProof/>
        </w:rPr>
        <w:t>Shift</w:t>
      </w:r>
      <w:r>
        <w:rPr>
          <w:noProof/>
          <w:lang w:val="ru-RU"/>
        </w:rPr>
        <w:t>2</w:t>
      </w:r>
      <w:r>
        <w:rPr>
          <w:noProof/>
        </w:rPr>
        <w:t>Rail</w:t>
      </w:r>
      <w:r>
        <w:rPr>
          <w:rStyle w:val="FootnoteReference"/>
          <w:noProof/>
        </w:rPr>
        <w:footnoteReference w:id="27"/>
      </w:r>
      <w:r>
        <w:rPr>
          <w:noProof/>
          <w:lang w:val="ru-RU"/>
        </w:rPr>
        <w:t>.</w:t>
      </w:r>
    </w:p>
    <w:p w:rsidR="00C526EF" w:rsidRDefault="00F375DE">
      <w:pPr>
        <w:rPr>
          <w:noProof/>
          <w:lang w:val="ru-RU"/>
        </w:rPr>
      </w:pPr>
      <w:r>
        <w:rPr>
          <w:noProof/>
          <w:lang w:val="ru-RU"/>
        </w:rPr>
        <w:t>Освен това железопътният транспорт не може да се разглежда изолиран</w:t>
      </w:r>
      <w:r>
        <w:rPr>
          <w:noProof/>
          <w:lang w:val="ru-RU"/>
        </w:rPr>
        <w:t>о от другите видове транспорт: неговата конкурентоспособност зависи също така от рамката за интермодална конкуренция. Поради това Комисията се стреми към постигане на еднакви условия за интермодална конкуренция, например чрез пакета за мобилност, включител</w:t>
      </w:r>
      <w:r>
        <w:rPr>
          <w:noProof/>
          <w:lang w:val="ru-RU"/>
        </w:rPr>
        <w:t>но изменението на Директивата за евровинетката</w:t>
      </w:r>
      <w:r>
        <w:rPr>
          <w:rStyle w:val="FootnoteReference"/>
          <w:noProof/>
        </w:rPr>
        <w:footnoteReference w:id="28"/>
      </w:r>
      <w:r>
        <w:rPr>
          <w:noProof/>
          <w:lang w:val="ru-RU"/>
        </w:rPr>
        <w:t>. Комисията възложи също така цялостно проучване на интернализацията на външните разходи в транспорта. То ще ѝ помогне да оцени степента на прилагане на принципите „потребителят плаща“ и „замърсителят плаща“ з</w:t>
      </w:r>
      <w:r>
        <w:rPr>
          <w:noProof/>
          <w:lang w:val="ru-RU"/>
        </w:rPr>
        <w:t>а всички видове транспорт в държавите членки.</w:t>
      </w:r>
    </w:p>
    <w:p w:rsidR="00C526EF" w:rsidRPr="00F375DE" w:rsidRDefault="00F375DE">
      <w:pPr>
        <w:rPr>
          <w:noProof/>
          <w:lang w:val="ru-RU"/>
        </w:rPr>
      </w:pPr>
      <w:r>
        <w:rPr>
          <w:noProof/>
          <w:lang w:val="ru-RU"/>
        </w:rPr>
        <w:t>Извършването на надеждно наблюдение на железопътния пазар продължава да бъде приоритет, за да се осигури възможност за проследяване на тенденциите на развитие на пазара и за сравняване на ефективността с целеви</w:t>
      </w:r>
      <w:r>
        <w:rPr>
          <w:noProof/>
          <w:lang w:val="ru-RU"/>
        </w:rPr>
        <w:t xml:space="preserve"> показатели.</w:t>
      </w:r>
    </w:p>
    <w:sectPr w:rsidR="00C526EF" w:rsidRPr="00F375DE">
      <w:headerReference w:type="even" r:id="rId44"/>
      <w:headerReference w:type="default" r:id="rId45"/>
      <w:footerReference w:type="even" r:id="rId46"/>
      <w:footerReference w:type="default" r:id="rId47"/>
      <w:headerReference w:type="first" r:id="rId48"/>
      <w:footerReference w:type="first" r:id="rId4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EF" w:rsidRDefault="00F375DE">
      <w:pPr>
        <w:spacing w:after="0"/>
      </w:pPr>
      <w:r>
        <w:separator/>
      </w:r>
    </w:p>
  </w:endnote>
  <w:endnote w:type="continuationSeparator" w:id="0">
    <w:p w:rsidR="00C526EF" w:rsidRDefault="00F37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F375DE">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F375DE">
    <w:pPr>
      <w:jc w:val="center"/>
    </w:pPr>
    <w:r>
      <w:fldChar w:fldCharType="begin"/>
    </w:r>
    <w:r>
      <w:instrText>PAGE   \* MERGEFORMAT</w:instrText>
    </w:r>
    <w:r>
      <w:fldChar w:fldCharType="separate"/>
    </w:r>
    <w: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F375DE">
    <w:pPr>
      <w:jc w:val="center"/>
      <w:rPr>
        <w:sz w:val="20"/>
      </w:rPr>
    </w:pPr>
    <w:r>
      <w:rPr>
        <w:sz w:val="20"/>
      </w:rPr>
      <w:fldChar w:fldCharType="begin"/>
    </w:r>
    <w:r>
      <w:rPr>
        <w:sz w:val="20"/>
      </w:rPr>
      <w:instrText>PAGE   \* MERGEFORMAT</w:instrText>
    </w:r>
    <w:r>
      <w:rPr>
        <w:sz w:val="20"/>
      </w:rPr>
      <w:fldChar w:fldCharType="separate"/>
    </w:r>
    <w:r>
      <w:rPr>
        <w:noProof/>
        <w:sz w:val="20"/>
      </w:rPr>
      <w:t>22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EF" w:rsidRDefault="00F375DE">
      <w:pPr>
        <w:spacing w:after="0"/>
      </w:pPr>
      <w:r>
        <w:separator/>
      </w:r>
    </w:p>
  </w:footnote>
  <w:footnote w:type="continuationSeparator" w:id="0">
    <w:p w:rsidR="00C526EF" w:rsidRDefault="00F375DE">
      <w:pPr>
        <w:spacing w:after="0"/>
      </w:pPr>
      <w:r>
        <w:continuationSeparator/>
      </w:r>
    </w:p>
  </w:footnote>
  <w:footnote w:id="1">
    <w:p w:rsidR="00C526EF" w:rsidRDefault="00F375DE">
      <w:pPr>
        <w:pStyle w:val="FootnoteText"/>
        <w:rPr>
          <w:lang w:val="ru-RU"/>
        </w:rPr>
      </w:pPr>
      <w:r>
        <w:rPr>
          <w:rStyle w:val="FootnoteReference"/>
          <w:sz w:val="18"/>
          <w:szCs w:val="18"/>
        </w:rPr>
        <w:footnoteRef/>
      </w:r>
      <w:r>
        <w:rPr>
          <w:lang w:val="ru-RU"/>
        </w:rPr>
        <w:t xml:space="preserve"> </w:t>
      </w:r>
      <w:r>
        <w:rPr>
          <w:lang w:val="ru-RU"/>
        </w:rPr>
        <w:tab/>
        <w:t>В настоящия доклад под „железопътен сектор“ се разбират железопътните предприятия и управителите на железопътна инфраструктура.</w:t>
      </w:r>
    </w:p>
  </w:footnote>
  <w:footnote w:id="2">
    <w:p w:rsidR="00C526EF" w:rsidRDefault="00F375DE">
      <w:pPr>
        <w:pStyle w:val="FootnoteText"/>
        <w:rPr>
          <w:lang w:val="ru-RU"/>
        </w:rPr>
      </w:pPr>
      <w:r>
        <w:rPr>
          <w:rStyle w:val="FootnoteReference"/>
          <w:sz w:val="18"/>
          <w:szCs w:val="18"/>
        </w:rPr>
        <w:footnoteRef/>
      </w:r>
      <w:r>
        <w:rPr>
          <w:lang w:val="ru-RU"/>
        </w:rPr>
        <w:t xml:space="preserve"> </w:t>
      </w:r>
      <w:r>
        <w:rPr>
          <w:lang w:val="ru-RU"/>
        </w:rPr>
        <w:tab/>
        <w:t>Директива</w:t>
      </w:r>
      <w:r>
        <w:t> </w:t>
      </w:r>
      <w:r>
        <w:rPr>
          <w:lang w:val="ru-RU"/>
        </w:rPr>
        <w:t xml:space="preserve">2012/34/ЕС на Европейския парламент и </w:t>
      </w:r>
      <w:r>
        <w:rPr>
          <w:lang w:val="ru-RU"/>
        </w:rPr>
        <w:t>на Съвета от 21 ноември 2012</w:t>
      </w:r>
      <w:r>
        <w:t> </w:t>
      </w:r>
      <w:r>
        <w:rPr>
          <w:lang w:val="ru-RU"/>
        </w:rPr>
        <w:t xml:space="preserve">г. за създаване на единно европейско железопътно пространство, ОВ </w:t>
      </w:r>
      <w:r>
        <w:t>L </w:t>
      </w:r>
      <w:r>
        <w:rPr>
          <w:lang w:val="ru-RU"/>
        </w:rPr>
        <w:t>343, 14.12.2012</w:t>
      </w:r>
      <w:r>
        <w:t> </w:t>
      </w:r>
      <w:r>
        <w:rPr>
          <w:lang w:val="ru-RU"/>
        </w:rPr>
        <w:t>г., стр.</w:t>
      </w:r>
      <w:r>
        <w:t> </w:t>
      </w:r>
      <w:r>
        <w:rPr>
          <w:lang w:val="ru-RU"/>
        </w:rPr>
        <w:t>32.</w:t>
      </w:r>
    </w:p>
  </w:footnote>
  <w:footnote w:id="3">
    <w:p w:rsidR="00C526EF" w:rsidRDefault="00F375DE">
      <w:pPr>
        <w:pStyle w:val="FootnoteText"/>
        <w:rPr>
          <w:lang w:val="ru-RU"/>
        </w:rPr>
      </w:pPr>
      <w:r>
        <w:rPr>
          <w:rStyle w:val="FootnoteReference"/>
          <w:sz w:val="18"/>
          <w:szCs w:val="18"/>
        </w:rPr>
        <w:footnoteRef/>
      </w:r>
      <w:r>
        <w:rPr>
          <w:lang w:val="ru-RU"/>
        </w:rPr>
        <w:t xml:space="preserve"> </w:t>
      </w:r>
      <w:r>
        <w:rPr>
          <w:lang w:val="ru-RU"/>
        </w:rPr>
        <w:tab/>
        <w:t>Норвегия участва в проучването за наблюдение на железопътния пазар (ПНЖП), но данните за Норвегия не са включени в общите и сре</w:t>
      </w:r>
      <w:r>
        <w:rPr>
          <w:lang w:val="ru-RU"/>
        </w:rPr>
        <w:t>дните стойности за ЕС. В допълнение към доклада относно железопътния пазар Агенцията за железопътен транспорт на Европейския съюз публикува всяка година доклади за безопасността на железниците, а на всеки две години — доклади относно техните резултати по о</w:t>
      </w:r>
      <w:r>
        <w:rPr>
          <w:lang w:val="ru-RU"/>
        </w:rPr>
        <w:t>тношение на оперативната им съвместимост.</w:t>
      </w:r>
    </w:p>
  </w:footnote>
  <w:footnote w:id="4">
    <w:p w:rsidR="00C526EF" w:rsidRDefault="00F375DE">
      <w:pPr>
        <w:pStyle w:val="FootnoteText"/>
        <w:rPr>
          <w:lang w:val="ru-RU"/>
        </w:rPr>
      </w:pPr>
      <w:r>
        <w:rPr>
          <w:rStyle w:val="FootnoteReference"/>
          <w:sz w:val="18"/>
          <w:szCs w:val="18"/>
        </w:rPr>
        <w:footnoteRef/>
      </w:r>
      <w:r>
        <w:rPr>
          <w:lang w:val="ru-RU"/>
        </w:rPr>
        <w:t xml:space="preserve">   </w:t>
      </w:r>
      <w:r>
        <w:rPr>
          <w:lang w:val="ru-RU"/>
        </w:rPr>
        <w:tab/>
        <w:t>Поради голямото разнообразие на предлаганите услуги не е възможно да се извърши всеобхватно наблюдение на цените на железопътните услуги за клиентите.</w:t>
      </w:r>
    </w:p>
  </w:footnote>
  <w:footnote w:id="5">
    <w:p w:rsidR="00C526EF" w:rsidRDefault="00F375DE">
      <w:pPr>
        <w:pStyle w:val="FootnoteText"/>
        <w:rPr>
          <w:lang w:val="ru-RU"/>
        </w:rPr>
      </w:pPr>
      <w:r>
        <w:rPr>
          <w:rStyle w:val="FootnoteReference"/>
          <w:sz w:val="18"/>
          <w:szCs w:val="18"/>
        </w:rPr>
        <w:footnoteRef/>
      </w:r>
      <w:r>
        <w:rPr>
          <w:lang w:val="ru-RU"/>
        </w:rPr>
        <w:t xml:space="preserve"> </w:t>
      </w:r>
      <w:r>
        <w:rPr>
          <w:lang w:val="ru-RU"/>
        </w:rPr>
        <w:tab/>
        <w:t>Регламент за изпълнение</w:t>
      </w:r>
      <w:r>
        <w:t> </w:t>
      </w:r>
      <w:r>
        <w:rPr>
          <w:lang w:val="ru-RU"/>
        </w:rPr>
        <w:t xml:space="preserve">(ЕС) 2015/1100 на Комисията от </w:t>
      </w:r>
      <w:r>
        <w:rPr>
          <w:lang w:val="ru-RU"/>
        </w:rPr>
        <w:t>7 юли 2015</w:t>
      </w:r>
      <w:r>
        <w:t> </w:t>
      </w:r>
      <w:r>
        <w:rPr>
          <w:lang w:val="ru-RU"/>
        </w:rPr>
        <w:t xml:space="preserve">г. относно задълженията за докладване на държавите членки в рамките на мониторинга на железопътния пазар, </w:t>
      </w:r>
      <w:r>
        <w:t>OB</w:t>
      </w:r>
      <w:r>
        <w:rPr>
          <w:lang w:val="ru-RU"/>
        </w:rPr>
        <w:t xml:space="preserve"> </w:t>
      </w:r>
      <w:r>
        <w:t>L </w:t>
      </w:r>
      <w:r>
        <w:rPr>
          <w:lang w:val="ru-RU"/>
        </w:rPr>
        <w:t>181, 9.7.2015</w:t>
      </w:r>
      <w:r>
        <w:t> </w:t>
      </w:r>
      <w:r>
        <w:rPr>
          <w:lang w:val="ru-RU"/>
        </w:rPr>
        <w:t>г., стр.</w:t>
      </w:r>
      <w:r>
        <w:t> </w:t>
      </w:r>
      <w:r>
        <w:rPr>
          <w:lang w:val="ru-RU"/>
        </w:rPr>
        <w:t>1.</w:t>
      </w:r>
    </w:p>
  </w:footnote>
  <w:footnote w:id="6">
    <w:p w:rsidR="00C526EF" w:rsidRDefault="00F375DE">
      <w:pPr>
        <w:pStyle w:val="FootnoteText"/>
        <w:rPr>
          <w:lang w:val="ru-RU"/>
        </w:rPr>
      </w:pPr>
      <w:r>
        <w:rPr>
          <w:rStyle w:val="FootnoteReference"/>
          <w:sz w:val="18"/>
          <w:szCs w:val="18"/>
        </w:rPr>
        <w:footnoteRef/>
      </w:r>
      <w:r>
        <w:rPr>
          <w:lang w:val="ru-RU"/>
        </w:rPr>
        <w:t xml:space="preserve"> </w:t>
      </w:r>
      <w:r>
        <w:rPr>
          <w:lang w:val="ru-RU"/>
        </w:rPr>
        <w:tab/>
      </w:r>
      <w:hyperlink r:id="rId1" w:history="1">
        <w:r>
          <w:t>https</w:t>
        </w:r>
        <w:r>
          <w:rPr>
            <w:lang w:val="ru-RU"/>
          </w:rPr>
          <w:t>://</w:t>
        </w:r>
        <w:r>
          <w:t>ec</w:t>
        </w:r>
        <w:r>
          <w:rPr>
            <w:lang w:val="ru-RU"/>
          </w:rPr>
          <w:t>.</w:t>
        </w:r>
        <w:r>
          <w:t>eu</w:t>
        </w:r>
        <w:r>
          <w:t>ropa</w:t>
        </w:r>
        <w:r>
          <w:rPr>
            <w:lang w:val="ru-RU"/>
          </w:rPr>
          <w:t>.</w:t>
        </w:r>
        <w:r>
          <w:t>eu</w:t>
        </w:r>
        <w:r>
          <w:rPr>
            <w:lang w:val="ru-RU"/>
          </w:rPr>
          <w:t>/</w:t>
        </w:r>
        <w:r>
          <w:t>transport</w:t>
        </w:r>
        <w:r>
          <w:rPr>
            <w:lang w:val="ru-RU"/>
          </w:rPr>
          <w:t>/</w:t>
        </w:r>
        <w:r>
          <w:t>facts</w:t>
        </w:r>
        <w:r>
          <w:rPr>
            <w:lang w:val="ru-RU"/>
          </w:rPr>
          <w:t>-</w:t>
        </w:r>
        <w:r>
          <w:t>fundings</w:t>
        </w:r>
        <w:r>
          <w:rPr>
            <w:lang w:val="ru-RU"/>
          </w:rPr>
          <w:t>/</w:t>
        </w:r>
        <w:r>
          <w:t>statistics</w:t>
        </w:r>
        <w:r>
          <w:rPr>
            <w:lang w:val="ru-RU"/>
          </w:rPr>
          <w:t>/</w:t>
        </w:r>
        <w:r>
          <w:t>pocketbook</w:t>
        </w:r>
        <w:r>
          <w:rPr>
            <w:lang w:val="ru-RU"/>
          </w:rPr>
          <w:t>-2018_</w:t>
        </w:r>
        <w:r>
          <w:t>en</w:t>
        </w:r>
      </w:hyperlink>
    </w:p>
  </w:footnote>
  <w:footnote w:id="7">
    <w:p w:rsidR="00C526EF" w:rsidRDefault="00F375DE">
      <w:pPr>
        <w:pStyle w:val="FootnoteText"/>
        <w:rPr>
          <w:lang w:val="ru-RU"/>
        </w:rPr>
      </w:pPr>
      <w:r>
        <w:rPr>
          <w:rStyle w:val="FootnoteReference"/>
          <w:sz w:val="18"/>
          <w:szCs w:val="18"/>
        </w:rPr>
        <w:footnoteRef/>
      </w:r>
      <w:r>
        <w:rPr>
          <w:lang w:val="ru-RU"/>
        </w:rPr>
        <w:t xml:space="preserve"> </w:t>
      </w:r>
      <w:r>
        <w:rPr>
          <w:lang w:val="ru-RU"/>
        </w:rPr>
        <w:tab/>
      </w:r>
      <w:hyperlink r:id="rId2" w:history="1">
        <w:r>
          <w:t>https</w:t>
        </w:r>
        <w:r>
          <w:rPr>
            <w:lang w:val="ru-RU"/>
          </w:rPr>
          <w:t>://</w:t>
        </w:r>
        <w:r>
          <w:t>www</w:t>
        </w:r>
        <w:r>
          <w:rPr>
            <w:lang w:val="ru-RU"/>
          </w:rPr>
          <w:t>.</w:t>
        </w:r>
        <w:r>
          <w:t>era</w:t>
        </w:r>
        <w:r>
          <w:rPr>
            <w:lang w:val="ru-RU"/>
          </w:rPr>
          <w:t>.</w:t>
        </w:r>
        <w:r>
          <w:t>europa</w:t>
        </w:r>
        <w:r>
          <w:rPr>
            <w:lang w:val="ru-RU"/>
          </w:rPr>
          <w:t>.</w:t>
        </w:r>
        <w:r>
          <w:t>eu</w:t>
        </w:r>
        <w:r>
          <w:rPr>
            <w:lang w:val="ru-RU"/>
          </w:rPr>
          <w:t>/</w:t>
        </w:r>
        <w:r>
          <w:t>library</w:t>
        </w:r>
        <w:r>
          <w:rPr>
            <w:lang w:val="ru-RU"/>
          </w:rPr>
          <w:t>/</w:t>
        </w:r>
        <w:r>
          <w:t>corporate</w:t>
        </w:r>
        <w:r>
          <w:rPr>
            <w:lang w:val="ru-RU"/>
          </w:rPr>
          <w:t>-</w:t>
        </w:r>
        <w:r>
          <w:t>publications</w:t>
        </w:r>
        <w:r>
          <w:rPr>
            <w:lang w:val="ru-RU"/>
          </w:rPr>
          <w:t>_</w:t>
        </w:r>
        <w:r>
          <w:t>en</w:t>
        </w:r>
      </w:hyperlink>
    </w:p>
  </w:footnote>
  <w:footnote w:id="8">
    <w:p w:rsidR="00C526EF" w:rsidRDefault="00F375DE">
      <w:pPr>
        <w:pStyle w:val="FootnoteText"/>
        <w:rPr>
          <w:lang w:val="ru-RU"/>
        </w:rPr>
      </w:pPr>
      <w:r>
        <w:rPr>
          <w:rStyle w:val="FootnoteReference"/>
          <w:sz w:val="18"/>
          <w:szCs w:val="18"/>
        </w:rPr>
        <w:footnoteRef/>
      </w:r>
      <w:r>
        <w:rPr>
          <w:lang w:val="ru-RU"/>
        </w:rPr>
        <w:t xml:space="preserve"> </w:t>
      </w:r>
      <w:r>
        <w:rPr>
          <w:lang w:val="ru-RU"/>
        </w:rPr>
        <w:tab/>
      </w:r>
      <w:hyperlink r:id="rId3" w:history="1">
        <w:r>
          <w:t>http</w:t>
        </w:r>
        <w:r>
          <w:rPr>
            <w:lang w:val="ru-RU"/>
          </w:rPr>
          <w:t>://</w:t>
        </w:r>
        <w:r>
          <w:t>ec</w:t>
        </w:r>
        <w:r>
          <w:rPr>
            <w:lang w:val="ru-RU"/>
          </w:rPr>
          <w:t>.</w:t>
        </w:r>
        <w:r>
          <w:t>europa</w:t>
        </w:r>
        <w:r>
          <w:rPr>
            <w:lang w:val="ru-RU"/>
          </w:rPr>
          <w:t>.</w:t>
        </w:r>
        <w:r>
          <w:t>eu</w:t>
        </w:r>
        <w:r>
          <w:rPr>
            <w:lang w:val="ru-RU"/>
          </w:rPr>
          <w:t>/</w:t>
        </w:r>
        <w:r>
          <w:t>eurostat</w:t>
        </w:r>
        <w:r>
          <w:rPr>
            <w:lang w:val="ru-RU"/>
          </w:rPr>
          <w:t>/</w:t>
        </w:r>
        <w:r>
          <w:t>web</w:t>
        </w:r>
        <w:r>
          <w:rPr>
            <w:lang w:val="ru-RU"/>
          </w:rPr>
          <w:t>/</w:t>
        </w:r>
        <w:r>
          <w:t>transport</w:t>
        </w:r>
        <w:r>
          <w:rPr>
            <w:lang w:val="ru-RU"/>
          </w:rPr>
          <w:t>/</w:t>
        </w:r>
        <w:r>
          <w:t>data</w:t>
        </w:r>
        <w:r>
          <w:rPr>
            <w:lang w:val="ru-RU"/>
          </w:rPr>
          <w:t>/</w:t>
        </w:r>
        <w:r>
          <w:t>database</w:t>
        </w:r>
      </w:hyperlink>
    </w:p>
  </w:footnote>
  <w:footnote w:id="9">
    <w:p w:rsidR="00C526EF" w:rsidRDefault="00F375DE">
      <w:pPr>
        <w:pStyle w:val="FootnoteText"/>
        <w:rPr>
          <w:lang w:val="ru-RU"/>
        </w:rPr>
      </w:pPr>
      <w:r>
        <w:rPr>
          <w:rStyle w:val="FootnoteReference"/>
          <w:sz w:val="18"/>
          <w:szCs w:val="18"/>
        </w:rPr>
        <w:footnoteRef/>
      </w:r>
      <w:r>
        <w:rPr>
          <w:lang w:val="ru-RU"/>
        </w:rPr>
        <w:t xml:space="preserve"> </w:t>
      </w:r>
      <w:r>
        <w:rPr>
          <w:lang w:val="ru-RU"/>
        </w:rPr>
        <w:tab/>
        <w:t>Включително Норвегия.</w:t>
      </w:r>
    </w:p>
  </w:footnote>
  <w:footnote w:id="10">
    <w:p w:rsidR="00C526EF" w:rsidRDefault="00F375DE">
      <w:pPr>
        <w:pStyle w:val="FootnoteText"/>
        <w:rPr>
          <w:lang w:val="ru-RU"/>
        </w:rPr>
      </w:pPr>
      <w:r>
        <w:rPr>
          <w:rStyle w:val="FootnoteReference"/>
          <w:sz w:val="18"/>
          <w:szCs w:val="18"/>
        </w:rPr>
        <w:footnoteRef/>
      </w:r>
      <w:r>
        <w:rPr>
          <w:lang w:val="ru-RU"/>
        </w:rPr>
        <w:t xml:space="preserve"> </w:t>
      </w:r>
      <w:r>
        <w:rPr>
          <w:lang w:val="ru-RU"/>
        </w:rPr>
        <w:tab/>
        <w:t>Непълни данни с пропуски и прилагани различни определения. Данните включват Норвегия.</w:t>
      </w:r>
    </w:p>
  </w:footnote>
  <w:footnote w:id="11">
    <w:p w:rsidR="00C526EF" w:rsidRDefault="00F375DE">
      <w:pPr>
        <w:pStyle w:val="FootnoteText"/>
        <w:rPr>
          <w:lang w:val="ru-RU"/>
        </w:rPr>
      </w:pPr>
      <w:r>
        <w:rPr>
          <w:rStyle w:val="FootnoteReference"/>
          <w:sz w:val="18"/>
          <w:szCs w:val="18"/>
        </w:rPr>
        <w:footnoteRef/>
      </w:r>
      <w:r>
        <w:rPr>
          <w:lang w:val="ru-RU"/>
        </w:rPr>
        <w:t xml:space="preserve"> </w:t>
      </w:r>
      <w:r>
        <w:rPr>
          <w:lang w:val="ru-RU"/>
        </w:rPr>
        <w:tab/>
        <w:t>Регламент з</w:t>
      </w:r>
      <w:r>
        <w:rPr>
          <w:lang w:val="ru-RU"/>
        </w:rPr>
        <w:t>а изпълнение</w:t>
      </w:r>
      <w:r>
        <w:t> </w:t>
      </w:r>
      <w:r>
        <w:rPr>
          <w:lang w:val="ru-RU"/>
        </w:rPr>
        <w:t>(ЕС) 2017/2177 на Комисията от 22</w:t>
      </w:r>
      <w:r>
        <w:t> </w:t>
      </w:r>
      <w:r>
        <w:rPr>
          <w:lang w:val="ru-RU"/>
        </w:rPr>
        <w:t>ноември 2017</w:t>
      </w:r>
      <w:r>
        <w:t> </w:t>
      </w:r>
      <w:r>
        <w:rPr>
          <w:lang w:val="ru-RU"/>
        </w:rPr>
        <w:t xml:space="preserve">г. относно достъпа до обслужващи съоръжения и свързани с железопътните дейности услуги, ОВ </w:t>
      </w:r>
      <w:r>
        <w:t>L </w:t>
      </w:r>
      <w:r>
        <w:rPr>
          <w:lang w:val="ru-RU"/>
        </w:rPr>
        <w:t>307, 23.11.2017</w:t>
      </w:r>
      <w:r>
        <w:t> </w:t>
      </w:r>
      <w:r>
        <w:rPr>
          <w:lang w:val="ru-RU"/>
        </w:rPr>
        <w:t>г., стр.</w:t>
      </w:r>
      <w:r>
        <w:t> </w:t>
      </w:r>
      <w:r>
        <w:rPr>
          <w:lang w:val="ru-RU"/>
        </w:rPr>
        <w:t>1—13.</w:t>
      </w:r>
    </w:p>
  </w:footnote>
  <w:footnote w:id="12">
    <w:p w:rsidR="00C526EF" w:rsidRDefault="00F375DE">
      <w:pPr>
        <w:pStyle w:val="FootnoteText"/>
        <w:rPr>
          <w:lang w:val="ru-RU"/>
        </w:rPr>
      </w:pPr>
      <w:r>
        <w:rPr>
          <w:rStyle w:val="FootnoteReference"/>
          <w:sz w:val="18"/>
          <w:szCs w:val="18"/>
        </w:rPr>
        <w:footnoteRef/>
      </w:r>
      <w:r>
        <w:rPr>
          <w:lang w:val="ru-RU"/>
        </w:rPr>
        <w:t xml:space="preserve"> </w:t>
      </w:r>
      <w:r>
        <w:rPr>
          <w:lang w:val="ru-RU"/>
        </w:rPr>
        <w:tab/>
        <w:t>Данните относно потока, докладвани в годишния въпросник за ПНЖП, може</w:t>
      </w:r>
      <w:r>
        <w:rPr>
          <w:lang w:val="ru-RU"/>
        </w:rPr>
        <w:t xml:space="preserve"> да се различават от докладваните от Евростат поради различния обхват, възможното двойно отчитане на транзитните потоци и корекции (прогнозни оценки и добавени данни от други източници).</w:t>
      </w:r>
    </w:p>
  </w:footnote>
  <w:footnote w:id="13">
    <w:p w:rsidR="00C526EF" w:rsidRDefault="00F375DE">
      <w:pPr>
        <w:pStyle w:val="FootnoteText"/>
        <w:rPr>
          <w:lang w:val="ru-RU"/>
        </w:rPr>
      </w:pPr>
      <w:r>
        <w:rPr>
          <w:rStyle w:val="FootnoteReference"/>
          <w:sz w:val="18"/>
          <w:szCs w:val="18"/>
        </w:rPr>
        <w:footnoteRef/>
      </w:r>
      <w:r>
        <w:rPr>
          <w:lang w:val="ru-RU"/>
        </w:rPr>
        <w:t xml:space="preserve"> </w:t>
      </w:r>
      <w:r>
        <w:rPr>
          <w:lang w:val="ru-RU"/>
        </w:rPr>
        <w:tab/>
        <w:t>Не се включват индиректните емисии от потреблението на електроенер</w:t>
      </w:r>
      <w:r>
        <w:rPr>
          <w:lang w:val="ru-RU"/>
        </w:rPr>
        <w:t>гия.</w:t>
      </w:r>
    </w:p>
  </w:footnote>
  <w:footnote w:id="14">
    <w:p w:rsidR="00C526EF" w:rsidRDefault="00F375DE">
      <w:pPr>
        <w:pStyle w:val="FootnoteText"/>
        <w:rPr>
          <w:lang w:val="ru-RU"/>
        </w:rPr>
      </w:pPr>
      <w:r>
        <w:rPr>
          <w:rStyle w:val="FootnoteReference"/>
          <w:sz w:val="18"/>
          <w:szCs w:val="18"/>
        </w:rPr>
        <w:footnoteRef/>
      </w:r>
      <w:r>
        <w:rPr>
          <w:lang w:val="ru-RU"/>
        </w:rPr>
        <w:t xml:space="preserve"> </w:t>
      </w:r>
      <w:r>
        <w:rPr>
          <w:lang w:val="ru-RU"/>
        </w:rPr>
        <w:tab/>
        <w:t>Регламент за изпълнение</w:t>
      </w:r>
      <w:r>
        <w:t> </w:t>
      </w:r>
      <w:r>
        <w:rPr>
          <w:lang w:val="ru-RU"/>
        </w:rPr>
        <w:t>(ЕС) 2017/6 на Комисията от 5</w:t>
      </w:r>
      <w:r>
        <w:t> </w:t>
      </w:r>
      <w:r>
        <w:rPr>
          <w:lang w:val="ru-RU"/>
        </w:rPr>
        <w:t>януари 2017</w:t>
      </w:r>
      <w:r>
        <w:t> </w:t>
      </w:r>
      <w:r>
        <w:rPr>
          <w:lang w:val="ru-RU"/>
        </w:rPr>
        <w:t xml:space="preserve">г. за европейски план за внедряване на европейска система за управление на железопътното движение, ОВ </w:t>
      </w:r>
      <w:r>
        <w:t>L </w:t>
      </w:r>
      <w:r>
        <w:rPr>
          <w:lang w:val="ru-RU"/>
        </w:rPr>
        <w:t>3, 6.1.2017</w:t>
      </w:r>
      <w:r>
        <w:t> </w:t>
      </w:r>
      <w:r>
        <w:rPr>
          <w:lang w:val="ru-RU"/>
        </w:rPr>
        <w:t>г., стр.</w:t>
      </w:r>
      <w:r>
        <w:t> </w:t>
      </w:r>
      <w:r>
        <w:rPr>
          <w:lang w:val="ru-RU"/>
        </w:rPr>
        <w:t>6—28).</w:t>
      </w:r>
    </w:p>
  </w:footnote>
  <w:footnote w:id="15">
    <w:p w:rsidR="00C526EF" w:rsidRDefault="00F375DE">
      <w:pPr>
        <w:pStyle w:val="FootnoteText"/>
        <w:rPr>
          <w:lang w:val="ru-RU"/>
        </w:rPr>
      </w:pPr>
      <w:r>
        <w:rPr>
          <w:rStyle w:val="FootnoteReference"/>
          <w:sz w:val="18"/>
          <w:szCs w:val="18"/>
        </w:rPr>
        <w:footnoteRef/>
      </w:r>
      <w:r>
        <w:rPr>
          <w:lang w:val="ru-RU"/>
        </w:rPr>
        <w:t xml:space="preserve"> </w:t>
      </w:r>
      <w:r>
        <w:rPr>
          <w:lang w:val="ru-RU"/>
        </w:rPr>
        <w:tab/>
        <w:t>Без Норвегия.</w:t>
      </w:r>
    </w:p>
  </w:footnote>
  <w:footnote w:id="16">
    <w:p w:rsidR="00C526EF" w:rsidRDefault="00F375DE">
      <w:pPr>
        <w:pStyle w:val="FootnoteText"/>
        <w:rPr>
          <w:lang w:val="ru-RU"/>
        </w:rPr>
      </w:pPr>
      <w:r>
        <w:rPr>
          <w:rStyle w:val="FootnoteReference"/>
          <w:sz w:val="18"/>
          <w:szCs w:val="18"/>
        </w:rPr>
        <w:footnoteRef/>
      </w:r>
      <w:r>
        <w:rPr>
          <w:lang w:val="ru-RU"/>
        </w:rPr>
        <w:t xml:space="preserve"> </w:t>
      </w:r>
      <w:r>
        <w:rPr>
          <w:lang w:val="ru-RU"/>
        </w:rPr>
        <w:tab/>
        <w:t>Данните включват Норвегия.</w:t>
      </w:r>
    </w:p>
  </w:footnote>
  <w:footnote w:id="17">
    <w:p w:rsidR="00C526EF" w:rsidRDefault="00F375DE">
      <w:pPr>
        <w:pStyle w:val="FootnoteText"/>
        <w:rPr>
          <w:lang w:val="ru-RU"/>
        </w:rPr>
      </w:pPr>
      <w:r>
        <w:rPr>
          <w:rStyle w:val="FootnoteReference"/>
          <w:sz w:val="18"/>
          <w:szCs w:val="18"/>
        </w:rPr>
        <w:footnoteRef/>
      </w:r>
      <w:r>
        <w:rPr>
          <w:lang w:val="ru-RU"/>
        </w:rPr>
        <w:t xml:space="preserve"> </w:t>
      </w:r>
      <w:r>
        <w:rPr>
          <w:lang w:val="ru-RU"/>
        </w:rPr>
        <w:tab/>
      </w:r>
      <w:r>
        <w:rPr>
          <w:lang w:val="ru-RU"/>
        </w:rPr>
        <w:t>Според ПНЖП пътнически влак се счита за точен, ако има закъснение от 5 или по-малко минути.</w:t>
      </w:r>
    </w:p>
  </w:footnote>
  <w:footnote w:id="18">
    <w:p w:rsidR="00C526EF" w:rsidRDefault="00F375DE">
      <w:pPr>
        <w:pStyle w:val="FootnoteText"/>
        <w:rPr>
          <w:lang w:val="ru-RU"/>
        </w:rPr>
      </w:pPr>
      <w:r>
        <w:rPr>
          <w:rStyle w:val="FootnoteReference"/>
          <w:sz w:val="18"/>
          <w:szCs w:val="18"/>
        </w:rPr>
        <w:footnoteRef/>
      </w:r>
      <w:r>
        <w:rPr>
          <w:lang w:val="ru-RU"/>
        </w:rPr>
        <w:t xml:space="preserve"> </w:t>
      </w:r>
      <w:r>
        <w:rPr>
          <w:lang w:val="ru-RU"/>
        </w:rPr>
        <w:tab/>
        <w:t>Според ПНЖП товарен влак се счита за точен, ако има закъснение от 15 или по-малко минути.</w:t>
      </w:r>
    </w:p>
  </w:footnote>
  <w:footnote w:id="19">
    <w:p w:rsidR="00C526EF" w:rsidRDefault="00F375DE">
      <w:pPr>
        <w:pStyle w:val="FootnoteText"/>
        <w:rPr>
          <w:lang w:val="ru-RU"/>
        </w:rPr>
      </w:pPr>
      <w:r>
        <w:rPr>
          <w:rStyle w:val="FootnoteReference"/>
          <w:sz w:val="18"/>
          <w:szCs w:val="18"/>
        </w:rPr>
        <w:footnoteRef/>
      </w:r>
      <w:r>
        <w:rPr>
          <w:lang w:val="ru-RU"/>
        </w:rPr>
        <w:t xml:space="preserve"> </w:t>
      </w:r>
      <w:r>
        <w:rPr>
          <w:lang w:val="ru-RU"/>
        </w:rPr>
        <w:tab/>
        <w:t>Не се включват самоубийствата. Допълнителна информация е представена</w:t>
      </w:r>
      <w:r>
        <w:rPr>
          <w:lang w:val="ru-RU"/>
        </w:rPr>
        <w:t xml:space="preserve"> в „Доклад относно безопасността и оперативната съвместимост на железниците в ЕС през 2018</w:t>
      </w:r>
      <w:r>
        <w:t> </w:t>
      </w:r>
      <w:r>
        <w:rPr>
          <w:lang w:val="ru-RU"/>
        </w:rPr>
        <w:t>г.“ на Агенцията.</w:t>
      </w:r>
    </w:p>
  </w:footnote>
  <w:footnote w:id="20">
    <w:p w:rsidR="00C526EF" w:rsidRDefault="00F375DE">
      <w:pPr>
        <w:pStyle w:val="FootnoteText"/>
        <w:rPr>
          <w:lang w:val="ru-RU"/>
        </w:rPr>
      </w:pPr>
      <w:r>
        <w:rPr>
          <w:rStyle w:val="FootnoteReference"/>
          <w:sz w:val="18"/>
          <w:szCs w:val="18"/>
        </w:rPr>
        <w:footnoteRef/>
      </w:r>
      <w:r>
        <w:rPr>
          <w:lang w:val="ru-RU"/>
        </w:rPr>
        <w:t xml:space="preserve"> </w:t>
      </w:r>
      <w:hyperlink r:id="rId4" w:history="1">
        <w:r>
          <w:t>http</w:t>
        </w:r>
        <w:r>
          <w:rPr>
            <w:lang w:val="ru-RU"/>
          </w:rPr>
          <w:t>://</w:t>
        </w:r>
        <w:r>
          <w:t>ec</w:t>
        </w:r>
        <w:r>
          <w:rPr>
            <w:lang w:val="ru-RU"/>
          </w:rPr>
          <w:t>.</w:t>
        </w:r>
        <w:r>
          <w:t>europa</w:t>
        </w:r>
        <w:r>
          <w:rPr>
            <w:lang w:val="ru-RU"/>
          </w:rPr>
          <w:t>.</w:t>
        </w:r>
        <w:r>
          <w:t>eu</w:t>
        </w:r>
        <w:r>
          <w:rPr>
            <w:lang w:val="ru-RU"/>
          </w:rPr>
          <w:t>/</w:t>
        </w:r>
        <w:r>
          <w:t>commfrontoffice</w:t>
        </w:r>
        <w:r>
          <w:rPr>
            <w:lang w:val="ru-RU"/>
          </w:rPr>
          <w:t>/</w:t>
        </w:r>
        <w:r>
          <w:t>publicopinion</w:t>
        </w:r>
        <w:r>
          <w:rPr>
            <w:lang w:val="ru-RU"/>
          </w:rPr>
          <w:t>/</w:t>
        </w:r>
        <w:r>
          <w:t>index</w:t>
        </w:r>
        <w:r>
          <w:rPr>
            <w:lang w:val="ru-RU"/>
          </w:rPr>
          <w:t>.</w:t>
        </w:r>
        <w:r>
          <w:t>cfm</w:t>
        </w:r>
        <w:r>
          <w:rPr>
            <w:lang w:val="ru-RU"/>
          </w:rPr>
          <w:t>/</w:t>
        </w:r>
        <w:r>
          <w:t>survey</w:t>
        </w:r>
        <w:r>
          <w:rPr>
            <w:lang w:val="ru-RU"/>
          </w:rPr>
          <w:t>/</w:t>
        </w:r>
        <w:r>
          <w:t>getsurveydetail</w:t>
        </w:r>
        <w:r>
          <w:rPr>
            <w:lang w:val="ru-RU"/>
          </w:rPr>
          <w:t>/</w:t>
        </w:r>
        <w:r>
          <w:t>instruments</w:t>
        </w:r>
        <w:r>
          <w:rPr>
            <w:lang w:val="ru-RU"/>
          </w:rPr>
          <w:t>/</w:t>
        </w:r>
        <w:r>
          <w:t>flash</w:t>
        </w:r>
        <w:r>
          <w:rPr>
            <w:lang w:val="ru-RU"/>
          </w:rPr>
          <w:t>/</w:t>
        </w:r>
        <w:r>
          <w:t>surveyky</w:t>
        </w:r>
        <w:r>
          <w:rPr>
            <w:lang w:val="ru-RU"/>
          </w:rPr>
          <w:t>/2172</w:t>
        </w:r>
      </w:hyperlink>
      <w:r>
        <w:t>http</w:t>
      </w:r>
      <w:r>
        <w:rPr>
          <w:lang w:val="ru-RU"/>
        </w:rPr>
        <w:t>://</w:t>
      </w:r>
      <w:r>
        <w:t>ec</w:t>
      </w:r>
      <w:r>
        <w:rPr>
          <w:lang w:val="ru-RU"/>
        </w:rPr>
        <w:t>.</w:t>
      </w:r>
      <w:r>
        <w:t>europa</w:t>
      </w:r>
      <w:r>
        <w:rPr>
          <w:lang w:val="ru-RU"/>
        </w:rPr>
        <w:t>.</w:t>
      </w:r>
      <w:r>
        <w:t>eu</w:t>
      </w:r>
      <w:r>
        <w:rPr>
          <w:lang w:val="ru-RU"/>
        </w:rPr>
        <w:t>/</w:t>
      </w:r>
      <w:r>
        <w:t>commfrontoffice</w:t>
      </w:r>
      <w:r>
        <w:rPr>
          <w:lang w:val="ru-RU"/>
        </w:rPr>
        <w:t>/</w:t>
      </w:r>
      <w:r>
        <w:t>publicopinion</w:t>
      </w:r>
      <w:r>
        <w:rPr>
          <w:lang w:val="ru-RU"/>
        </w:rPr>
        <w:t>/</w:t>
      </w:r>
      <w:r>
        <w:t>index</w:t>
      </w:r>
      <w:r>
        <w:rPr>
          <w:lang w:val="ru-RU"/>
        </w:rPr>
        <w:t>.</w:t>
      </w:r>
      <w:r>
        <w:t>cfm</w:t>
      </w:r>
      <w:r>
        <w:rPr>
          <w:lang w:val="ru-RU"/>
        </w:rPr>
        <w:t>/</w:t>
      </w:r>
      <w:r>
        <w:t>survey</w:t>
      </w:r>
      <w:r>
        <w:rPr>
          <w:lang w:val="ru-RU"/>
        </w:rPr>
        <w:t>/</w:t>
      </w:r>
      <w:r>
        <w:t>getsurveydetail</w:t>
      </w:r>
      <w:r>
        <w:rPr>
          <w:lang w:val="ru-RU"/>
        </w:rPr>
        <w:t>/</w:t>
      </w:r>
      <w:r>
        <w:t>instruments</w:t>
      </w:r>
      <w:r>
        <w:rPr>
          <w:lang w:val="ru-RU"/>
        </w:rPr>
        <w:t>/</w:t>
      </w:r>
      <w:r>
        <w:t>flash</w:t>
      </w:r>
      <w:r>
        <w:rPr>
          <w:lang w:val="ru-RU"/>
        </w:rPr>
        <w:t>/</w:t>
      </w:r>
      <w:r>
        <w:t>surveyky</w:t>
      </w:r>
      <w:r>
        <w:rPr>
          <w:lang w:val="ru-RU"/>
        </w:rPr>
        <w:t>/2172.</w:t>
      </w:r>
    </w:p>
  </w:footnote>
  <w:footnote w:id="21">
    <w:p w:rsidR="00C526EF" w:rsidRDefault="00F375DE">
      <w:pPr>
        <w:pStyle w:val="FootnoteText"/>
        <w:rPr>
          <w:lang w:val="ru-RU"/>
        </w:rPr>
      </w:pPr>
      <w:r>
        <w:rPr>
          <w:rStyle w:val="FootnoteReference"/>
          <w:sz w:val="18"/>
          <w:szCs w:val="18"/>
        </w:rPr>
        <w:footnoteRef/>
      </w:r>
      <w:r>
        <w:rPr>
          <w:lang w:val="ru-RU"/>
        </w:rPr>
        <w:t xml:space="preserve"> </w:t>
      </w:r>
      <w:r>
        <w:rPr>
          <w:lang w:val="ru-RU"/>
        </w:rPr>
        <w:tab/>
        <w:t>Коридорите за железопътни товарни</w:t>
      </w:r>
      <w:r>
        <w:rPr>
          <w:lang w:val="ru-RU"/>
        </w:rPr>
        <w:t xml:space="preserve"> превози публикуват ежегодни проучвания въз основа на стандартизиран въпросник.</w:t>
      </w:r>
    </w:p>
  </w:footnote>
  <w:footnote w:id="22">
    <w:p w:rsidR="00C526EF" w:rsidRDefault="00F375DE">
      <w:pPr>
        <w:pStyle w:val="FootnoteText"/>
        <w:rPr>
          <w:lang w:val="ru-RU"/>
        </w:rPr>
      </w:pPr>
      <w:r>
        <w:rPr>
          <w:rStyle w:val="FootnoteReference"/>
          <w:sz w:val="18"/>
          <w:szCs w:val="18"/>
        </w:rPr>
        <w:footnoteRef/>
      </w:r>
      <w:r>
        <w:rPr>
          <w:lang w:val="ru-RU"/>
        </w:rPr>
        <w:t xml:space="preserve"> </w:t>
      </w:r>
      <w:r>
        <w:rPr>
          <w:lang w:val="ru-RU"/>
        </w:rPr>
        <w:tab/>
        <w:t>Регламент</w:t>
      </w:r>
      <w:r>
        <w:t> </w:t>
      </w:r>
      <w:r>
        <w:rPr>
          <w:lang w:val="ru-RU"/>
        </w:rPr>
        <w:t>(ЕО) №</w:t>
      </w:r>
      <w:r>
        <w:t> </w:t>
      </w:r>
      <w:r>
        <w:rPr>
          <w:lang w:val="ru-RU"/>
        </w:rPr>
        <w:t>1371/2007 на Европейския парламент и на Съвета от 23 октомври 2007</w:t>
      </w:r>
      <w:r>
        <w:t> </w:t>
      </w:r>
      <w:r>
        <w:rPr>
          <w:lang w:val="ru-RU"/>
        </w:rPr>
        <w:t xml:space="preserve">г. относно правата и задълженията на пътниците, използващи железопътен транспорт, ОВ </w:t>
      </w:r>
      <w:r>
        <w:t>L </w:t>
      </w:r>
      <w:r>
        <w:rPr>
          <w:lang w:val="ru-RU"/>
        </w:rPr>
        <w:t>31</w:t>
      </w:r>
      <w:r>
        <w:rPr>
          <w:lang w:val="ru-RU"/>
        </w:rPr>
        <w:t>5, 3.12.2007</w:t>
      </w:r>
      <w:r>
        <w:t> </w:t>
      </w:r>
      <w:r>
        <w:rPr>
          <w:lang w:val="ru-RU"/>
        </w:rPr>
        <w:t>г., стр.</w:t>
      </w:r>
      <w:r>
        <w:t> </w:t>
      </w:r>
      <w:r>
        <w:rPr>
          <w:lang w:val="ru-RU"/>
        </w:rPr>
        <w:t>14—41.</w:t>
      </w:r>
    </w:p>
  </w:footnote>
  <w:footnote w:id="23">
    <w:p w:rsidR="00C526EF" w:rsidRDefault="00F375DE">
      <w:pPr>
        <w:pStyle w:val="FootnoteText"/>
        <w:rPr>
          <w:lang w:val="ru-RU"/>
        </w:rPr>
      </w:pPr>
      <w:r>
        <w:rPr>
          <w:rStyle w:val="FootnoteReference"/>
          <w:sz w:val="18"/>
          <w:szCs w:val="18"/>
        </w:rPr>
        <w:footnoteRef/>
      </w:r>
      <w:r>
        <w:rPr>
          <w:lang w:val="ru-RU"/>
        </w:rPr>
        <w:tab/>
      </w:r>
      <w:hyperlink r:id="rId5" w:history="1">
        <w:r>
          <w:t>https</w:t>
        </w:r>
        <w:r>
          <w:rPr>
            <w:lang w:val="ru-RU"/>
          </w:rPr>
          <w:t>://</w:t>
        </w:r>
        <w:r>
          <w:t>ec</w:t>
        </w:r>
        <w:r>
          <w:rPr>
            <w:lang w:val="ru-RU"/>
          </w:rPr>
          <w:t>.</w:t>
        </w:r>
        <w:r>
          <w:t>europa</w:t>
        </w:r>
        <w:r>
          <w:rPr>
            <w:lang w:val="ru-RU"/>
          </w:rPr>
          <w:t>.</w:t>
        </w:r>
        <w:r>
          <w:t>eu</w:t>
        </w:r>
        <w:r>
          <w:rPr>
            <w:lang w:val="ru-RU"/>
          </w:rPr>
          <w:t>/</w:t>
        </w:r>
        <w:r>
          <w:t>info</w:t>
        </w:r>
        <w:r>
          <w:rPr>
            <w:lang w:val="ru-RU"/>
          </w:rPr>
          <w:t>/</w:t>
        </w:r>
        <w:r>
          <w:t>publications</w:t>
        </w:r>
        <w:r>
          <w:rPr>
            <w:lang w:val="ru-RU"/>
          </w:rPr>
          <w:t>/180308-</w:t>
        </w:r>
        <w:r>
          <w:t>action</w:t>
        </w:r>
        <w:r>
          <w:rPr>
            <w:lang w:val="ru-RU"/>
          </w:rPr>
          <w:t>-</w:t>
        </w:r>
        <w:r>
          <w:t>plan</w:t>
        </w:r>
        <w:r>
          <w:rPr>
            <w:lang w:val="ru-RU"/>
          </w:rPr>
          <w:t>-</w:t>
        </w:r>
        <w:r>
          <w:t>sustainable</w:t>
        </w:r>
        <w:r>
          <w:rPr>
            <w:lang w:val="ru-RU"/>
          </w:rPr>
          <w:t>-</w:t>
        </w:r>
        <w:r>
          <w:t>growth</w:t>
        </w:r>
        <w:r>
          <w:rPr>
            <w:lang w:val="ru-RU"/>
          </w:rPr>
          <w:t>_</w:t>
        </w:r>
        <w:r>
          <w:t>en</w:t>
        </w:r>
      </w:hyperlink>
    </w:p>
  </w:footnote>
  <w:footnote w:id="24">
    <w:p w:rsidR="00C526EF" w:rsidRDefault="00F375DE">
      <w:pPr>
        <w:pStyle w:val="FootnoteText"/>
        <w:rPr>
          <w:lang w:val="ru-RU"/>
        </w:rPr>
      </w:pPr>
      <w:r>
        <w:rPr>
          <w:rStyle w:val="FootnoteReference"/>
          <w:sz w:val="18"/>
          <w:szCs w:val="18"/>
        </w:rPr>
        <w:footnoteRef/>
      </w:r>
      <w:r>
        <w:rPr>
          <w:lang w:val="ru-RU"/>
        </w:rPr>
        <w:t xml:space="preserve"> </w:t>
      </w:r>
      <w:r>
        <w:rPr>
          <w:lang w:val="ru-RU"/>
        </w:rPr>
        <w:tab/>
        <w:t>Регламент (ЕС) №</w:t>
      </w:r>
      <w:r>
        <w:t> </w:t>
      </w:r>
      <w:r>
        <w:rPr>
          <w:lang w:val="ru-RU"/>
        </w:rPr>
        <w:t xml:space="preserve">913/2010 на Европейския </w:t>
      </w:r>
      <w:r>
        <w:rPr>
          <w:lang w:val="ru-RU"/>
        </w:rPr>
        <w:t>парламент и на Съвета от 22 септември 2010</w:t>
      </w:r>
      <w:r>
        <w:t> </w:t>
      </w:r>
      <w:r>
        <w:rPr>
          <w:lang w:val="ru-RU"/>
        </w:rPr>
        <w:t xml:space="preserve">г. относно европейска железопътна мрежа за конкурентоспособен товарен превоз, ОВ </w:t>
      </w:r>
      <w:r>
        <w:t>L </w:t>
      </w:r>
      <w:r>
        <w:rPr>
          <w:lang w:val="ru-RU"/>
        </w:rPr>
        <w:t>276, 20.10.2010</w:t>
      </w:r>
      <w:r>
        <w:t> </w:t>
      </w:r>
      <w:r>
        <w:rPr>
          <w:lang w:val="ru-RU"/>
        </w:rPr>
        <w:t>г., стр.</w:t>
      </w:r>
      <w:r>
        <w:t> </w:t>
      </w:r>
      <w:r>
        <w:rPr>
          <w:lang w:val="ru-RU"/>
        </w:rPr>
        <w:t>22—32.</w:t>
      </w:r>
    </w:p>
  </w:footnote>
  <w:footnote w:id="25">
    <w:p w:rsidR="00C526EF" w:rsidRDefault="00F375DE">
      <w:pPr>
        <w:pStyle w:val="FootnoteText"/>
        <w:rPr>
          <w:lang w:val="ru-RU"/>
        </w:rPr>
      </w:pPr>
      <w:r>
        <w:rPr>
          <w:rStyle w:val="FootnoteReference"/>
          <w:sz w:val="18"/>
          <w:szCs w:val="18"/>
        </w:rPr>
        <w:footnoteRef/>
      </w:r>
      <w:r>
        <w:rPr>
          <w:lang w:val="ru-RU"/>
        </w:rPr>
        <w:t xml:space="preserve"> </w:t>
      </w:r>
      <w:r>
        <w:rPr>
          <w:lang w:val="ru-RU"/>
        </w:rPr>
        <w:tab/>
        <w:t>Директива 2007/59/ЕО на Европейския парламент и на Съвета от 23</w:t>
      </w:r>
      <w:r>
        <w:t> </w:t>
      </w:r>
      <w:r>
        <w:rPr>
          <w:lang w:val="ru-RU"/>
        </w:rPr>
        <w:t>октомври 2007</w:t>
      </w:r>
      <w:r>
        <w:t> </w:t>
      </w:r>
      <w:r>
        <w:rPr>
          <w:lang w:val="ru-RU"/>
        </w:rPr>
        <w:t>г. за сертифицира</w:t>
      </w:r>
      <w:r>
        <w:rPr>
          <w:lang w:val="ru-RU"/>
        </w:rPr>
        <w:t xml:space="preserve">не на машинисти, управляващи локомотиви и влакове в рамките на железопътната система на Общността, ОВ </w:t>
      </w:r>
      <w:r>
        <w:t>L </w:t>
      </w:r>
      <w:r>
        <w:rPr>
          <w:lang w:val="ru-RU"/>
        </w:rPr>
        <w:t>315, 3.12.2007</w:t>
      </w:r>
      <w:r>
        <w:t> </w:t>
      </w:r>
      <w:r>
        <w:rPr>
          <w:lang w:val="ru-RU"/>
        </w:rPr>
        <w:t>г., стр.</w:t>
      </w:r>
      <w:r>
        <w:t> </w:t>
      </w:r>
      <w:r>
        <w:rPr>
          <w:lang w:val="ru-RU"/>
        </w:rPr>
        <w:t>51—78.</w:t>
      </w:r>
    </w:p>
  </w:footnote>
  <w:footnote w:id="26">
    <w:p w:rsidR="00C526EF" w:rsidRDefault="00F375DE">
      <w:pPr>
        <w:pStyle w:val="FootnoteText"/>
        <w:rPr>
          <w:lang w:val="ru-RU"/>
        </w:rPr>
      </w:pPr>
      <w:r>
        <w:rPr>
          <w:rStyle w:val="FootnoteReference"/>
          <w:sz w:val="18"/>
          <w:szCs w:val="18"/>
        </w:rPr>
        <w:footnoteRef/>
      </w:r>
      <w:r>
        <w:rPr>
          <w:lang w:val="ru-RU"/>
        </w:rPr>
        <w:t xml:space="preserve"> </w:t>
      </w:r>
      <w:r>
        <w:rPr>
          <w:lang w:val="ru-RU"/>
        </w:rPr>
        <w:tab/>
        <w:t>Директива 92/106/ЕИО на Съвета от 7 декември 1992</w:t>
      </w:r>
      <w:r>
        <w:t> </w:t>
      </w:r>
      <w:r>
        <w:rPr>
          <w:lang w:val="ru-RU"/>
        </w:rPr>
        <w:t>г. относно създаването на общи правила за някои видове комбиниран тр</w:t>
      </w:r>
      <w:r>
        <w:rPr>
          <w:lang w:val="ru-RU"/>
        </w:rPr>
        <w:t xml:space="preserve">анспорт на товари между държавите членки, ОВ </w:t>
      </w:r>
      <w:r>
        <w:t>L </w:t>
      </w:r>
      <w:r>
        <w:rPr>
          <w:lang w:val="ru-RU"/>
        </w:rPr>
        <w:t>368, 17.12.1992</w:t>
      </w:r>
      <w:r>
        <w:t> </w:t>
      </w:r>
      <w:r>
        <w:rPr>
          <w:lang w:val="ru-RU"/>
        </w:rPr>
        <w:t>г., стр.</w:t>
      </w:r>
      <w:r>
        <w:t> </w:t>
      </w:r>
      <w:r>
        <w:rPr>
          <w:lang w:val="ru-RU"/>
        </w:rPr>
        <w:t>38.</w:t>
      </w:r>
    </w:p>
  </w:footnote>
  <w:footnote w:id="27">
    <w:p w:rsidR="00C526EF" w:rsidRDefault="00F375DE">
      <w:pPr>
        <w:pStyle w:val="FootnoteText"/>
        <w:rPr>
          <w:lang w:val="ru-RU"/>
        </w:rPr>
      </w:pPr>
      <w:r>
        <w:rPr>
          <w:rStyle w:val="FootnoteReference"/>
          <w:sz w:val="18"/>
          <w:szCs w:val="18"/>
        </w:rPr>
        <w:footnoteRef/>
      </w:r>
      <w:r>
        <w:rPr>
          <w:lang w:val="ru-RU"/>
        </w:rPr>
        <w:t xml:space="preserve"> </w:t>
      </w:r>
      <w:hyperlink r:id="rId6" w:history="1">
        <w:r>
          <w:t>https</w:t>
        </w:r>
        <w:r>
          <w:rPr>
            <w:lang w:val="ru-RU"/>
          </w:rPr>
          <w:t>://</w:t>
        </w:r>
        <w:r>
          <w:t>shift</w:t>
        </w:r>
        <w:r>
          <w:rPr>
            <w:lang w:val="ru-RU"/>
          </w:rPr>
          <w:t>2</w:t>
        </w:r>
        <w:r>
          <w:t>rail</w:t>
        </w:r>
        <w:r>
          <w:rPr>
            <w:lang w:val="ru-RU"/>
          </w:rPr>
          <w:t>.</w:t>
        </w:r>
        <w:r>
          <w:t>org</w:t>
        </w:r>
        <w:r>
          <w:rPr>
            <w:lang w:val="ru-RU"/>
          </w:rPr>
          <w:t>/</w:t>
        </w:r>
      </w:hyperlink>
      <w:r>
        <w:rPr>
          <w:lang w:val="ru-RU"/>
        </w:rPr>
        <w:t xml:space="preserve"> </w:t>
      </w:r>
    </w:p>
  </w:footnote>
  <w:footnote w:id="28">
    <w:p w:rsidR="00C526EF" w:rsidRDefault="00F375DE">
      <w:pPr>
        <w:pStyle w:val="FootnoteText"/>
        <w:rPr>
          <w:lang w:val="ru-RU"/>
        </w:rPr>
      </w:pPr>
      <w:r>
        <w:rPr>
          <w:rStyle w:val="FootnoteReference"/>
          <w:sz w:val="18"/>
          <w:szCs w:val="18"/>
        </w:rPr>
        <w:footnoteRef/>
      </w:r>
      <w:r>
        <w:rPr>
          <w:lang w:val="ru-RU"/>
        </w:rPr>
        <w:t xml:space="preserve">  </w:t>
      </w:r>
      <w:hyperlink r:id="rId7" w:history="1">
        <w:r>
          <w:t>https</w:t>
        </w:r>
        <w:r>
          <w:rPr>
            <w:lang w:val="ru-RU"/>
          </w:rPr>
          <w:t>://</w:t>
        </w:r>
        <w:r>
          <w:t>ec</w:t>
        </w:r>
        <w:r>
          <w:rPr>
            <w:lang w:val="ru-RU"/>
          </w:rPr>
          <w:t>.</w:t>
        </w:r>
        <w:r>
          <w:t>eur</w:t>
        </w:r>
        <w:r>
          <w:t>opa</w:t>
        </w:r>
        <w:r>
          <w:rPr>
            <w:lang w:val="ru-RU"/>
          </w:rPr>
          <w:t>.</w:t>
        </w:r>
        <w:r>
          <w:t>eu</w:t>
        </w:r>
        <w:r>
          <w:rPr>
            <w:lang w:val="ru-RU"/>
          </w:rPr>
          <w:t>/</w:t>
        </w:r>
        <w:r>
          <w:t>transport</w:t>
        </w:r>
        <w:r>
          <w:rPr>
            <w:lang w:val="ru-RU"/>
          </w:rPr>
          <w:t>/</w:t>
        </w:r>
        <w:r>
          <w:t>modes</w:t>
        </w:r>
        <w:r>
          <w:rPr>
            <w:lang w:val="ru-RU"/>
          </w:rPr>
          <w:t>/</w:t>
        </w:r>
        <w:r>
          <w:t>road</w:t>
        </w:r>
        <w:r>
          <w:rPr>
            <w:lang w:val="ru-RU"/>
          </w:rPr>
          <w:t>/</w:t>
        </w:r>
        <w:r>
          <w:t>news</w:t>
        </w:r>
        <w:r>
          <w:rPr>
            <w:lang w:val="ru-RU"/>
          </w:rPr>
          <w:t>/2017-05-31-</w:t>
        </w:r>
        <w:r>
          <w:t>europe</w:t>
        </w:r>
        <w:r>
          <w:rPr>
            <w:lang w:val="ru-RU"/>
          </w:rPr>
          <w:t>-</w:t>
        </w:r>
        <w:r>
          <w:t>on</w:t>
        </w:r>
        <w:r>
          <w:rPr>
            <w:lang w:val="ru-RU"/>
          </w:rPr>
          <w:t>-</w:t>
        </w:r>
        <w:r>
          <w:t>the</w:t>
        </w:r>
        <w:r>
          <w:rPr>
            <w:lang w:val="ru-RU"/>
          </w:rPr>
          <w:t>-</w:t>
        </w:r>
        <w:r>
          <w:t>move</w:t>
        </w:r>
        <w:r>
          <w:rPr>
            <w:lang w:val="ru-RU"/>
          </w:rPr>
          <w:t>_</w:t>
        </w:r>
        <w:r>
          <w:t>en</w:t>
        </w:r>
      </w:hyperlink>
      <w:r>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F" w:rsidRDefault="00C526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 w15:restartNumberingAfterBreak="0">
    <w:nsid w:val="0EFB7115"/>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0B7201"/>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4" w15:restartNumberingAfterBreak="0">
    <w:nsid w:val="143D0A16"/>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5" w15:restartNumberingAfterBreak="0">
    <w:nsid w:val="172F0AC5"/>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7B624F"/>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7" w15:restartNumberingAfterBreak="0">
    <w:nsid w:val="2AD02CD0"/>
    <w:multiLevelType w:val="hybridMultilevel"/>
    <w:tmpl w:val="AC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9" w15:restartNumberingAfterBreak="0">
    <w:nsid w:val="2D293CE3"/>
    <w:multiLevelType w:val="multilevel"/>
    <w:tmpl w:val="8D7C4D2A"/>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3"/>
        </w:tabs>
        <w:ind w:left="953" w:hanging="477"/>
      </w:pPr>
      <w:rPr>
        <w:rFonts w:hint="default"/>
      </w:rPr>
    </w:lvl>
    <w:lvl w:ilvl="2">
      <w:start w:val="1"/>
      <w:numFmt w:val="lowerRoman"/>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324F1E"/>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1"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3A7730C4"/>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3" w15:restartNumberingAfterBreak="0">
    <w:nsid w:val="41F05E8F"/>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4" w15:restartNumberingAfterBreak="0">
    <w:nsid w:val="429E662A"/>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072619B"/>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77472E"/>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2"/>
  </w:num>
  <w:num w:numId="4">
    <w:abstractNumId w:val="8"/>
  </w:num>
  <w:num w:numId="5">
    <w:abstractNumId w:val="4"/>
  </w:num>
  <w:num w:numId="6">
    <w:abstractNumId w:val="3"/>
  </w:num>
  <w:num w:numId="7">
    <w:abstractNumId w:val="15"/>
  </w:num>
  <w:num w:numId="8">
    <w:abstractNumId w:val="11"/>
  </w:num>
  <w:num w:numId="9">
    <w:abstractNumId w:val="6"/>
  </w:num>
  <w:num w:numId="10">
    <w:abstractNumId w:val="10"/>
  </w:num>
  <w:num w:numId="11">
    <w:abstractNumId w:val="0"/>
  </w:num>
  <w:num w:numId="12">
    <w:abstractNumId w:val="2"/>
  </w:num>
  <w:num w:numId="13">
    <w:abstractNumId w:val="14"/>
  </w:num>
  <w:num w:numId="14">
    <w:abstractNumId w:val="5"/>
  </w:num>
  <w:num w:numId="15">
    <w:abstractNumId w:val="1"/>
  </w:num>
  <w:num w:numId="16">
    <w:abstractNumId w:val="16"/>
  </w:num>
  <w:num w:numId="17">
    <w:abstractNumId w:val="9"/>
  </w:num>
  <w:num w:numId="18">
    <w:abstractNumId w:val="12"/>
    <w:lvlOverride w:ilvl="0">
      <w:startOverride w:val="1"/>
    </w:lvlOverride>
  </w:num>
  <w:num w:numId="19">
    <w:abstractNumId w:val="1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5ED9CD-C42C-41AE-9F11-BBE10EFAC916"/>
    <w:docVar w:name="LW_COVERPAGE_TYPE" w:val="1"/>
    <w:docVar w:name="LW_CROSSREFERENCE" w:val="{SWD(2019) 13 final}"/>
    <w:docVar w:name="LW_DocType" w:val="EUROLOOK"/>
    <w:docVar w:name="LW_EMISSION" w:val="6.2.2019"/>
    <w:docVar w:name="LW_EMISSION_ISODATE" w:val="2019-02-06"/>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64?\u1077?\u1089?\u1090?\u1080? \u1076?\u1086?\u1082?\u1083?\u1072?\u1076? \u1086?\u1090?\u1085?\u1086?\u1089?\u1085?\u1086? \u1085?\u1072?\u1073?\u1083?\u1102?\u1076?\u1077?\u1085?\u1080?\u1077?\u1090?\u1086? \u1085?\u1072? \u1088?\u1072?\u1079?\u1074?\u1080?\u1090?\u1080?\u1077?\u1090?\u1086? \u1085?\u1072? \u1078?\u1077?\u1083?\u1077?\u1079?\u1086?\u1087?\u1098?\u1090?\u1085?\u1080?\u1103? \u1087?\u1072?\u1079?\u1072?\u1088?&lt;/FMT&gt;"/>
    <w:docVar w:name="LW_TYPE.DOC.CP" w:val="\u1044?\u1054?\u1050?\u1051?\u1040?\u1044? \u1053?\u1040? \u1050?\u1054?\u1052?\u1048?\u1057?\u1048?\u1071?\u1058?\u1040? \u1044?\u1054? \u1045?\u1042?\u1056?\u1054?\u1055?\u1045?\u1049?\u1057?\u1050?\u1048?\u1071? \u1055?\u1040?\u1056?\u1051?\u1040?\u1052?\u1045?\u1053?\u1058? \u1048? \u1057?\u1066?\u1042?\u1045?\u1058?\u1040?"/>
  </w:docVars>
  <w:rsids>
    <w:rsidRoot w:val="00C526EF"/>
    <w:rsid w:val="00C526EF"/>
    <w:rsid w:val="00F375D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FF6ADE-F007-4CC4-A500-6A6474FC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ne-NP"/>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bidi="ar-SA"/>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ar-SA"/>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ar-SA"/>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ar-SA"/>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lang w:bidi="ar-SA"/>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lang w:eastAsia="en-US"/>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bidi="ar-SA"/>
    </w:rPr>
  </w:style>
  <w:style w:type="character" w:styleId="Hyperlink">
    <w:name w:val="Hyperlink"/>
    <w:basedOn w:val="DefaultParagraphFont"/>
    <w:uiPriority w:val="99"/>
    <w:unhideWhenUsed/>
    <w:rPr>
      <w:color w:val="0000FF"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7" Type="http://schemas.openxmlformats.org/officeDocument/2006/relationships/hyperlink" Target="https://ec.europa.eu/transport/modes/road/news/2017-05-31-europe-on-the-move_en"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18_en" TargetMode="External"/><Relationship Id="rId6" Type="http://schemas.openxmlformats.org/officeDocument/2006/relationships/hyperlink" Target="https://shift2rail.org/" TargetMode="External"/><Relationship Id="rId5" Type="http://schemas.openxmlformats.org/officeDocument/2006/relationships/hyperlink" Target="https://ec.europa.eu/info/publications/180308-action-plan-sustainable-growth_en" TargetMode="External"/><Relationship Id="rId4" Type="http://schemas.openxmlformats.org/officeDocument/2006/relationships/hyperlink" Target="http://ec.europa.eu/commfrontoffice/publicopinion/index.cfm/survey/getsurveydetail/instruments/flash/surveyky/21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10.0.37611.0</Version>
    <Date>2018-10-01T09:48:22</Date>
    <Language>EN</Language>
  </Created>
  <Edited>
    <Version>10.0.38495.0</Version>
    <Date>2019-01-28T13:30:05</Date>
  </Edited>
  <DocumentModel>
    <Id>6cbda13a-4db2-46c6-876a-ef72275827ef</Id>
    <Name>Report</Name>
  </DocumentModel>
  <DocumentDate>2018-10-01T09:48:22</DocumentDate>
  <DocumentVersion>0.1</DocumentVersion>
  <CompatibilityMode>Eurolook10</CompatibilityMode>
  <Address/>
</EurolookProperties>
</file>

<file path=customXml/item2.xml><?xml version="1.0" encoding="utf-8"?>
<Author Role="Creator">
  <Id>e3e116ba-53db-4705-8bbc-cc18ae875af9</Id>
  <Names>
    <Latin>
      <FirstName>Carla</FirstName>
      <LastName>PACE</LastName>
    </Latin>
    <Greek>
      <FirstName/>
      <LastName/>
    </Greek>
    <Cyrillic>
      <FirstName/>
      <LastName/>
    </Cyrillic>
    <DocumentScript>
      <FirstName>Carla</FirstName>
      <LastName>PACE</LastName>
      <FullName>Carla PACE</FullName>
    </DocumentScript>
  </Names>
  <Initials>CP</Initials>
  <Gender>f</Gender>
  <Email>Carla.PACE@ec.europa.eu</Email>
  <Service>MOVE.DDG2.C.3</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0f556b5a-db22-482b-9531-42d09d029210</Id>
    <LogicalLevel>3</LogicalLevel>
    <Name>MOVE.DDG2.C.3</Name>
    <HeadLine1>C.3 - Single European Rail Area</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+32 229 87798</Phone>
    <Office>DM28 04/020</Office>
  </MainWorkplace>
  <Workplaces>
    <Workplace IsMain="false">
      <AddressId>1264fb81-f6bb-475e-9f9d-a937d3be6ee2</AddressId>
      <Fax/>
      <Phone/>
      <Office/>
    </Workplace>
    <Workplace IsMain="true">
      <AddressId>f03b5801-04c9-4931-aa17-c6d6c70bc579</AddressId>
      <Fax/>
      <Phone/>
      <Office>DM28 04/020</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9484566-AEBD-49A7-A36A-BEF26C14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23</Pages>
  <Words>4488</Words>
  <Characters>25588</Characters>
  <Application>Microsoft Office Word</Application>
  <DocSecurity>0</DocSecurity>
  <PresentationFormat>Microsoft Word 14.0</PresentationFormat>
  <Lines>213</Lines>
  <Paragraphs>60</Paragraphs>
  <ScaleCrop>true</ScaleCrop>
  <HeadingPairs>
    <vt:vector size="2" baseType="variant">
      <vt:variant>
        <vt:lpstr>Title</vt:lpstr>
      </vt:variant>
      <vt:variant>
        <vt:i4>1</vt:i4>
      </vt:variant>
    </vt:vector>
  </HeadingPairs>
  <TitlesOfParts>
    <vt:vector size="1" baseType="lpstr">
      <vt:lpstr>REPORT FROM THE COMMISSION TO THE EUROPEAN PARLIAMENT AND THE COUNCIL</vt:lpstr>
    </vt:vector>
  </TitlesOfParts>
  <Manager/>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 THE COUNCIL</dc:title>
  <dc:subject>Sixth report on monitoring development of the rail market</dc:subject>
  <dc:creator/>
  <cp:lastModifiedBy>LAGES CARVALHO Patrick (SG)</cp:lastModifiedBy>
  <cp:revision>19</cp:revision>
  <cp:lastPrinted>2018-12-17T13:17:00Z</cp:lastPrinted>
  <dcterms:created xsi:type="dcterms:W3CDTF">2019-01-22T11:58:00Z</dcterms:created>
  <dcterms:modified xsi:type="dcterms:W3CDTF">2019-01-28T12:30:00Z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