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4E6691-72CE-44C6-A9E4-73F0A98DABE5"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określającej stanowisko, jakie ma zostać zajęte w imieniu Unii na Konferencji Stron konwencji sztokholmskiej w związku z przewidywanym przyjęciem decyzji dotyczących zmian załączników A i B polegających na włączeniu kolejnych chemikaliów i zmianie istniejących pozycji.</w:t>
      </w:r>
    </w:p>
    <w:p>
      <w:pPr>
        <w:pStyle w:val="ManualHeading1"/>
        <w:rPr>
          <w:noProof/>
        </w:rPr>
      </w:pPr>
      <w:r>
        <w:t>2.</w:t>
      </w:r>
      <w:r>
        <w:tab/>
      </w:r>
      <w:r>
        <w:rPr>
          <w:noProof/>
        </w:rPr>
        <w:t>Kontekst wniosku</w:t>
      </w:r>
    </w:p>
    <w:p>
      <w:pPr>
        <w:pStyle w:val="ManualHeading2"/>
        <w:rPr>
          <w:noProof/>
        </w:rPr>
      </w:pPr>
      <w:r>
        <w:t>2.1.</w:t>
      </w:r>
      <w:r>
        <w:tab/>
      </w:r>
      <w:r>
        <w:rPr>
          <w:noProof/>
        </w:rPr>
        <w:t>Konwencja sztokholmska</w:t>
      </w:r>
    </w:p>
    <w:p>
      <w:pPr>
        <w:rPr>
          <w:rFonts w:eastAsia="Arial Unicode MS"/>
          <w:noProof/>
        </w:rPr>
      </w:pPr>
      <w:r>
        <w:rPr>
          <w:noProof/>
        </w:rPr>
        <w:t>Konwencja sztokholmska w sprawie trwałych zanieczyszczeń organicznych (zwana dalej „konwencją”) ma na celu ochronę zdrowia ludzkiego i środowiska przed trwałymi zanieczyszczeniami organicznymi (TZO). Konwencja tworzy prawnie wiążące zobowiązania stron do wprowadzania środków w celu wyeliminowania lub ograniczenia produkcji i stosowania oraz przywozu i wywozu TZO. Strony są również zobowiązane do wprowadzenia środków mających na celu ograniczenie lub wyeliminowanie uwolnień z niezamierzonej produkcji TZO oraz uwolnień z zapasów i odpadów.</w:t>
      </w:r>
    </w:p>
    <w:p>
      <w:pPr>
        <w:rPr>
          <w:rFonts w:eastAsia="Arial Unicode MS"/>
          <w:noProof/>
        </w:rPr>
      </w:pPr>
      <w:r>
        <w:rPr>
          <w:noProof/>
        </w:rPr>
        <w:t>Przedmiotowa umowa weszła w życie w dniu 24 lutego 2004 r.</w:t>
      </w:r>
    </w:p>
    <w:p>
      <w:pPr>
        <w:rPr>
          <w:rFonts w:eastAsiaTheme="majorEastAsia"/>
          <w:noProof/>
        </w:rPr>
      </w:pPr>
      <w:r>
        <w:rPr>
          <w:noProof/>
        </w:rPr>
        <w:t>Unia Europejska i wszystkie 27 państw członkowskich są stronami tej konwencji</w:t>
      </w:r>
      <w:r>
        <w:rPr>
          <w:rStyle w:val="FootnoteReference"/>
          <w:noProof/>
        </w:rPr>
        <w:footnoteReference w:id="2"/>
      </w:r>
      <w:r>
        <w:rPr>
          <w:noProof/>
        </w:rPr>
        <w:t>.</w:t>
      </w:r>
    </w:p>
    <w:p>
      <w:pPr>
        <w:pStyle w:val="ManualHeading2"/>
        <w:rPr>
          <w:noProof/>
        </w:rPr>
      </w:pPr>
      <w:r>
        <w:t>2.2.</w:t>
      </w:r>
      <w:r>
        <w:tab/>
      </w:r>
      <w:r>
        <w:rPr>
          <w:noProof/>
        </w:rPr>
        <w:t>Konferencja Stron konwencji sztokholmskiej</w:t>
      </w:r>
    </w:p>
    <w:p>
      <w:pPr>
        <w:rPr>
          <w:rFonts w:eastAsia="Arial Unicode MS"/>
          <w:noProof/>
        </w:rPr>
      </w:pPr>
      <w:r>
        <w:rPr>
          <w:noProof/>
        </w:rPr>
        <w:t>Zgodnie z art. 19 konwencji Konferencja Stron jest organem zarządzającym konwencji sztokholmskiej. Organ ten zbiera się zwykle co dwa lata i monitoruje realizację konwencji. Dokonuje on również przeglądu chemikaliów zgłoszonych mu do rozpatrzenia przez Komitet ds. Przeglądu Trwałych Zanieczyszczeń Organicznych.</w:t>
      </w:r>
    </w:p>
    <w:p>
      <w:pPr>
        <w:rPr>
          <w:rFonts w:eastAsia="Arial Unicode MS"/>
          <w:noProof/>
        </w:rPr>
      </w:pPr>
      <w:r>
        <w:rPr>
          <w:noProof/>
        </w:rPr>
        <w:t>Zgodnie z art. 23 konwencji każda ze stron dysponuje jednym głosem. Jednakże regionalne organizacje integracji gospodarczej, takie jak UE, dysponują liczbą głosów równą liczbie państw członkowskich będących stronami konwencji.</w:t>
      </w:r>
    </w:p>
    <w:p>
      <w:pPr>
        <w:pStyle w:val="ManualHeading2"/>
        <w:rPr>
          <w:noProof/>
        </w:rPr>
      </w:pPr>
      <w:r>
        <w:t>2.3.</w:t>
      </w:r>
      <w:r>
        <w:tab/>
      </w:r>
      <w:r>
        <w:rPr>
          <w:noProof/>
        </w:rPr>
        <w:t>Planowany akt Konferencji Stron</w:t>
      </w:r>
    </w:p>
    <w:p>
      <w:pPr>
        <w:rPr>
          <w:rFonts w:eastAsia="Arial Unicode MS"/>
          <w:noProof/>
        </w:rPr>
      </w:pPr>
      <w:r>
        <w:rPr>
          <w:noProof/>
        </w:rPr>
        <w:t>Podczas dziewiątego posiedzenia zwykłego, które odbędzie się w dniach od 29 kwietnia do 10 maja 2019 r., Konferencja Stron rozważy przyjęcie decyzji o włączeniu kolejnych substancji chemicznych lub zmianie istniejących pozycji w załącznikach A, B lub C do konwencji.</w:t>
      </w:r>
    </w:p>
    <w:p>
      <w:pPr>
        <w:rPr>
          <w:rFonts w:eastAsia="Arial Unicode MS"/>
          <w:noProof/>
        </w:rPr>
      </w:pPr>
      <w:r>
        <w:rPr>
          <w:noProof/>
        </w:rPr>
        <w:t>Celem planowanych aktów jest włączenie kolejnych substancji chemicznych lub zmiana istniejących pozycji w załącznikach A, B lub C do konwencji. Umieszczenie w wykazie w załącznikach A, B lub C powoduje, że chemikalia będą podlegały środkom mającym na celu wyeliminowanie lub ograniczenie ich produkcji i stosowania, w tym ograniczenie lub wyeliminowanie niezamierzonych uwolnień. Zmiana istniejących wpisów ma na celu zmniejszenie liczby wyłączeń ze środków kontroli.</w:t>
      </w:r>
    </w:p>
    <w:p>
      <w:pPr>
        <w:rPr>
          <w:rFonts w:eastAsia="Arial Unicode MS"/>
          <w:noProof/>
        </w:rPr>
      </w:pPr>
      <w:r>
        <w:rPr>
          <w:noProof/>
        </w:rPr>
        <w:t>Planowane akty prawne staną się wiążące dla stron zgodnie z art. 22 ust. 4 konwencji, który stanowi: „Propozycja, przyjęcie i wejście w życie poprawek do załącznika A, B lub C podlega tej samej procedurze, co propozycja, przyjęcie i wejście w życie dodatkowych załączników do niniejszej konwencji, z zastrzeżeniem, że poprawka do załącznika A, B lub C nie wejdzie w życie w odniesieniu do każdej Strony, która złożyła deklarację dotyczącą poprawki do tych załączników, zgodnie z art. 25 ust. 4, a w takim przypadku każda taka poprawka wejdzie w życie w odniesieniu do danej Strony w dziewięćdziesiątym dniu od dnia złożenia przez nią u depozytariusza dokumentu ratyfikacji, przyjęcia lub zatwierdzenia poprawki.”</w:t>
      </w:r>
    </w:p>
    <w:p>
      <w:pPr>
        <w:pStyle w:val="ManualHeading1"/>
        <w:rPr>
          <w:rFonts w:eastAsia="Arial Unicode MS"/>
          <w:noProof/>
        </w:rPr>
      </w:pPr>
      <w:r>
        <w:t>3.</w:t>
      </w:r>
      <w:r>
        <w:tab/>
      </w:r>
      <w:r>
        <w:rPr>
          <w:noProof/>
        </w:rPr>
        <w:t>Stanowisko, jakie ma zostać zajęte w imieniu Unii</w:t>
      </w:r>
    </w:p>
    <w:p>
      <w:pPr>
        <w:rPr>
          <w:noProof/>
        </w:rPr>
      </w:pPr>
      <w:r>
        <w:rPr>
          <w:noProof/>
        </w:rPr>
        <w:t>Komisja proponuje Radzie decyzję o poparciu, w imieniu Unii, decyzji w sprawie zmiany załączników A i B do konwencji podczas dziewiątego posiedzenia Konferencji Stron. W decyzjach tych dodaje się kolejne substancje chemiczne do załącznika A, powodując, że będą one podlegały obowiązkom wynikającym z konwencji, w szczególności ograniczeniu lub wyeliminowaniu uwolnień z zamierzonej produkcji i zamierzonego użycia. Ponadto oczekuje się, że Konferencja Stron przyjmie decyzję, która zniesie lub zmieni niektóre wyłączenia dotyczące stosowania chemikaliów wymienionych już w załączniku B do konwencji.</w:t>
      </w:r>
    </w:p>
    <w:p>
      <w:pPr>
        <w:rPr>
          <w:noProof/>
        </w:rPr>
      </w:pPr>
      <w:r>
        <w:rPr>
          <w:noProof/>
        </w:rPr>
        <w:t>Decyzje przedstawiane Konferencji Stron do przyjęcia opierają się na zaleceniach Komitetu ds. Przeglądu Trwałych Zanieczyszczeń Organicznych – organu pomocniczego podlegającego Konferencji Stron. Stwierdzono, że substancje chemiczne, których włączenie do załącznika A zaleca Komitet ds. Przeglądu Trwałych Zanieczyszczeń Organicznych, spełniają kryteria załącznika D do konwencji. Zalecenia Komitetu ds. Przeglądu Trwałych Zanieczyszczeń Organicznych dotyczące zniesienia lub zmiany wyłączeń przyznanych w odniesieniu do stosowania chemikaliów wymienionych w konwencji opierają się na ocenie dostępnych alternatyw.</w:t>
      </w:r>
    </w:p>
    <w:p>
      <w:pPr>
        <w:rPr>
          <w:noProof/>
        </w:rPr>
      </w:pPr>
      <w:r>
        <w:rPr>
          <w:noProof/>
        </w:rPr>
        <w:t>Dla Unii, jako lidera w polityce ochrony środowiska, szczególnie ważne jest potwierdzenie globalnego zaangażowania w propagowanie lepszego wdrażania wielostronnych umów środowiskowych i norm w tym zakresie. Obejmuje to wspieranie i wdrażanie zaleceń przyjętych przez naukowe organy pomocnicze w odniesieniu do tych umów oraz przestrzeganie kryteriów określonych w umowach, na których oparte są takie zalecenia.</w:t>
      </w:r>
    </w:p>
    <w:p>
      <w:pPr>
        <w:rPr>
          <w:noProof/>
        </w:rPr>
      </w:pPr>
      <w:r>
        <w:rPr>
          <w:noProof/>
        </w:rPr>
        <w:t>Ponadto inicjatywa ta jest zgodna z priorytetem Junckera, jakim jest wzmocnienie pozycji Unii na arenie międzynarodowej, z celami zrównoważonego rozwoju, zwłaszcza w zakresie zdrowia (3) i odpowiedzialnej konsumpcji i produkcji (12), a także z 7. programem działań w zakresie środowiska.</w:t>
      </w:r>
    </w:p>
    <w:p>
      <w:pPr>
        <w:rPr>
          <w:noProof/>
        </w:rPr>
      </w:pPr>
      <w:r>
        <w:rPr>
          <w:noProof/>
        </w:rPr>
        <w:t>Unia powinna zatem poprzeć proponowane decyzje w sprawie włączenia do załącznika A dikofolu i kwasu perfluorooktanowego (PFOA), jego soli i związków pochodnych. Chemikalia te już podlegają ograniczeniom na podstawie przepisów unijnych, które są podobne do tych określonych w konwencji. Stosowanie dikofolu zostało zakazane w Unii rozporządzeniem Komisji (WE) nr 2032/2003</w:t>
      </w:r>
      <w:r>
        <w:rPr>
          <w:rStyle w:val="FootnoteReference"/>
          <w:noProof/>
        </w:rPr>
        <w:footnoteReference w:id="3"/>
      </w:r>
      <w:r>
        <w:rPr>
          <w:noProof/>
        </w:rPr>
        <w:t xml:space="preserve"> i decyzją Komisji 2008/764/WE</w:t>
      </w:r>
      <w:r>
        <w:rPr>
          <w:rStyle w:val="FootnoteReference"/>
          <w:noProof/>
        </w:rPr>
        <w:footnoteReference w:id="4"/>
      </w:r>
      <w:r>
        <w:rPr>
          <w:noProof/>
        </w:rPr>
        <w:t>. Stosowanie kwasu perfluorooktanowego (PFOA), jego soli i związków pochodnych zostało ograniczone rozporządzeniem Komisji (UE) 2017/1000</w:t>
      </w:r>
      <w:r>
        <w:rPr>
          <w:rStyle w:val="FootnoteReference"/>
          <w:noProof/>
        </w:rPr>
        <w:footnoteReference w:id="5"/>
      </w:r>
      <w:r>
        <w:rPr>
          <w:noProof/>
        </w:rPr>
        <w:t>.</w:t>
      </w:r>
    </w:p>
    <w:p>
      <w:pPr>
        <w:rPr>
          <w:noProof/>
        </w:rPr>
      </w:pPr>
      <w:r>
        <w:rPr>
          <w:noProof/>
        </w:rPr>
        <w:t>Zgodnie z decyzją POPRC-14/2 Komitet ds. Przeglądu Trwałych Zanieczyszczeń Organicznych zaleca umieszczenie w wykazie kwasu perfluorooktanowego (PFOA), jego soli i związków pochodnych z pewnymi szczególnymi wyłączeniami. Zalecenie to opiera się na przeglądzie informacji przedłożonych przez strony i zainteresowane podmioty, w tym informacji pochodzących z Unii, i odzwierciedla potrzebę dalszego wykorzystywania PFOA do pewnych szczególnych zastosowań. Unia potrzebuje niektórych szczególnych wyłączeń, jak wykazano w rozporządzeniu Komisji (UE) 2017/1000, które zawiera przepisy umożliwiające dalsze wykorzystywanie PFOA do pewnych szczególnych zastosowań w Unii.</w:t>
      </w:r>
    </w:p>
    <w:p>
      <w:pPr>
        <w:rPr>
          <w:noProof/>
        </w:rPr>
      </w:pPr>
      <w:r>
        <w:rPr>
          <w:noProof/>
        </w:rPr>
        <w:t>Unia powinna również poprzeć usunięcie lub zmianę dopuszczalnych celów i szczególnych wyłączeń w odniesieniu do stosowania kwasu perfluorooktanosulfonowego (PFOS), jego soli oraz fluorku perfluorooktanosulfonylowego (PFOS) w załączniku B. Wszystkie dopuszczalne cele i szczególne wyłączenia, których usunięcie się zaleca, nie są już stosowane w Unii.</w:t>
      </w:r>
    </w:p>
    <w:p>
      <w:pPr>
        <w:rPr>
          <w:noProof/>
        </w:rPr>
      </w:pPr>
      <w:r>
        <w:rPr>
          <w:noProof/>
        </w:rPr>
        <w:t>Należy ustalić stanowisko, jakie ma zostać zajęte w imieniu Unii na Konferencji Stron, ponieważ zmiany w załącznikach A i B będą prawnie wiążące dla Unii i będą musiały znaleźć odzwierciedlenie w rozporządzeniu (WE) nr 850/2004, które wdraża konwencję sztokholmską w Unii.</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na mocy prawa międzynarodowego nie są wiążące, ale mogą „w sposób decydujący wywrzeć wpływ na treść przepisów przyjętych przez prawodawcę Unii”</w:t>
      </w:r>
      <w:r>
        <w:rPr>
          <w:rStyle w:val="FootnoteReference"/>
          <w:noProof/>
        </w:rPr>
        <w:footnoteReference w:id="6"/>
      </w:r>
      <w:r>
        <w:rPr>
          <w:noProof/>
        </w:rPr>
        <w:t>.</w:t>
      </w:r>
    </w:p>
    <w:p>
      <w:pPr>
        <w:pStyle w:val="ManualHeading3"/>
        <w:rPr>
          <w:noProof/>
        </w:rPr>
      </w:pPr>
      <w:r>
        <w:t>4.1.2.</w:t>
      </w:r>
      <w:r>
        <w:tab/>
      </w:r>
      <w:r>
        <w:rPr>
          <w:noProof/>
        </w:rPr>
        <w:t>Zastosowanie w niniejszym przypadku</w:t>
      </w:r>
    </w:p>
    <w:p>
      <w:pPr>
        <w:rPr>
          <w:noProof/>
        </w:rPr>
      </w:pPr>
      <w:r>
        <w:rPr>
          <w:noProof/>
        </w:rPr>
        <w:t>Konferencja Stron jest organem utworzonym na mocy umowy, a mianowicie Konwencji sztokholmskiej w sprawie trwałych zanieczyszczeń organicznych.</w:t>
      </w:r>
    </w:p>
    <w:p>
      <w:pPr>
        <w:rPr>
          <w:noProof/>
        </w:rPr>
      </w:pPr>
      <w:r>
        <w:rPr>
          <w:noProof/>
        </w:rPr>
        <w:t>Akt, który ma zostać przyjęty przez Konferencję Stron, stanowi akt mający skutki prawne. Planowany akt będzie wiążący na mocy prawa międzynarodowego zgodnie z art. 22 ust. 4 konwencji sztokholmskiej i będzie musiał zostać odzwierciedlony w rozporządzeniu (WE) nr 850/2004 Parlamentu Europejskiego i Rady z dnia 29 kwietnia 2004 r. dotyczącym trwałych zanieczyszczeń organicznych i zmieniającym dyrektywę 79/117/EWG</w:t>
      </w:r>
      <w:r>
        <w:rPr>
          <w:rStyle w:val="FootnoteReference"/>
          <w:noProof/>
        </w:rPr>
        <w:footnoteReference w:id="7"/>
      </w:r>
      <w:r>
        <w:rPr>
          <w:noProof/>
        </w:rPr>
        <w:t>. Wynika to z faktu, że art. 14 ust. 1 tego rozporządzenia wymaga zmiany załączników I, II i III za każdym razem, gdy substancja zostaje wymieniona w konwencji.</w:t>
      </w:r>
    </w:p>
    <w:p>
      <w:pPr>
        <w:rPr>
          <w:noProof/>
        </w:rPr>
      </w:pPr>
      <w:r>
        <w:rPr>
          <w:noProof/>
        </w:rPr>
        <w:t>Planowany akt nie uzupełnia, ani nie zmienia ram instytucjonalnych umowy.</w:t>
      </w:r>
    </w:p>
    <w:p>
      <w:pPr>
        <w:rPr>
          <w:noProof/>
        </w:rPr>
      </w:pPr>
      <w:r>
        <w:rPr>
          <w:noProof/>
        </w:rPr>
        <w:t>W związku z tym proceduralną podstawę prawną wnioskowanej decyzji stanowi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być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niniejszym przypadku</w:t>
      </w:r>
    </w:p>
    <w:p>
      <w:pPr>
        <w:rPr>
          <w:noProof/>
        </w:rPr>
      </w:pPr>
      <w:r>
        <w:rPr>
          <w:noProof/>
        </w:rPr>
        <w:t>Główny cel i treść planowanych aktów prawnych odnoszą się do obszaru „środowisko”.</w:t>
      </w:r>
    </w:p>
    <w:p>
      <w:pPr>
        <w:rPr>
          <w:i/>
          <w:noProof/>
        </w:rPr>
      </w:pPr>
      <w:r>
        <w:rPr>
          <w:noProof/>
        </w:rPr>
        <w:t>Materialną podstawą prawną wnioskowanej decyzji jest zatem art. 192 ust. 1 TFUE.</w:t>
      </w:r>
    </w:p>
    <w:p>
      <w:pPr>
        <w:pStyle w:val="ManualHeading2"/>
        <w:rPr>
          <w:noProof/>
        </w:rPr>
      </w:pPr>
      <w:r>
        <w:t>4.3.</w:t>
      </w:r>
      <w:r>
        <w:tab/>
      </w:r>
      <w:r>
        <w:rPr>
          <w:noProof/>
        </w:rPr>
        <w:t>Podsumowanie</w:t>
      </w:r>
    </w:p>
    <w:p>
      <w:pPr>
        <w:rPr>
          <w:noProof/>
        </w:rPr>
      </w:pPr>
      <w:r>
        <w:rPr>
          <w:noProof/>
        </w:rPr>
        <w:t>Podstawą prawną proponowanej decyzji powinien być zatem art. 192 ust. 1 w związku z art. 218 ust. 9 TFUE.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2019/0025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ma zostać zajęte w imieniu Unii Europejskiej podczas dziewiątego posiedzenia Konferencji Stron Konwencji sztokholmskiej w sprawie trwałych zanieczyszczeń organicznych w odniesieniu do wniosków dotyczących wprowadzenia zmian do załączników A i B</w:t>
      </w:r>
    </w:p>
    <w:p>
      <w:pPr>
        <w:pStyle w:val="Institutionquiagit"/>
        <w:rPr>
          <w:b/>
          <w:noProof/>
        </w:rPr>
      </w:pPr>
      <w:r>
        <w:rPr>
          <w:b/>
          <w:noProof/>
        </w:rPr>
        <w:t>RADA UNII EUROPEJSKIEJ,</w:t>
      </w:r>
    </w:p>
    <w:p>
      <w:pPr>
        <w:rPr>
          <w:noProof/>
        </w:rPr>
      </w:pPr>
      <w:r>
        <w:rPr>
          <w:noProof/>
        </w:rPr>
        <w:t>uwzględniając Traktat o funkcjonowaniu Unii Europejskiej, w szczególności jego art. 192 ust. 1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Konwencja sztokholmska w sprawie trwałych zanieczyszczeń organicznych (zwana dalej „konwencją”) weszła w życie w dniu 17 maja 2004 r. i została zawarta w imieniu Unii decyzją Rady 2006/507/WE</w:t>
      </w:r>
      <w:r>
        <w:rPr>
          <w:rStyle w:val="FootnoteReference"/>
          <w:noProof/>
        </w:rPr>
        <w:footnoteReference w:id="8"/>
      </w:r>
      <w:r>
        <w:rPr>
          <w:noProof/>
        </w:rPr>
        <w:t>.</w:t>
      </w:r>
    </w:p>
    <w:p>
      <w:pPr>
        <w:pStyle w:val="ManualConsidrant"/>
        <w:rPr>
          <w:noProof/>
        </w:rPr>
      </w:pPr>
      <w:r>
        <w:t>(2)</w:t>
      </w:r>
      <w:r>
        <w:tab/>
      </w:r>
      <w:r>
        <w:rPr>
          <w:noProof/>
        </w:rPr>
        <w:t>Konwencję sztokholmską wdraża w Unii rozporządzenie Parlamentu Europejskiego i Rady (WE) nr 850/2004 z dnia 29 kwietnia 2004 r.</w:t>
      </w:r>
      <w:r>
        <w:rPr>
          <w:rStyle w:val="FootnoteReference"/>
          <w:noProof/>
        </w:rPr>
        <w:footnoteReference w:id="9"/>
      </w:r>
    </w:p>
    <w:p>
      <w:pPr>
        <w:pStyle w:val="ManualConsidrant"/>
        <w:rPr>
          <w:noProof/>
        </w:rPr>
      </w:pPr>
      <w:r>
        <w:t>(3)</w:t>
      </w:r>
      <w:r>
        <w:tab/>
      </w:r>
      <w:r>
        <w:rPr>
          <w:noProof/>
        </w:rPr>
        <w:t>Zgodnie z art. 8 Konwencji Konferencja Stron decyduje, czy należy umieścić substancję chemiczną w załącznikach A, B lub C oraz określa odnoszące się do niej środki kontrolne.</w:t>
      </w:r>
    </w:p>
    <w:p>
      <w:pPr>
        <w:pStyle w:val="ManualConsidrant"/>
        <w:rPr>
          <w:noProof/>
        </w:rPr>
      </w:pPr>
      <w:r>
        <w:t>(4)</w:t>
      </w:r>
      <w:r>
        <w:tab/>
      </w:r>
      <w:r>
        <w:rPr>
          <w:noProof/>
        </w:rPr>
        <w:t>Na swoim dziewiątym posiedzeniu Konferencja Stron konwencji sztokholmskiej ma przyjąć decyzje o włączeniu kolejnych substancji chemicznych do załącznika A i zmianie istniejących pozycji w załączniku B.</w:t>
      </w:r>
    </w:p>
    <w:p>
      <w:pPr>
        <w:pStyle w:val="ManualConsidrant"/>
        <w:rPr>
          <w:noProof/>
        </w:rPr>
      </w:pPr>
      <w:r>
        <w:t>(5)</w:t>
      </w:r>
      <w:r>
        <w:tab/>
      </w:r>
      <w:r>
        <w:rPr>
          <w:noProof/>
        </w:rPr>
        <w:t>Należy ustalić stanowisko, jakie ma zostać zajęte w imieniu Unii w ramach Konferencji Stron</w:t>
      </w:r>
      <w:r>
        <w:t>,</w:t>
      </w:r>
      <w:r>
        <w:rPr>
          <w:noProof/>
        </w:rPr>
        <w:t xml:space="preserve"> ponieważ te decyzje będą wiążące dla Unii.</w:t>
      </w:r>
    </w:p>
    <w:p>
      <w:pPr>
        <w:pStyle w:val="ManualConsidrant"/>
        <w:rPr>
          <w:noProof/>
        </w:rPr>
      </w:pPr>
      <w:r>
        <w:t>(6)</w:t>
      </w:r>
      <w:r>
        <w:tab/>
      </w:r>
      <w:r>
        <w:rPr>
          <w:noProof/>
        </w:rPr>
        <w:t>W celu ochrony zdrowia ludzkiego i środowiska naturalnego przed dalszymi uwolnieniami dikofolu i kwasu perfluorooktanowego (PFOA), jego soli i związków pochodnych należy ograniczyć lub wyeliminować produkcję i stosowanie tych chemikaliów na poziomie międzynarodowym oraz poprzeć ich umieszczenie w wykazie znajdującym się w konwencji. Ponadto konieczne jest dalsze ograniczenie lub wyeliminowanie stosowania kwasu perfluorooktanosulfonowego (PFOS), jego soli oraz fluorku perfluorooktanosulfonylowego (PFOS) przez usunięcie lub zmianę dopuszczalnych celów i szczególnych wyłączeń w załączniku B,</w:t>
      </w:r>
    </w:p>
    <w:p>
      <w:pPr>
        <w:pStyle w:val="Formuledadoption"/>
        <w:rPr>
          <w:noProof/>
        </w:rPr>
      </w:pPr>
      <w:r>
        <w:rPr>
          <w:noProof/>
        </w:rPr>
        <w:t>PRZYJMUJE NINIEJSZĄ DECYZJĘ:</w:t>
      </w:r>
    </w:p>
    <w:p>
      <w:pPr>
        <w:pStyle w:val="Titrearticle"/>
        <w:rPr>
          <w:noProof/>
        </w:rPr>
      </w:pPr>
      <w:r>
        <w:rPr>
          <w:noProof/>
        </w:rPr>
        <w:t>Artykuł 1</w:t>
      </w:r>
    </w:p>
    <w:p>
      <w:pPr>
        <w:pStyle w:val="ManualNumPar1"/>
        <w:rPr>
          <w:noProof/>
        </w:rPr>
      </w:pPr>
      <w:r>
        <w:t>1.</w:t>
      </w:r>
      <w:r>
        <w:tab/>
      </w:r>
      <w:r>
        <w:rPr>
          <w:noProof/>
        </w:rPr>
        <w:t>Stanowiskiem, jakie ma zostać zajęte w imieniu Unii podczas dziewiątego posiedzenia Konferencji Stron konwencji sztokholmskiej zgodnie z odpowiednimi zaleceniami Komitetu ds. Przeglądu Trwałych Zanieczyszczeń Organicznych, jest poparcie:</w:t>
      </w:r>
    </w:p>
    <w:p>
      <w:pPr>
        <w:pStyle w:val="Tiret1"/>
        <w:numPr>
          <w:ilvl w:val="0"/>
          <w:numId w:val="9"/>
        </w:numPr>
        <w:rPr>
          <w:noProof/>
        </w:rPr>
      </w:pPr>
      <w:r>
        <w:rPr>
          <w:noProof/>
        </w:rPr>
        <w:t>umieszczenia dikofolu w wykazie znajdującym się w załączniku A do konwencji bez szczególnych wyłączeń;</w:t>
      </w:r>
    </w:p>
    <w:p>
      <w:pPr>
        <w:pStyle w:val="Tiret1"/>
        <w:rPr>
          <w:noProof/>
        </w:rPr>
      </w:pPr>
      <w:r>
        <w:rPr>
          <w:noProof/>
        </w:rPr>
        <w:t>umieszczenie w wykazie w załączniku A kwasu perfluorooktanowego (PFOA), jego soli i związków pochodnych ze szczególnymi wyłączeniami dla produkcji półprzewodników lub powiązanych urządzeń elektronicznych, powłok fotograficznych stosowanych do filmów, materiałów włókienniczych zapewniających wodoodporność i nieprzepuszczalność ropy naftowej w celu ochrony pracowników przed niebezpiecznymi płynami, które stanowią zagrożenie dla ich zdrowia i bezpieczeństwa, inwazyjnych i przeznaczonych do implantacji wyrobów medycznych, pianowych urządzeń gaśniczych do eliminowania par paliwa ciekłego i pożarów paliw płynnych;</w:t>
      </w:r>
    </w:p>
    <w:p>
      <w:pPr>
        <w:pStyle w:val="Tiret1"/>
        <w:rPr>
          <w:noProof/>
        </w:rPr>
      </w:pPr>
      <w:r>
        <w:rPr>
          <w:noProof/>
        </w:rPr>
        <w:t xml:space="preserve">usunięcia następujących „dopuszczalnych celów” z wpisu dotyczącego kwasu perfluorooktanosulfonowego (PFOS) i jego pochodnych w załączniku B do konwencji: obrazowanie fotograficzne, ciecze hydrauliczne na potrzeby lotnictwa, niektóre wyroby medyczne (takie jak warstwy kopolimeru etylenu/tetrafluoroetylenu (ETFE) i produkcja ETFE nieprzepuszczalnego dla promieni rentgenowskich, wyroby medyczne do diagnostyki </w:t>
      </w:r>
      <w:r>
        <w:rPr>
          <w:i/>
          <w:noProof/>
        </w:rPr>
        <w:t>in vitro</w:t>
      </w:r>
      <w:r>
        <w:rPr>
          <w:noProof/>
        </w:rPr>
        <w:t xml:space="preserve"> oraz filtry barwne CCD), powłoki fotolitograficzne i antyrefleksyjne dla półprzewodników, czynniki do wytrawiania dla złożonych półprzewodników i filtrów ceramicznych;</w:t>
      </w:r>
    </w:p>
    <w:p>
      <w:pPr>
        <w:pStyle w:val="Tiret1"/>
        <w:rPr>
          <w:noProof/>
        </w:rPr>
      </w:pPr>
      <w:r>
        <w:rPr>
          <w:noProof/>
        </w:rPr>
        <w:t>usunięcia następujących „szczególnych wyłączeń” z wpisu dotyczącego kwasu perfluorooktanosulfonowego (PFOS) i jego pochodnych w załączniku B do konwencji: maski fotograficzne w półprzewodnikach i w wyświetlaczach ciekłokrystalicznych (LCD), platerowanie (platerowanie twarde i platerowanie dekoracyjne), części elektryczne i elektroniczne do niektórych drukarek kolorowych i urządzeń do kopiowania kolorów, insektycydy do zwalczania mrówek ogniowych i termitów, chemiczna produkcja oleju napędowego;</w:t>
      </w:r>
    </w:p>
    <w:p>
      <w:pPr>
        <w:pStyle w:val="Tiret1"/>
        <w:rPr>
          <w:noProof/>
        </w:rPr>
      </w:pPr>
      <w:r>
        <w:rPr>
          <w:noProof/>
        </w:rPr>
        <w:t>zmiany „dopuszczalnego celu” w odniesieniu (PFOS) i jego pochodnych do produkcji pianowych urządzeń gaśniczych na „szczególne wyłączenie” w odniesieniu do stosowania pianowych urządzeń gaśniczych do eliminowania par paliwa ciekłego i pożarów paliw płynnych;</w:t>
      </w:r>
    </w:p>
    <w:p>
      <w:pPr>
        <w:pStyle w:val="Tiret1"/>
        <w:rPr>
          <w:noProof/>
        </w:rPr>
      </w:pPr>
      <w:r>
        <w:rPr>
          <w:noProof/>
        </w:rPr>
        <w:t xml:space="preserve">zmiany „dopuszczalnego celu” w odniesieniu do stosowania w przynętach dla owadów do zwalczania mrówek z gatunków </w:t>
      </w:r>
      <w:r>
        <w:rPr>
          <w:i/>
          <w:noProof/>
        </w:rPr>
        <w:t>Atta</w:t>
      </w:r>
      <w:r>
        <w:rPr>
          <w:noProof/>
        </w:rPr>
        <w:t xml:space="preserve"> spp. i </w:t>
      </w:r>
      <w:r>
        <w:rPr>
          <w:i/>
          <w:noProof/>
        </w:rPr>
        <w:t>Acromyrmex</w:t>
      </w:r>
      <w:r>
        <w:rPr>
          <w:noProof/>
        </w:rPr>
        <w:t xml:space="preserve"> spp. poprzez włączenie sulfluramidu i uściślenie, że „dopuszczalny cel” odnosi się wyłącznie do celów rolniczych.</w:t>
      </w:r>
    </w:p>
    <w:p>
      <w:pPr>
        <w:pStyle w:val="ManualNumPar1"/>
        <w:rPr>
          <w:noProof/>
        </w:rPr>
      </w:pPr>
      <w:r>
        <w:t>2.</w:t>
      </w:r>
      <w:r>
        <w:tab/>
      </w:r>
      <w:r>
        <w:rPr>
          <w:noProof/>
        </w:rPr>
        <w:t>W zależności od rozwoju sytuacji na dziewiątym posiedzeniu Konferencji Stron konwencji sztokholmskiej przedstawiciele Unii w porozumieniu z państwami członkowskimi mogą uzgodnić doprecyzowanie tego stanowiska w wyniku koordynacji na miejscu, bez kolejnej decyzji Rady.</w:t>
      </w:r>
    </w:p>
    <w:p>
      <w:pPr>
        <w:pStyle w:val="Titrearticle"/>
        <w:rPr>
          <w:noProof/>
        </w:rPr>
      </w:pPr>
      <w:r>
        <w:rPr>
          <w:noProof/>
        </w:rPr>
        <w:t>Artykuł 2</w:t>
      </w:r>
    </w:p>
    <w:p>
      <w:pPr>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L 209 z 31.7.2006, s. 1.</w:t>
      </w:r>
    </w:p>
  </w:footnote>
  <w:footnote w:id="3">
    <w:p>
      <w:pPr>
        <w:pStyle w:val="FootnoteText"/>
      </w:pPr>
      <w:r>
        <w:rPr>
          <w:rStyle w:val="FootnoteReference"/>
        </w:rPr>
        <w:footnoteRef/>
      </w:r>
      <w:r>
        <w:tab/>
        <w:t>Rozporządzenie Komisji (WE) nr 2032/2003 z dnia 4 listopada 2003 r. w sprawie drugiej fazy 10-letniego programu pracy określonego w art. 16 ust. 2 dyrektywy 98/8/WE Parlamentu Europejskiego i Rady dotyczącej wprowadzania do obrotu produktów biobójczych oraz zmieniające rozporządzenie (WE) nr 1896/2000 (Dz.U. L 307 z 24.11.2003, s. 1).</w:t>
      </w:r>
    </w:p>
  </w:footnote>
  <w:footnote w:id="4">
    <w:p>
      <w:pPr>
        <w:pStyle w:val="FootnoteText"/>
      </w:pPr>
      <w:r>
        <w:rPr>
          <w:rStyle w:val="FootnoteReference"/>
        </w:rPr>
        <w:footnoteRef/>
      </w:r>
      <w:r>
        <w:tab/>
        <w:t>Decyzja Komisji 2008/764/WE z dnia 30 września 2008 r. dotycząca niewłączenia dikofolu do załącznika I do dyrektywy Rady 91/414/EWG oraz cofnięcia zezwoleń na środki ochrony roślin zawierające tę substancję (Dz.U. L 262 z 1.10.2008, s. 40).</w:t>
      </w:r>
    </w:p>
  </w:footnote>
  <w:footnote w:id="5">
    <w:p>
      <w:pPr>
        <w:pStyle w:val="FootnoteText"/>
      </w:pPr>
      <w:r>
        <w:rPr>
          <w:rStyle w:val="FootnoteReference"/>
        </w:rPr>
        <w:footnoteRef/>
      </w:r>
      <w:r>
        <w:tab/>
        <w:t>Rozporządzenie Komisji (UE) 2017/1000 z dnia 13 czerwca 2017 r. zmieniające załącznik XVII do rozporządzenia (WE) nr 1907/2006 Parlamentu Europejskiego i Rady w sprawie rejestracji, oceny, udzielania zezwoleń i stosowanych ograniczeń w zakresie chemikaliów (REACH) w odniesieniu do kwasu perfluorooktanowego (PFOA), jego soli i substancji pochodnych (Dz.U. L 150 z 14.6.2017, s. 14).</w:t>
      </w:r>
    </w:p>
  </w:footnote>
  <w:footnote w:id="6">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 w:id="7">
    <w:p>
      <w:pPr>
        <w:pStyle w:val="FootnoteText"/>
      </w:pPr>
      <w:r>
        <w:rPr>
          <w:rStyle w:val="FootnoteReference"/>
        </w:rPr>
        <w:footnoteRef/>
      </w:r>
      <w:r>
        <w:tab/>
        <w:t>Dz.U. L 158 z 30.4.2004, s. 7.</w:t>
      </w:r>
    </w:p>
  </w:footnote>
  <w:footnote w:id="8">
    <w:p>
      <w:pPr>
        <w:pStyle w:val="FootnoteText"/>
      </w:pPr>
      <w:r>
        <w:rPr>
          <w:rStyle w:val="FootnoteReference"/>
        </w:rPr>
        <w:footnoteRef/>
      </w:r>
      <w:r>
        <w:tab/>
        <w:t>Decyzja Rady 2006/507/WE z dnia 14 października 2004 r. dotycząca zawarcia, w imieniu Wspólnoty Europejskiej, Konwencji sztokholmskiej w sprawie trwałych zanieczyszczeń organicznych (Dz.U. L 209 z 31.7.2006, s. 1).</w:t>
      </w:r>
    </w:p>
  </w:footnote>
  <w:footnote w:id="9">
    <w:p>
      <w:pPr>
        <w:pStyle w:val="FootnoteText"/>
      </w:pPr>
      <w:r>
        <w:rPr>
          <w:rStyle w:val="FootnoteReference"/>
        </w:rPr>
        <w:footnoteRef/>
      </w:r>
      <w:r>
        <w:tab/>
        <w:t>Rozporządzenie (WE) nr 850/2004 Parlamentu Europejskiego i Rady z dnia 29 kwietnia 2004 r. dotyczące trwałych zanieczyszczeń organicznych i zmieniające dyrektywę 79/117/EWG (Dz.U. L 158 z 30.4.2004,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5E5B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F85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94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726F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684E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B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E29E48"/>
    <w:lvl w:ilvl="0">
      <w:start w:val="1"/>
      <w:numFmt w:val="decimal"/>
      <w:pStyle w:val="ListNumber"/>
      <w:lvlText w:val="%1."/>
      <w:lvlJc w:val="left"/>
      <w:pPr>
        <w:tabs>
          <w:tab w:val="num" w:pos="360"/>
        </w:tabs>
        <w:ind w:left="360" w:hanging="360"/>
      </w:pPr>
    </w:lvl>
  </w:abstractNum>
  <w:abstractNum w:abstractNumId="7">
    <w:nsid w:val="FFFFFF89"/>
    <w:multiLevelType w:val="singleLevel"/>
    <w:tmpl w:val="AC5013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5 18:02: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4E6691-72CE-44C6-A9E4-73F0A98DABE5"/>
    <w:docVar w:name="LW_COVERPAGE_TYPE" w:val="1"/>
    <w:docVar w:name="LW_CROSSREFERENCE" w:val="&lt;UNUSED&gt;"/>
    <w:docVar w:name="LW_DocType" w:val="COM"/>
    <w:docVar w:name="LW_EMISSION" w:val="6.2.2019"/>
    <w:docVar w:name="LW_EMISSION_ISODATE" w:val="2019-02-06"/>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25"/>
    <w:docVar w:name="LW_REF.II.NEW.CP_YEAR" w:val="2019"/>
    <w:docVar w:name="LW_REF.INST.NEW" w:val="COM"/>
    <w:docVar w:name="LW_REF.INST.NEW_ADOPTED" w:val="final"/>
    <w:docVar w:name="LW_REF.INST.NEW_TEXT" w:val="(2019) 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stanowiska, jakie ma zosta\u263? zaj\u281?te w imieniu Unii Europejskiej podczas dziewi\u261?tego posiedzenia Konferencji Stron Konwencji sztokholmskiej w sprawie trwa\u322?ych zanieczyszcze\u324? organicznych w odniesieniu do wniosków dotycz\u261?cych wprowadzenia zmian do za\u322?\u261?czników A i B"/>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Pages>
  <Words>1930</Words>
  <Characters>12571</Characters>
  <Application>Microsoft Office Word</Application>
  <DocSecurity>0</DocSecurity>
  <Lines>220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dcterms:created xsi:type="dcterms:W3CDTF">2019-02-01T08:00:00Z</dcterms:created>
  <dcterms:modified xsi:type="dcterms:W3CDTF">2019-02-05T17:02:00Z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