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DCBC126-3BE9-4DF5-B16C-C1B049C105A0"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rPr>
          <w:b/>
          <w:noProof/>
        </w:rPr>
      </w:pPr>
      <w:r>
        <w:rPr>
          <w:noProof/>
        </w:rPr>
        <w:t>Предложението има за цел да бъдат адаптирани размерът на наличните средства за икономическо, социално и териториално сближаване, предвидени в член 91, параграф 1 от Регламент (ЕС) № 1303/2013</w:t>
      </w:r>
      <w:r>
        <w:rPr>
          <w:rStyle w:val="FootnoteReference"/>
          <w:noProof/>
        </w:rPr>
        <w:footnoteReference w:id="1"/>
      </w:r>
      <w:r>
        <w:rPr>
          <w:noProof/>
        </w:rPr>
        <w:t xml:space="preserve">, размерът на специално разпределените средства за инициативата за младежка заетост („ИМЗ“), предвидени в член 92, параграф 5 от посочения регламент, и годишното разпределение на бюджетните кредити за поети задължения, съдържащо се в приложение VI към същия регламент, за да се отчете увеличението на средствата по ИМЗ в съответствие с приетия бюджет за 2019 г. По-конкретно, бюджетните кредити за поети задължения за специално разпределените средства за инициативата за младежка заетост следва да се увеличат със сумата от 116,7 млн. евро по текущи цени, в резултат на което общата сума за 2019 г. ще възлезе на 350 млн. евро. </w:t>
      </w:r>
    </w:p>
    <w:p>
      <w:pPr>
        <w:rPr>
          <w:b/>
          <w:noProof/>
        </w:rPr>
      </w:pPr>
      <w:r>
        <w:rPr>
          <w:noProof/>
        </w:rPr>
        <w:t>Наред с това, предвид миналия опит с увеличението на специално разпределените средства за ИМЗ, залегнало в основата на внесените съществени изменения в други програми с цел предоставяне на средства в определен размер от Европейския социален фонд (ЕСФ), който да съответства на подкрепата по линия на специално разпределените средства за ИМЗ, съзаконодателите на ЕС поискаха от Комисията да предложи мерки, които да улеснят бързото програмиране на допълнителни средства за ИМЗ през 2019 г., така че да не се възпрепятства постигането на напредък по изпълнението на всички оперативни програми за периода 2014—2020 г. Поради това с настоящото предложение се въвеждат съответни разпоредби, с които да се отговори на горното искане.</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със съществуващите разпоредби в тази област на политиката</w:t>
      </w:r>
    </w:p>
    <w:p>
      <w:pPr>
        <w:pBdr>
          <w:top w:val="nil"/>
          <w:left w:val="nil"/>
          <w:bottom w:val="nil"/>
          <w:right w:val="nil"/>
          <w:between w:val="nil"/>
          <w:bar w:val="nil"/>
        </w:pBdr>
        <w:spacing w:before="0" w:after="240"/>
        <w:rPr>
          <w:noProof/>
        </w:rPr>
      </w:pPr>
      <w:r>
        <w:rPr>
          <w:noProof/>
        </w:rPr>
        <w:t xml:space="preserve">Настоящото предложение се явява следствие от бюджета на Съюза за 2019 г. </w:t>
      </w:r>
    </w:p>
    <w:p>
      <w:pPr>
        <w:pStyle w:val="ManualHeading2"/>
        <w:rPr>
          <w:rFonts w:eastAsia="Arial Unicode MS"/>
          <w:noProof/>
        </w:rPr>
      </w:pPr>
      <w:r>
        <w:rPr>
          <w:noProof/>
          <w:color w:val="000000"/>
          <w:u w:color="000000"/>
          <w:bdr w:val="nil"/>
        </w:rPr>
        <w:t>•</w:t>
      </w:r>
      <w:r>
        <w:rPr>
          <w:noProof/>
        </w:rPr>
        <w:tab/>
        <w:t>Съгласуваност с други политики на Съюза</w:t>
      </w:r>
    </w:p>
    <w:p>
      <w:pPr>
        <w:pBdr>
          <w:top w:val="nil"/>
          <w:left w:val="nil"/>
          <w:bottom w:val="nil"/>
          <w:right w:val="nil"/>
          <w:between w:val="nil"/>
          <w:bar w:val="nil"/>
        </w:pBdr>
        <w:spacing w:before="0" w:after="240"/>
        <w:rPr>
          <w:rFonts w:eastAsia="Arial Unicode MS"/>
          <w:noProof/>
        </w:rPr>
      </w:pPr>
      <w:r>
        <w:rPr>
          <w:noProof/>
        </w:rPr>
        <w:t xml:space="preserve">Предложението е съгласувано с другите предложения и инициативи, приети от Европейската комисия. </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noProof/>
        </w:rPr>
      </w:pPr>
      <w:r>
        <w:rPr>
          <w:noProof/>
        </w:rPr>
        <w:t xml:space="preserve">Преразглеждането отразява увеличението на средствата, заделени по линия на специално разпределените за ИМЗ средства в бюджета на Съюза за 2019 г. </w:t>
      </w:r>
    </w:p>
    <w:p>
      <w:pPr>
        <w:pStyle w:val="ManualHeading2"/>
        <w:rPr>
          <w:rFonts w:eastAsia="Arial Unicode MS"/>
          <w:noProof/>
          <w:u w:color="000000"/>
          <w:bdr w:val="nil"/>
        </w:rPr>
      </w:pPr>
      <w:r>
        <w:rPr>
          <w:noProof/>
        </w:rPr>
        <w:t>•</w:t>
      </w:r>
      <w:r>
        <w:rPr>
          <w:noProof/>
        </w:rPr>
        <w:tab/>
        <w:t xml:space="preserve">Субсидиарност (при неизключителна компетентност) </w:t>
      </w:r>
    </w:p>
    <w:p>
      <w:pPr>
        <w:pBdr>
          <w:top w:val="nil"/>
          <w:left w:val="nil"/>
          <w:bottom w:val="nil"/>
          <w:right w:val="nil"/>
          <w:between w:val="nil"/>
          <w:bar w:val="nil"/>
        </w:pBdr>
        <w:spacing w:before="0" w:after="240"/>
        <w:rPr>
          <w:noProof/>
        </w:rPr>
      </w:pPr>
      <w:r>
        <w:rPr>
          <w:noProof/>
        </w:rPr>
        <w:t xml:space="preserve">Предложението е съобразено с принципа на субсидиарност. </w:t>
      </w:r>
    </w:p>
    <w:p>
      <w:pPr>
        <w:pStyle w:val="ManualHeading2"/>
        <w:rPr>
          <w:rFonts w:eastAsia="Arial Unicode MS"/>
          <w:noProof/>
          <w:u w:color="000000"/>
          <w:bdr w:val="nil"/>
        </w:rPr>
      </w:pPr>
      <w:r>
        <w:rPr>
          <w:noProof/>
        </w:rPr>
        <w:t>•</w:t>
      </w:r>
      <w:r>
        <w:rPr>
          <w:noProof/>
        </w:rPr>
        <w:tab/>
        <w:t>Пропорционалност</w:t>
      </w:r>
    </w:p>
    <w:p>
      <w:pPr>
        <w:rPr>
          <w:noProof/>
        </w:rPr>
      </w:pPr>
      <w:r>
        <w:rPr>
          <w:noProof/>
        </w:rPr>
        <w:t>Предложението е пропорционално. То съдържа наложилите се технически корекции след приемането на бюджета за 2019 г., с който се увеличават специално разпределените средства за ИМЗ. Освен това, в отговор на искането на бюджетния орган да се улесни програмирането и да се осигури гладкото усвояване на увеличените средства, с него се въвежда възможността държавите членки да прехвърлят част от допълнителните средства, която да представлява съответната подкрепа по линия на ЕСФ.</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noProof/>
        </w:rPr>
      </w:pPr>
      <w:r>
        <w:rPr>
          <w:noProof/>
        </w:rPr>
        <w:t>Предлаган инструмент: изменение на действащия регламент.</w:t>
      </w:r>
    </w:p>
    <w:p>
      <w:pPr>
        <w:pBdr>
          <w:top w:val="nil"/>
          <w:left w:val="nil"/>
          <w:bottom w:val="nil"/>
          <w:right w:val="nil"/>
          <w:between w:val="nil"/>
          <w:bar w:val="nil"/>
        </w:pBdr>
        <w:spacing w:before="0" w:after="240"/>
        <w:rPr>
          <w:rFonts w:eastAsia="Arial Unicode MS"/>
          <w:noProof/>
        </w:rPr>
      </w:pPr>
      <w:r>
        <w:rPr>
          <w:noProof/>
        </w:rPr>
        <w:t>Комисията проучи възможните варианти за действие, които предлага правната уредба, и счита за необходимо да бъдат предложени изменения на Регламент (ЕС) № 1303/2013.</w:t>
      </w:r>
    </w:p>
    <w:p>
      <w:pPr>
        <w:pStyle w:val="ManualHeading1"/>
        <w:rPr>
          <w:noProof/>
        </w:rPr>
      </w:pPr>
      <w:r>
        <w:rPr>
          <w:noProof/>
        </w:rPr>
        <w:t>3.</w:t>
      </w:r>
      <w:r>
        <w:rPr>
          <w:noProof/>
        </w:rPr>
        <w:tab/>
        <w:t>РЕЗУЛТАТИ ОТ ПОСЛЕДВАЩИТЕ ОЦЕНКИ, ОТ КОНСУЛТАЦИИТЕ СЪС ЗАИНТЕРЕСОВАНИТЕ СТРАНИ И ОТ ОЦЕНКИТЕ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съществуващото законодателство</w:t>
      </w:r>
    </w:p>
    <w:p>
      <w:pPr>
        <w:pBdr>
          <w:top w:val="nil"/>
          <w:left w:val="nil"/>
          <w:bottom w:val="nil"/>
          <w:right w:val="nil"/>
          <w:between w:val="nil"/>
          <w:bar w:val="nil"/>
        </w:pBdr>
        <w:spacing w:before="0" w:after="240"/>
        <w:rPr>
          <w:rFonts w:eastAsia="Arial Unicode MS"/>
          <w:noProof/>
        </w:rPr>
      </w:pPr>
      <w:r>
        <w:rPr>
          <w:noProof/>
        </w:rPr>
        <w:t>Предвид специфичните обстоятелства, наложили изготвянето на настоящото предложение, не бяха направени последваща оценка, нито проверки за пригодност на съществуващото законодателство.</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rFonts w:eastAsia="Arial Unicode MS"/>
          <w:noProof/>
        </w:rPr>
      </w:pPr>
      <w:r>
        <w:rPr>
          <w:noProof/>
        </w:rPr>
        <w:t>Предвид специфичните обстоятелства, наложили изготвянето на настоящото предложение, не бяха проведени консултации с външни заинтересовани страни.</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pBdr>
          <w:top w:val="nil"/>
          <w:left w:val="nil"/>
          <w:bottom w:val="nil"/>
          <w:right w:val="nil"/>
          <w:between w:val="nil"/>
          <w:bar w:val="nil"/>
        </w:pBdr>
        <w:spacing w:before="0" w:after="240"/>
        <w:rPr>
          <w:rFonts w:eastAsia="Arial Unicode MS"/>
          <w:noProof/>
        </w:rPr>
      </w:pPr>
      <w:r>
        <w:rPr>
          <w:noProof/>
        </w:rPr>
        <w:t>Не беше необходимо използването на външни експертни становища.</w:t>
      </w:r>
    </w:p>
    <w:p>
      <w:pPr>
        <w:pStyle w:val="ManualHeading2"/>
        <w:rPr>
          <w:rFonts w:eastAsia="Arial Unicode MS"/>
          <w:noProof/>
          <w:u w:color="000000"/>
          <w:bdr w:val="nil"/>
        </w:rPr>
      </w:pPr>
      <w:r>
        <w:rPr>
          <w:noProof/>
        </w:rPr>
        <w:t>•</w:t>
      </w:r>
      <w:r>
        <w:rPr>
          <w:noProof/>
        </w:rPr>
        <w:tab/>
        <w:t>Оценка на въздействието</w:t>
      </w:r>
    </w:p>
    <w:p>
      <w:pPr>
        <w:pBdr>
          <w:top w:val="nil"/>
          <w:left w:val="nil"/>
          <w:bottom w:val="nil"/>
          <w:right w:val="nil"/>
          <w:between w:val="nil"/>
          <w:bar w:val="nil"/>
        </w:pBdr>
        <w:spacing w:before="0" w:after="240"/>
        <w:rPr>
          <w:rFonts w:eastAsia="Arial Unicode MS"/>
          <w:noProof/>
        </w:rPr>
      </w:pPr>
      <w:r>
        <w:rPr>
          <w:noProof/>
        </w:rPr>
        <w:t>Не е приложимо.</w:t>
      </w:r>
    </w:p>
    <w:p>
      <w:pPr>
        <w:pStyle w:val="ManualHeading2"/>
        <w:rPr>
          <w:rFonts w:eastAsia="Arial Unicode MS"/>
          <w:noProof/>
          <w:u w:color="000000"/>
          <w:bdr w:val="nil"/>
        </w:rPr>
      </w:pPr>
      <w:r>
        <w:rPr>
          <w:noProof/>
        </w:rPr>
        <w:t>•</w:t>
      </w:r>
      <w:r>
        <w:rPr>
          <w:noProof/>
        </w:rPr>
        <w:tab/>
        <w:t>Пригодност и опростяване на законодателството</w:t>
      </w:r>
    </w:p>
    <w:p>
      <w:pPr>
        <w:pBdr>
          <w:top w:val="nil"/>
          <w:left w:val="nil"/>
          <w:bottom w:val="nil"/>
          <w:right w:val="nil"/>
          <w:between w:val="nil"/>
          <w:bar w:val="nil"/>
        </w:pBdr>
        <w:spacing w:before="0" w:after="240"/>
        <w:rPr>
          <w:noProof/>
        </w:rPr>
      </w:pPr>
      <w:r>
        <w:rPr>
          <w:noProof/>
        </w:rPr>
        <w:t>Предложението не е инициатива по линия на Програмата за пригодност и резултатност на регулаторната рамка (REFIT).</w:t>
      </w:r>
    </w:p>
    <w:p>
      <w:pPr>
        <w:pStyle w:val="ManualHeading2"/>
        <w:rPr>
          <w:rFonts w:eastAsia="Arial Unicode MS"/>
          <w:noProof/>
          <w:u w:color="000000"/>
          <w:bdr w:val="nil"/>
        </w:rPr>
      </w:pPr>
      <w:r>
        <w:rPr>
          <w:noProof/>
        </w:rPr>
        <w:t>•</w:t>
      </w:r>
      <w:r>
        <w:rPr>
          <w:noProof/>
        </w:rPr>
        <w:tab/>
        <w:t>Основни права</w:t>
      </w:r>
    </w:p>
    <w:p>
      <w:pPr>
        <w:pBdr>
          <w:top w:val="nil"/>
          <w:left w:val="nil"/>
          <w:bottom w:val="nil"/>
          <w:right w:val="nil"/>
          <w:between w:val="nil"/>
          <w:bar w:val="nil"/>
        </w:pBdr>
        <w:spacing w:before="0" w:after="240"/>
        <w:rPr>
          <w:rFonts w:eastAsia="Arial Unicode MS"/>
          <w:noProof/>
        </w:rPr>
      </w:pPr>
      <w:r>
        <w:rPr>
          <w:noProof/>
        </w:rPr>
        <w:t>Предложението няма последствия за защитата на основните права.</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noProof/>
        </w:rPr>
      </w:pPr>
      <w:r>
        <w:rPr>
          <w:noProof/>
        </w:rPr>
        <w:t xml:space="preserve">Бюджетните кредити за поети задължения за 2019 г. във връзка със специално разпределените средства за ИМЗ следва да се увеличат със 116,7 млн. евро, така че да достигнат 350 млн. евро по текущи цени. </w:t>
      </w:r>
    </w:p>
    <w:p>
      <w:pPr>
        <w:pBdr>
          <w:top w:val="nil"/>
          <w:left w:val="nil"/>
          <w:bottom w:val="nil"/>
          <w:right w:val="nil"/>
          <w:between w:val="nil"/>
          <w:bar w:val="nil"/>
        </w:pBdr>
        <w:spacing w:before="0" w:after="240"/>
        <w:rPr>
          <w:noProof/>
        </w:rPr>
      </w:pPr>
      <w:r>
        <w:rPr>
          <w:noProof/>
        </w:rPr>
        <w:t xml:space="preserve">Предложеното изменение не следва да доведе до необходимост от допълнителни бюджетни кредити за плащания през 2019 г. Отражението върху бюджета за 2020 г. следва да се ограничи само до допълнителните бюджетни кредити за плащания, предназначени да обхванат предварителното финансиране на годишна основа, дължащо се на увеличението на средствата за ИМЗ. </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механизми за мониторинг, оценка и докладване</w:t>
      </w:r>
    </w:p>
    <w:p>
      <w:pPr>
        <w:pBdr>
          <w:top w:val="nil"/>
          <w:left w:val="nil"/>
          <w:bottom w:val="nil"/>
          <w:right w:val="nil"/>
          <w:between w:val="nil"/>
          <w:bar w:val="nil"/>
        </w:pBdr>
        <w:spacing w:before="0" w:after="240"/>
        <w:rPr>
          <w:rFonts w:eastAsia="Arial Unicode MS"/>
          <w:noProof/>
        </w:rPr>
      </w:pPr>
      <w:r>
        <w:rPr>
          <w:noProof/>
        </w:rPr>
        <w:t>Не е приложимо.</w:t>
      </w:r>
    </w:p>
    <w:p>
      <w:pPr>
        <w:pStyle w:val="ManualHeading2"/>
        <w:rPr>
          <w:rFonts w:eastAsia="Arial Unicode MS"/>
          <w:noProof/>
          <w:u w:color="000000"/>
          <w:bdr w:val="nil"/>
        </w:rPr>
      </w:pPr>
      <w:r>
        <w:rPr>
          <w:noProof/>
        </w:rPr>
        <w:t>•</w:t>
      </w:r>
      <w:r>
        <w:rPr>
          <w:noProof/>
        </w:rPr>
        <w:tab/>
        <w:t>Обяснителни документи (за директивите)</w:t>
      </w:r>
    </w:p>
    <w:p>
      <w:pPr>
        <w:pBdr>
          <w:top w:val="nil"/>
          <w:left w:val="nil"/>
          <w:bottom w:val="nil"/>
          <w:right w:val="nil"/>
          <w:between w:val="nil"/>
          <w:bar w:val="nil"/>
        </w:pBdr>
        <w:spacing w:before="0" w:after="240"/>
        <w:rPr>
          <w:noProof/>
        </w:rPr>
      </w:pPr>
      <w:r>
        <w:rPr>
          <w:noProof/>
        </w:rPr>
        <w:t>Не е приложимо.</w:t>
      </w:r>
    </w:p>
    <w:p>
      <w:pPr>
        <w:pStyle w:val="ManualHeading2"/>
        <w:rPr>
          <w:rFonts w:eastAsia="Arial Unicode MS"/>
          <w:noProof/>
          <w:u w:color="000000"/>
          <w:bdr w:val="nil"/>
        </w:rPr>
      </w:pPr>
      <w:r>
        <w:rPr>
          <w:noProof/>
        </w:rPr>
        <w:t>•</w:t>
      </w:r>
      <w:r>
        <w:rPr>
          <w:noProof/>
        </w:rPr>
        <w:tab/>
        <w:t>Подробно разяснение на отделните разпоредби на предложението</w:t>
      </w:r>
    </w:p>
    <w:p>
      <w:pPr>
        <w:pBdr>
          <w:top w:val="nil"/>
          <w:left w:val="nil"/>
          <w:bottom w:val="nil"/>
          <w:right w:val="nil"/>
          <w:between w:val="nil"/>
          <w:bar w:val="nil"/>
        </w:pBdr>
        <w:spacing w:before="0" w:after="240"/>
        <w:rPr>
          <w:noProof/>
        </w:rPr>
      </w:pPr>
      <w:r>
        <w:rPr>
          <w:noProof/>
        </w:rPr>
        <w:t xml:space="preserve">Предложението има за цел да бъде адаптиран размерът на наличните средства съответно за икономическо, социално и териториално сближаване и за ИМЗ, предвидени в член 91, параграф 1 и в член 92, параграф 5 от Регламент (ЕС) № 1303/2013, заедно с годишното разпределение на бюджетните кредити за поети задължения, съдържащо се в приложение VI, така че да бъдат включени допълнителни средства към специално разпределените средства за ИМЗ. Поради това, в съответствие с приетия бюджет за 2019 г. бюджетните кредити за поети задължения за специално разпределените средства за ИМЗ следва да се увеличат със сумата от 116,7 млн. евро по текущи цени, в резултат на което общата сума за 2019 г. ще възлезе на 350 млн. евро по текущи цени. </w:t>
      </w:r>
    </w:p>
    <w:p>
      <w:pPr>
        <w:pBdr>
          <w:top w:val="nil"/>
          <w:left w:val="nil"/>
          <w:bottom w:val="nil"/>
          <w:right w:val="nil"/>
          <w:between w:val="nil"/>
          <w:bar w:val="nil"/>
        </w:pBdr>
        <w:spacing w:before="0" w:after="240"/>
        <w:rPr>
          <w:noProof/>
        </w:rPr>
      </w:pPr>
      <w:r>
        <w:rPr>
          <w:noProof/>
        </w:rPr>
        <w:t>С предложението също така се въвеждат разпоредби за улесняване на програмирането на допълнителните ресурси от страна на държавите членки. Поради напредналия стадий на изпълнение на оперативните програми за 2014—2020 г. и предвид съществуващото правно изискване на специално разпределените средства за ИМЗ да съответства равностойна подкрепа по линия на ЕСФ, е необходимо да се предотврати евентуалното намаляване на подкрепата по линия на ЕСФ за други области на политиката, както и за мерки извън ИМЗ. В тази връзка с предложението в член 92, параграф 5 се въвежда втора алинея, в която се предвижда възможността държавите членки да прехвърлят до 50 % от допълнителните средства за специално разпределените за ИМЗ средства към ЕСФ, което да съставлява размерът на съответните целеви инвестиции по линия на ЕСФ, изискуем по силата на член 22 от Регламент (ЕС) № 1304/2013</w:t>
      </w:r>
      <w:r>
        <w:rPr>
          <w:rStyle w:val="FootnoteReference"/>
          <w:noProof/>
        </w:rPr>
        <w:footnoteReference w:id="2"/>
      </w:r>
      <w:r>
        <w:rPr>
          <w:noProof/>
        </w:rPr>
        <w:t xml:space="preserve">. </w:t>
      </w:r>
    </w:p>
    <w:p>
      <w:pPr>
        <w:pBdr>
          <w:top w:val="nil"/>
          <w:left w:val="nil"/>
          <w:bottom w:val="nil"/>
          <w:right w:val="nil"/>
          <w:between w:val="nil"/>
          <w:bar w:val="nil"/>
        </w:pBdr>
        <w:spacing w:before="0" w:after="240"/>
        <w:rPr>
          <w:rFonts w:eastAsia="Arial Unicode MS"/>
          <w:noProof/>
        </w:rPr>
        <w:sectPr>
          <w:footerReference w:type="default" r:id="rId16"/>
          <w:footerReference w:type="first" r:id="rId17"/>
          <w:pgSz w:w="11907" w:h="16839"/>
          <w:pgMar w:top="1134" w:right="1417" w:bottom="1134" w:left="1417" w:header="709" w:footer="709" w:gutter="0"/>
          <w:cols w:space="720"/>
          <w:docGrid w:linePitch="360"/>
        </w:sectPr>
      </w:pPr>
    </w:p>
    <w:p>
      <w:pPr>
        <w:pStyle w:val="Rfrenceinterinstitutionnelle"/>
        <w:rPr>
          <w:noProof/>
        </w:rPr>
      </w:pPr>
      <w:r>
        <w:rPr>
          <w:noProof/>
        </w:rPr>
        <w:t>2019/0027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изменение на Регламент (ЕС) № 1303/2013 по отношение на специално разпределените средства за инициативата за младежка заетост</w:t>
      </w:r>
    </w:p>
    <w:p>
      <w:pPr>
        <w:pStyle w:val="Institutionquiagit"/>
        <w:rPr>
          <w:noProof/>
          <w:szCs w:val="24"/>
        </w:rPr>
      </w:pPr>
      <w:r>
        <w:rPr>
          <w:noProof/>
        </w:rPr>
        <w:t>ЕВРОПЕЙСКИЯТ ПАРЛАМЕНТ И СЪВЕТЪТ НА ЕВРОПЕЙСКИЯ СЪЮЗ,</w:t>
      </w:r>
    </w:p>
    <w:p>
      <w:pPr>
        <w:rPr>
          <w:noProof/>
          <w:szCs w:val="24"/>
        </w:rPr>
      </w:pPr>
      <w:r>
        <w:rPr>
          <w:noProof/>
        </w:rPr>
        <w:t xml:space="preserve">като взеха предвид Договора за функционирането на Европейския съюз, и по-специално член 177 от него, </w:t>
      </w:r>
    </w:p>
    <w:p>
      <w:pPr>
        <w:rPr>
          <w:noProof/>
          <w:szCs w:val="24"/>
        </w:rPr>
      </w:pPr>
      <w:r>
        <w:rPr>
          <w:noProof/>
        </w:rPr>
        <w:t>като взеха предвид предложението на Европейската комисия,</w:t>
      </w:r>
    </w:p>
    <w:p>
      <w:pPr>
        <w:rPr>
          <w:noProof/>
          <w:szCs w:val="24"/>
        </w:rPr>
      </w:pPr>
      <w:r>
        <w:rPr>
          <w:noProof/>
        </w:rPr>
        <w:t>след предаване на проекта на законодателния акт на националните парламенти,</w:t>
      </w:r>
    </w:p>
    <w:p>
      <w:pPr>
        <w:rPr>
          <w:noProof/>
          <w:szCs w:val="24"/>
        </w:rPr>
      </w:pPr>
      <w:r>
        <w:rPr>
          <w:noProof/>
        </w:rPr>
        <w:t>като взеха предвид становището на Европейския икономически и социален комитет</w:t>
      </w:r>
      <w:r>
        <w:rPr>
          <w:rStyle w:val="FootnoteReference"/>
          <w:noProof/>
        </w:rPr>
        <w:footnoteReference w:id="3"/>
      </w:r>
      <w:r>
        <w:rPr>
          <w:noProof/>
        </w:rPr>
        <w:t>,</w:t>
      </w:r>
    </w:p>
    <w:p>
      <w:pPr>
        <w:rPr>
          <w:noProof/>
          <w:szCs w:val="24"/>
        </w:rPr>
      </w:pPr>
      <w:r>
        <w:rPr>
          <w:noProof/>
        </w:rPr>
        <w:t>като взеха предвид становището на Комитета на регионите</w:t>
      </w:r>
      <w:r>
        <w:rPr>
          <w:rStyle w:val="FootnoteReference"/>
          <w:noProof/>
        </w:rPr>
        <w:footnoteReference w:id="4"/>
      </w:r>
      <w:r>
        <w:rPr>
          <w:noProof/>
        </w:rPr>
        <w:t xml:space="preserve">, </w:t>
      </w:r>
    </w:p>
    <w:p>
      <w:pPr>
        <w:rPr>
          <w:noProof/>
          <w:szCs w:val="24"/>
        </w:rPr>
      </w:pPr>
      <w:r>
        <w:rPr>
          <w:noProof/>
        </w:rPr>
        <w:t>в съответствие с обикновената законодателна процедура,</w:t>
      </w:r>
    </w:p>
    <w:p>
      <w:pPr>
        <w:rPr>
          <w:noProof/>
          <w:szCs w:val="24"/>
        </w:rPr>
      </w:pPr>
      <w:r>
        <w:rPr>
          <w:noProof/>
        </w:rPr>
        <w:t>като имат предвид, че:</w:t>
      </w:r>
    </w:p>
    <w:p>
      <w:pPr>
        <w:pStyle w:val="ManualConsidrant"/>
        <w:rPr>
          <w:noProof/>
          <w:szCs w:val="24"/>
        </w:rPr>
      </w:pPr>
      <w:r>
        <w:t>(1)</w:t>
      </w:r>
      <w:r>
        <w:tab/>
      </w:r>
      <w:r>
        <w:rPr>
          <w:noProof/>
        </w:rPr>
        <w:t>С Регламент (ЕС) № 1303/2013 на Европейския парламент и на Съвета</w:t>
      </w:r>
      <w:r>
        <w:rPr>
          <w:rStyle w:val="FootnoteReference"/>
          <w:noProof/>
        </w:rPr>
        <w:footnoteReference w:id="5"/>
      </w:r>
      <w:r>
        <w:rPr>
          <w:noProof/>
        </w:rPr>
        <w:t xml:space="preserve"> се определят общоприложимите и общите правила, приложими за европейските структурни и инвестиционни фондове. </w:t>
      </w:r>
    </w:p>
    <w:p>
      <w:pPr>
        <w:pStyle w:val="ManualConsidrant"/>
        <w:rPr>
          <w:noProof/>
          <w:szCs w:val="24"/>
        </w:rPr>
      </w:pPr>
      <w:r>
        <w:t>(2)</w:t>
      </w:r>
      <w:r>
        <w:tab/>
      </w:r>
      <w:r>
        <w:rPr>
          <w:noProof/>
        </w:rPr>
        <w:t>С общия бюджет на Съюза за финансовата 2019 година</w:t>
      </w:r>
      <w:r>
        <w:rPr>
          <w:rStyle w:val="FootnoteReference"/>
          <w:noProof/>
        </w:rPr>
        <w:footnoteReference w:id="6"/>
      </w:r>
      <w:r>
        <w:rPr>
          <w:noProof/>
        </w:rPr>
        <w:t xml:space="preserve"> бе изменен общият размер на средствата за инициативата за младежка заетост („ИМЗ“), като бюджетните кредити за поети задължения за специално разпределените средства за ИМЗ през 2019 г. бяха увеличени със сумата от 116,7 млн. евро по текущи цени, в резултат на което бюджетните кредити за поети задължения за специално разпределените средства за ИМЗ за целия програмен период  са в общ размер от 4 527 882 072 EUR по текущи цени. </w:t>
      </w:r>
    </w:p>
    <w:p>
      <w:pPr>
        <w:pStyle w:val="ManualConsidrant"/>
        <w:rPr>
          <w:noProof/>
          <w:szCs w:val="24"/>
        </w:rPr>
      </w:pPr>
      <w:r>
        <w:t>(3)</w:t>
      </w:r>
      <w:r>
        <w:tab/>
      </w:r>
      <w:r>
        <w:rPr>
          <w:noProof/>
        </w:rPr>
        <w:t>За 2019 г. допълнителните средства в размер на 99 573 877 EUR по цени от 2011 г. се финансират от общия марж за поетите задължения в рамките на маржа на Многогодишната финансова рамка за периода 2014—2020 г.</w:t>
      </w:r>
    </w:p>
    <w:p>
      <w:pPr>
        <w:pStyle w:val="ManualConsidrant"/>
        <w:rPr>
          <w:noProof/>
          <w:szCs w:val="24"/>
        </w:rPr>
      </w:pPr>
      <w:r>
        <w:t>(4)</w:t>
      </w:r>
      <w:r>
        <w:tab/>
      </w:r>
      <w:r>
        <w:rPr>
          <w:noProof/>
        </w:rPr>
        <w:t>Поради напредналия стадий на изпълнение на оперативните програми за програмния период 2014—2020 г. е целесъобразно да се предвидят специфични мерки за улесняване на изпълнението на ИМЗ.</w:t>
      </w:r>
    </w:p>
    <w:p>
      <w:pPr>
        <w:pStyle w:val="ManualConsidrant"/>
        <w:rPr>
          <w:noProof/>
        </w:rPr>
      </w:pPr>
      <w:r>
        <w:t>(5)</w:t>
      </w:r>
      <w:r>
        <w:tab/>
      </w:r>
      <w:r>
        <w:rPr>
          <w:noProof/>
        </w:rPr>
        <w:t xml:space="preserve">Предвид спешната необходимост от изменение на програмите в подкрепа на ИМЗ, така че да се включат допълнителните средства във връзка със специално разпределените средства за ИМЗ преди края на 2019 г. настоящият регламент следва да влезе в сила в деня след деня на публикуването му в </w:t>
      </w:r>
      <w:r>
        <w:rPr>
          <w:i/>
          <w:noProof/>
        </w:rPr>
        <w:t>Официален вестник на Европейския съюз</w:t>
      </w:r>
      <w:r>
        <w:rPr>
          <w:noProof/>
        </w:rPr>
        <w:t>.</w:t>
      </w:r>
    </w:p>
    <w:p>
      <w:pPr>
        <w:pStyle w:val="ManualConsidrant"/>
        <w:rPr>
          <w:noProof/>
        </w:rPr>
      </w:pPr>
      <w:r>
        <w:t>(6)</w:t>
      </w:r>
      <w:r>
        <w:tab/>
      </w:r>
      <w:r>
        <w:rPr>
          <w:noProof/>
        </w:rPr>
        <w:t>Поради това Регламент (ЕС) № 1303/2013 следва да бъде съответно изменен,</w:t>
      </w:r>
    </w:p>
    <w:p>
      <w:pPr>
        <w:pStyle w:val="Formuledadoption"/>
        <w:rPr>
          <w:noProof/>
        </w:rPr>
      </w:pPr>
      <w:r>
        <w:rPr>
          <w:noProof/>
        </w:rPr>
        <w:t>ПРИЕХА НАСТОЯЩИЯ РЕГЛАМЕНТ:</w:t>
      </w:r>
    </w:p>
    <w:p>
      <w:pPr>
        <w:pStyle w:val="Titrearticle"/>
        <w:rPr>
          <w:noProof/>
        </w:rPr>
      </w:pPr>
      <w:r>
        <w:rPr>
          <w:noProof/>
        </w:rPr>
        <w:t>Член 1</w:t>
      </w:r>
    </w:p>
    <w:p>
      <w:pPr>
        <w:rPr>
          <w:noProof/>
        </w:rPr>
      </w:pPr>
      <w:r>
        <w:rPr>
          <w:noProof/>
        </w:rPr>
        <w:t>Регламент (ЕС) № 1303/2013 се изменя, както следва:</w:t>
      </w:r>
    </w:p>
    <w:p>
      <w:pPr>
        <w:pStyle w:val="Point0number"/>
        <w:numPr>
          <w:ilvl w:val="0"/>
          <w:numId w:val="14"/>
        </w:numPr>
        <w:rPr>
          <w:noProof/>
        </w:rPr>
      </w:pPr>
      <w:r>
        <w:rPr>
          <w:noProof/>
        </w:rPr>
        <w:t>В член 91 параграф 1 се заменя със следното:</w:t>
      </w:r>
    </w:p>
    <w:p>
      <w:pPr>
        <w:pStyle w:val="Text1"/>
        <w:rPr>
          <w:noProof/>
        </w:rPr>
      </w:pPr>
      <w:r>
        <w:rPr>
          <w:noProof/>
        </w:rPr>
        <w:t>„1. Наличните средства за поемане на бюджетни задължения за икономическо, социално и териториално сближаване за периода 2014—2020 г. са в размер на 330 081 919 243 EUR по цени от 2011 г. в съответствие с годишното разпределение, посочено в приложение VI, от които 325 938 694 233 EUR представляват глобалните средства, разпределени за ЕФРР, ЕСФ и Кохезионния фонд, а 4 143 225 010 EUR представляват специално разпределени средства за инициативата за младежка заетост. За целите на програмирането и последващото включване в бюджета на Съюза размерът на средствата за икономическо, социално и териториално сближаване се индексира с 2 % годишно.“.</w:t>
      </w:r>
    </w:p>
    <w:p>
      <w:pPr>
        <w:pStyle w:val="Point0number"/>
        <w:numPr>
          <w:ilvl w:val="0"/>
          <w:numId w:val="15"/>
        </w:numPr>
        <w:rPr>
          <w:noProof/>
        </w:rPr>
      </w:pPr>
      <w:r>
        <w:rPr>
          <w:noProof/>
        </w:rPr>
        <w:t>В член 92 параграф 5 се заменя със следното:</w:t>
      </w:r>
    </w:p>
    <w:p>
      <w:pPr>
        <w:pStyle w:val="Text1"/>
        <w:rPr>
          <w:noProof/>
        </w:rPr>
      </w:pPr>
      <w:r>
        <w:rPr>
          <w:noProof/>
        </w:rPr>
        <w:t>„5. Средствата за инициативата за младежка заетост са в размер на 4 143 225 010 EUR от специално разпределените средства за инициативата за младежка заетост, 99 573 877 EUR от които представляват допълнителни</w:t>
      </w:r>
      <w:r>
        <w:rPr>
          <w:noProof/>
          <w:lang w:val="ru-RU"/>
        </w:rPr>
        <w:t xml:space="preserve"> </w:t>
      </w:r>
      <w:r>
        <w:rPr>
          <w:noProof/>
        </w:rPr>
        <w:t xml:space="preserve">средства за 2019 г. Те се допълват от целеви инвестиции по линия на ЕСФ в съответствие с член 22 от Регламент (ЕС) № 1304/2013. </w:t>
      </w:r>
    </w:p>
    <w:p>
      <w:pPr>
        <w:pStyle w:val="Text1"/>
        <w:rPr>
          <w:noProof/>
        </w:rPr>
      </w:pPr>
      <w:r>
        <w:rPr>
          <w:noProof/>
        </w:rPr>
        <w:t>Държавите членки, които се ползват от допълнителните средства по линия на специално разпределените средства за инициативата за младежка заетост за 2019 г. съгласно посоченото в първата алинея, могат да поискат прехвърлянето на до 50 % от допълнителните средства по линия на специално разпределените за инициативата за младежка заетост средства към ЕСФ, което да съставлява размерът на съответните целеви инвестиции по линия на ЕСФ, изискуем по силата на член 22 от Регламент (ЕС) № 1304/2013. Такова прехвърляне се извършва в полза на различните категории региони, съответстващи на категоризацията на отговарящите на условията региони за целите на увеличението на специално разпределените средства за инициативата за младежка заетост. Държавите членки заявяват прехвърлянето в искането за изменение на програмата в съответствие с член 30, параграф 1 от настоящия регламент. Средствата, разпределени за предходни години, не могат да се прехвърлят.</w:t>
      </w:r>
    </w:p>
    <w:p>
      <w:pPr>
        <w:pStyle w:val="Text1"/>
        <w:rPr>
          <w:noProof/>
        </w:rPr>
      </w:pPr>
      <w:r>
        <w:rPr>
          <w:noProof/>
        </w:rPr>
        <w:t>Втората алинея се прилага за всички допълнителни средства по линия на специално разпределените средства за инициативата за младежка заетост, с които общият размер на средствата надвишава 4 043 651 133 EUR.“.</w:t>
      </w:r>
    </w:p>
    <w:p>
      <w:pPr>
        <w:pStyle w:val="Point0number"/>
        <w:numPr>
          <w:ilvl w:val="0"/>
          <w:numId w:val="15"/>
        </w:numPr>
        <w:rPr>
          <w:noProof/>
        </w:rPr>
      </w:pPr>
      <w:r>
        <w:rPr>
          <w:noProof/>
        </w:rPr>
        <w:t>Приложение VI се заменя с текста на приложението към настоящия регламент.</w:t>
      </w:r>
    </w:p>
    <w:p>
      <w:pPr>
        <w:pStyle w:val="Titrearticle"/>
        <w:rPr>
          <w:noProof/>
        </w:rPr>
      </w:pPr>
      <w:r>
        <w:rPr>
          <w:noProof/>
        </w:rPr>
        <w:t>Член 2</w:t>
      </w:r>
    </w:p>
    <w:p>
      <w:pPr>
        <w:rPr>
          <w:noProof/>
        </w:rPr>
      </w:pPr>
      <w:r>
        <w:rPr>
          <w:noProof/>
        </w:rPr>
        <w:t xml:space="preserve">Настоящият регламент влиза в сила в деня след деня на публикуването му в </w:t>
      </w:r>
      <w:r>
        <w:rPr>
          <w:i/>
          <w:noProof/>
        </w:rPr>
        <w:t>Официален вестник на Европейския съюз</w:t>
      </w:r>
      <w:r>
        <w:rPr>
          <w:noProof/>
        </w:rPr>
        <w:t>.</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p>
      <w:pPr>
        <w:pStyle w:val="Fichefinanciretitre"/>
        <w:rPr>
          <w:noProof/>
        </w:rPr>
      </w:pPr>
      <w:r>
        <w:rPr>
          <w:noProof/>
        </w:rPr>
        <w:br w:type="page"/>
        <w:t xml:space="preserve">ЗАКОНОДАТЕЛНА ФИНАНСОВА ОБОСНОВКА </w:t>
      </w:r>
    </w:p>
    <w:p>
      <w:pPr>
        <w:pStyle w:val="ManualHeading1"/>
        <w:rPr>
          <w:noProof/>
        </w:rPr>
      </w:pPr>
      <w:r>
        <w:rPr>
          <w:noProof/>
        </w:rPr>
        <w:t>1.</w:t>
      </w:r>
      <w:r>
        <w:rPr>
          <w:noProof/>
        </w:rPr>
        <w:tab/>
        <w:t xml:space="preserve">РАМКА НА ПРЕДЛОЖЕНИЕТО/ИНИЦИАТИВАТА </w:t>
      </w:r>
    </w:p>
    <w:p>
      <w:pPr>
        <w:pStyle w:val="ManualHeading2"/>
        <w:rPr>
          <w:b w:val="0"/>
          <w:noProof/>
        </w:rPr>
      </w:pPr>
      <w:r>
        <w:rPr>
          <w:noProof/>
        </w:rPr>
        <w:tab/>
      </w:r>
      <w:r>
        <w:rPr>
          <w:b w:val="0"/>
          <w:noProof/>
        </w:rPr>
        <w:t>1.1.</w:t>
      </w:r>
      <w:r>
        <w:rPr>
          <w:noProof/>
        </w:rPr>
        <w:tab/>
      </w:r>
      <w:r>
        <w:rPr>
          <w:b w:val="0"/>
          <w:noProof/>
        </w:rPr>
        <w:t xml:space="preserve">Наименование на предложението/инициативата </w:t>
      </w:r>
    </w:p>
    <w:p>
      <w:pPr>
        <w:pStyle w:val="ManualHeading2"/>
        <w:rPr>
          <w:b w:val="0"/>
          <w:noProof/>
        </w:rPr>
      </w:pPr>
      <w:r>
        <w:rPr>
          <w:noProof/>
        </w:rPr>
        <w:tab/>
      </w:r>
      <w:r>
        <w:rPr>
          <w:b w:val="0"/>
          <w:noProof/>
        </w:rPr>
        <w:t>1.2.</w:t>
      </w:r>
      <w:r>
        <w:rPr>
          <w:noProof/>
        </w:rPr>
        <w:tab/>
      </w:r>
      <w:r>
        <w:rPr>
          <w:b w:val="0"/>
          <w:noProof/>
        </w:rPr>
        <w:t>Съответни области на политиката в структурата на УД/БД</w:t>
      </w:r>
    </w:p>
    <w:p>
      <w:pPr>
        <w:pStyle w:val="ManualHeading2"/>
        <w:rPr>
          <w:b w:val="0"/>
          <w:noProof/>
        </w:rPr>
      </w:pPr>
      <w:r>
        <w:rPr>
          <w:noProof/>
        </w:rPr>
        <w:tab/>
      </w:r>
      <w:r>
        <w:rPr>
          <w:b w:val="0"/>
          <w:noProof/>
        </w:rPr>
        <w:t>1.3.</w:t>
      </w:r>
      <w:r>
        <w:rPr>
          <w:noProof/>
        </w:rPr>
        <w:tab/>
      </w:r>
      <w:r>
        <w:rPr>
          <w:b w:val="0"/>
          <w:noProof/>
        </w:rPr>
        <w:t xml:space="preserve">Естество на предложението/инициативата </w:t>
      </w:r>
    </w:p>
    <w:p>
      <w:pPr>
        <w:pStyle w:val="ManualHeading2"/>
        <w:rPr>
          <w:b w:val="0"/>
          <w:noProof/>
        </w:rPr>
      </w:pPr>
      <w:r>
        <w:rPr>
          <w:noProof/>
        </w:rPr>
        <w:tab/>
      </w:r>
      <w:r>
        <w:rPr>
          <w:b w:val="0"/>
          <w:noProof/>
        </w:rPr>
        <w:t>1.4.</w:t>
      </w:r>
      <w:r>
        <w:rPr>
          <w:noProof/>
        </w:rPr>
        <w:tab/>
      </w:r>
      <w:r>
        <w:rPr>
          <w:b w:val="0"/>
          <w:noProof/>
        </w:rPr>
        <w:t xml:space="preserve">Цел(и) </w:t>
      </w:r>
    </w:p>
    <w:p>
      <w:pPr>
        <w:pStyle w:val="ManualHeading2"/>
        <w:rPr>
          <w:b w:val="0"/>
          <w:noProof/>
        </w:rPr>
      </w:pPr>
      <w:r>
        <w:rPr>
          <w:noProof/>
        </w:rPr>
        <w:tab/>
      </w:r>
      <w:r>
        <w:rPr>
          <w:b w:val="0"/>
          <w:noProof/>
        </w:rPr>
        <w:t>1.5.</w:t>
      </w:r>
      <w:r>
        <w:rPr>
          <w:noProof/>
        </w:rPr>
        <w:tab/>
      </w:r>
      <w:r>
        <w:rPr>
          <w:b w:val="0"/>
          <w:noProof/>
        </w:rPr>
        <w:t xml:space="preserve">Мотиви за предложението/инициативата </w:t>
      </w:r>
    </w:p>
    <w:p>
      <w:pPr>
        <w:pStyle w:val="ManualHeading2"/>
        <w:rPr>
          <w:b w:val="0"/>
          <w:noProof/>
        </w:rPr>
      </w:pPr>
      <w:r>
        <w:rPr>
          <w:noProof/>
        </w:rPr>
        <w:tab/>
      </w:r>
      <w:r>
        <w:rPr>
          <w:b w:val="0"/>
          <w:noProof/>
        </w:rPr>
        <w:t>1.6.</w:t>
      </w:r>
      <w:r>
        <w:rPr>
          <w:noProof/>
        </w:rPr>
        <w:tab/>
      </w:r>
      <w:r>
        <w:rPr>
          <w:b w:val="0"/>
          <w:noProof/>
        </w:rPr>
        <w:t xml:space="preserve">Срок на действие и финансово отражение </w:t>
      </w:r>
    </w:p>
    <w:p>
      <w:pPr>
        <w:pStyle w:val="ManualHeading2"/>
        <w:rPr>
          <w:b w:val="0"/>
          <w:noProof/>
        </w:rPr>
      </w:pPr>
      <w:r>
        <w:rPr>
          <w:noProof/>
        </w:rPr>
        <w:tab/>
      </w:r>
      <w:r>
        <w:rPr>
          <w:b w:val="0"/>
          <w:noProof/>
        </w:rPr>
        <w:t>1.7.</w:t>
      </w:r>
      <w:r>
        <w:rPr>
          <w:noProof/>
        </w:rPr>
        <w:tab/>
      </w:r>
      <w:r>
        <w:rPr>
          <w:b w:val="0"/>
          <w:noProof/>
        </w:rPr>
        <w:t xml:space="preserve">Планирани методи на управление </w:t>
      </w:r>
    </w:p>
    <w:p>
      <w:pPr>
        <w:pStyle w:val="ManualHeading1"/>
        <w:rPr>
          <w:noProof/>
        </w:rPr>
      </w:pPr>
      <w:r>
        <w:rPr>
          <w:noProof/>
        </w:rPr>
        <w:t>2.</w:t>
      </w:r>
      <w:r>
        <w:rPr>
          <w:noProof/>
        </w:rPr>
        <w:tab/>
        <w:t xml:space="preserve">МЕРКИ ЗА УПРАВЛЕНИЕ </w:t>
      </w:r>
    </w:p>
    <w:p>
      <w:pPr>
        <w:pStyle w:val="ManualHeading2"/>
        <w:rPr>
          <w:b w:val="0"/>
          <w:noProof/>
        </w:rPr>
      </w:pPr>
      <w:r>
        <w:rPr>
          <w:noProof/>
        </w:rPr>
        <w:tab/>
      </w:r>
      <w:r>
        <w:rPr>
          <w:b w:val="0"/>
          <w:noProof/>
        </w:rPr>
        <w:t>2.1.</w:t>
      </w:r>
      <w:r>
        <w:rPr>
          <w:noProof/>
        </w:rPr>
        <w:tab/>
      </w:r>
      <w:r>
        <w:rPr>
          <w:b w:val="0"/>
          <w:noProof/>
        </w:rPr>
        <w:t xml:space="preserve">Правила за мониторинг и докладване </w:t>
      </w:r>
    </w:p>
    <w:p>
      <w:pPr>
        <w:pStyle w:val="ManualHeading2"/>
        <w:rPr>
          <w:b w:val="0"/>
          <w:noProof/>
        </w:rPr>
      </w:pPr>
      <w:r>
        <w:rPr>
          <w:noProof/>
        </w:rPr>
        <w:tab/>
      </w:r>
      <w:r>
        <w:rPr>
          <w:b w:val="0"/>
          <w:noProof/>
        </w:rPr>
        <w:t>2.2.</w:t>
      </w:r>
      <w:r>
        <w:rPr>
          <w:noProof/>
        </w:rPr>
        <w:tab/>
      </w:r>
      <w:r>
        <w:rPr>
          <w:b w:val="0"/>
          <w:noProof/>
        </w:rPr>
        <w:t xml:space="preserve">Система за управление и контрол </w:t>
      </w:r>
    </w:p>
    <w:p>
      <w:pPr>
        <w:pStyle w:val="ManualHeading2"/>
        <w:rPr>
          <w:b w:val="0"/>
          <w:noProof/>
        </w:rPr>
      </w:pPr>
      <w:r>
        <w:rPr>
          <w:noProof/>
        </w:rPr>
        <w:tab/>
      </w:r>
      <w:r>
        <w:rPr>
          <w:b w:val="0"/>
          <w:noProof/>
        </w:rPr>
        <w:t>2.3.</w:t>
      </w:r>
      <w:r>
        <w:rPr>
          <w:noProof/>
        </w:rPr>
        <w:tab/>
      </w:r>
      <w:r>
        <w:rPr>
          <w:b w:val="0"/>
          <w:noProof/>
        </w:rPr>
        <w:t xml:space="preserve">Мерки за предотвратяване на измами и нередности </w:t>
      </w:r>
    </w:p>
    <w:p>
      <w:pPr>
        <w:pStyle w:val="ManualHeading1"/>
        <w:rPr>
          <w:noProof/>
        </w:rPr>
      </w:pPr>
      <w:r>
        <w:rPr>
          <w:noProof/>
        </w:rPr>
        <w:t>3.</w:t>
      </w:r>
      <w:r>
        <w:rPr>
          <w:noProof/>
        </w:rPr>
        <w:tab/>
        <w:t xml:space="preserve">ОЧАКВАНО ФИНАНСОВО ОТРАЖЕНИЕ НА ПРЕДЛОЖЕНИЕТО/ИНИЦИАТИВАТА </w:t>
      </w:r>
    </w:p>
    <w:p>
      <w:pPr>
        <w:pStyle w:val="ManualHeading2"/>
        <w:rPr>
          <w:b w:val="0"/>
          <w:noProof/>
        </w:rPr>
      </w:pPr>
      <w:r>
        <w:rPr>
          <w:noProof/>
        </w:rPr>
        <w:tab/>
      </w:r>
      <w:r>
        <w:rPr>
          <w:b w:val="0"/>
          <w:noProof/>
        </w:rPr>
        <w:t>3.1.</w:t>
      </w:r>
      <w:r>
        <w:rPr>
          <w:noProof/>
        </w:rPr>
        <w:tab/>
      </w:r>
      <w:r>
        <w:rPr>
          <w:b w:val="0"/>
          <w:noProof/>
        </w:rPr>
        <w:t xml:space="preserve">Съответни функции от многогодишната финансова рамка и разходни бюджетни редове </w:t>
      </w:r>
    </w:p>
    <w:p>
      <w:pPr>
        <w:pStyle w:val="ManualHeading2"/>
        <w:rPr>
          <w:noProof/>
        </w:rPr>
      </w:pPr>
      <w:r>
        <w:rPr>
          <w:noProof/>
        </w:rPr>
        <w:tab/>
      </w:r>
      <w:r>
        <w:rPr>
          <w:b w:val="0"/>
          <w:noProof/>
        </w:rPr>
        <w:t>3.2.</w:t>
      </w:r>
      <w:r>
        <w:rPr>
          <w:noProof/>
        </w:rPr>
        <w:tab/>
      </w:r>
      <w:r>
        <w:rPr>
          <w:b w:val="0"/>
          <w:noProof/>
        </w:rPr>
        <w:t>Очаквано отражение върху разходите</w:t>
      </w:r>
      <w:r>
        <w:rPr>
          <w:noProof/>
        </w:rPr>
        <w:t xml:space="preserve"> </w:t>
      </w:r>
    </w:p>
    <w:p>
      <w:pPr>
        <w:pStyle w:val="ManualHeading3"/>
        <w:rPr>
          <w:noProof/>
        </w:rPr>
      </w:pPr>
      <w:r>
        <w:rPr>
          <w:noProof/>
        </w:rPr>
        <w:tab/>
        <w:t>3.2.1.</w:t>
      </w:r>
      <w:r>
        <w:rPr>
          <w:noProof/>
        </w:rPr>
        <w:tab/>
        <w:t xml:space="preserve">Обобщение на очакваното отражение върху разходите </w:t>
      </w:r>
    </w:p>
    <w:p>
      <w:pPr>
        <w:pStyle w:val="ManualHeading3"/>
        <w:rPr>
          <w:noProof/>
        </w:rPr>
      </w:pPr>
      <w:r>
        <w:rPr>
          <w:noProof/>
        </w:rPr>
        <w:tab/>
        <w:t>3.2.2.</w:t>
      </w:r>
      <w:r>
        <w:rPr>
          <w:noProof/>
        </w:rPr>
        <w:tab/>
        <w:t xml:space="preserve">Очаквано отражение върху бюджетните кредити за оперативни разходи </w:t>
      </w:r>
    </w:p>
    <w:p>
      <w:pPr>
        <w:pStyle w:val="ManualHeading3"/>
        <w:rPr>
          <w:noProof/>
        </w:rPr>
      </w:pPr>
      <w:r>
        <w:rPr>
          <w:noProof/>
        </w:rPr>
        <w:tab/>
        <w:t>3.2.3.</w:t>
      </w:r>
      <w:r>
        <w:rPr>
          <w:noProof/>
        </w:rPr>
        <w:tab/>
        <w:t>Очаквано отражение върху бюджетните кредити за административни разходи</w:t>
      </w:r>
    </w:p>
    <w:p>
      <w:pPr>
        <w:pStyle w:val="ManualHeading3"/>
        <w:rPr>
          <w:noProof/>
        </w:rPr>
      </w:pPr>
      <w:r>
        <w:rPr>
          <w:noProof/>
        </w:rPr>
        <w:tab/>
        <w:t>3.2.4.</w:t>
      </w:r>
      <w:r>
        <w:rPr>
          <w:noProof/>
        </w:rPr>
        <w:tab/>
        <w:t>Съвместимост с настоящата многогодишна финансова рамка</w:t>
      </w:r>
    </w:p>
    <w:p>
      <w:pPr>
        <w:pStyle w:val="ManualHeading3"/>
        <w:rPr>
          <w:noProof/>
        </w:rPr>
      </w:pPr>
      <w:r>
        <w:rPr>
          <w:noProof/>
        </w:rPr>
        <w:tab/>
        <w:t>3.2.5.</w:t>
      </w:r>
      <w:r>
        <w:rPr>
          <w:noProof/>
        </w:rPr>
        <w:tab/>
        <w:t xml:space="preserve">Участие на трети страни във финансирането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Очаквано отражение върху приходите</w:t>
      </w:r>
    </w:p>
    <w:p>
      <w:pPr>
        <w:jc w:val="center"/>
        <w:rPr>
          <w:b/>
          <w:noProof/>
          <w:u w:val="single"/>
        </w:rPr>
      </w:pPr>
      <w:r>
        <w:rPr>
          <w:b/>
          <w:noProof/>
          <w:u w:val="single"/>
        </w:rPr>
        <w:t>ЗАКОНОДАТЕЛНА ФИНАНСОВА ОБОСНОВКА</w:t>
      </w:r>
    </w:p>
    <w:p>
      <w:pPr>
        <w:pStyle w:val="ManualHeading1"/>
        <w:rPr>
          <w:noProof/>
        </w:rPr>
      </w:pPr>
      <w:r>
        <w:rPr>
          <w:noProof/>
        </w:rPr>
        <w:t>1.</w:t>
      </w:r>
      <w:r>
        <w:rPr>
          <w:noProof/>
        </w:rPr>
        <w:tab/>
        <w:t xml:space="preserve">РАМКА НА ПРЕДЛОЖЕНИЕТО/ИНИЦИАТИВАТА </w:t>
      </w:r>
    </w:p>
    <w:p>
      <w:pPr>
        <w:pStyle w:val="ManualHeading2"/>
        <w:rPr>
          <w:noProof/>
        </w:rPr>
      </w:pPr>
      <w:r>
        <w:rPr>
          <w:noProof/>
        </w:rPr>
        <w:t>1.1.</w:t>
      </w:r>
      <w:r>
        <w:rPr>
          <w:noProof/>
        </w:rPr>
        <w:tab/>
        <w:t xml:space="preserve">Наименование на предложението/инициативата </w:t>
      </w:r>
    </w:p>
    <w:p>
      <w:pPr>
        <w:pStyle w:val="Text1"/>
        <w:pBdr>
          <w:top w:val="single" w:sz="4" w:space="1" w:color="auto"/>
          <w:left w:val="single" w:sz="4" w:space="4" w:color="auto"/>
          <w:bottom w:val="single" w:sz="4" w:space="1" w:color="auto"/>
          <w:right w:val="single" w:sz="4" w:space="4" w:color="auto"/>
        </w:pBdr>
        <w:rPr>
          <w:noProof/>
        </w:rPr>
      </w:pPr>
      <w:r>
        <w:rPr>
          <w:noProof/>
        </w:rPr>
        <w:t>Предложение за Регламент на Европейския парламент и на Съвета за изменение на Регламент (ЕС) № 1303/2013 по отношение на специално разпределените средства за инициативата за младежка заетост</w:t>
      </w:r>
    </w:p>
    <w:p>
      <w:pPr>
        <w:pStyle w:val="ManualHeading2"/>
        <w:rPr>
          <w:noProof/>
          <w:szCs w:val="24"/>
        </w:rPr>
      </w:pPr>
      <w:r>
        <w:rPr>
          <w:noProof/>
        </w:rPr>
        <w:t>1.2.</w:t>
      </w:r>
      <w:r>
        <w:rPr>
          <w:noProof/>
        </w:rPr>
        <w:tab/>
        <w:t>Съответни области на политиката в структурата на УД/БД</w:t>
      </w:r>
      <w:r>
        <w:rPr>
          <w:rStyle w:val="FootnoteReference"/>
          <w:noProof/>
        </w:rPr>
        <w:footnoteReference w:id="7"/>
      </w:r>
      <w:r>
        <w:rPr>
          <w:i/>
          <w:noProof/>
        </w:rPr>
        <w:t xml:space="preserve"> </w:t>
      </w:r>
    </w:p>
    <w:p>
      <w:pPr>
        <w:pStyle w:val="Text1"/>
        <w:pBdr>
          <w:top w:val="single" w:sz="4" w:space="1" w:color="auto"/>
          <w:left w:val="single" w:sz="4" w:space="4" w:color="auto"/>
          <w:bottom w:val="single" w:sz="4" w:space="1" w:color="auto"/>
          <w:right w:val="single" w:sz="4" w:space="4" w:color="auto"/>
        </w:pBdr>
        <w:rPr>
          <w:noProof/>
          <w:sz w:val="22"/>
        </w:rPr>
      </w:pPr>
      <w:r>
        <w:rPr>
          <w:noProof/>
          <w:sz w:val="22"/>
        </w:rPr>
        <w:t>4 Трудова заетост, социални въпроси и приобщаване</w:t>
      </w:r>
    </w:p>
    <w:p>
      <w:pPr>
        <w:pStyle w:val="Text1"/>
        <w:pBdr>
          <w:top w:val="single" w:sz="4" w:space="1" w:color="auto"/>
          <w:left w:val="single" w:sz="4" w:space="4" w:color="auto"/>
          <w:bottom w:val="single" w:sz="4" w:space="1" w:color="auto"/>
          <w:right w:val="single" w:sz="4" w:space="4" w:color="auto"/>
        </w:pBdr>
        <w:rPr>
          <w:noProof/>
          <w:sz w:val="22"/>
        </w:rPr>
      </w:pPr>
      <w:r>
        <w:rPr>
          <w:noProof/>
          <w:sz w:val="22"/>
        </w:rPr>
        <w:t>04 02 64 — Инициатива за младежка заетост (ИМЗ)</w:t>
      </w:r>
    </w:p>
    <w:p>
      <w:pPr>
        <w:pStyle w:val="ManualHeading2"/>
        <w:rPr>
          <w:bCs/>
          <w:noProof/>
          <w:szCs w:val="24"/>
        </w:rPr>
      </w:pPr>
      <w:r>
        <w:rPr>
          <w:noProof/>
        </w:rPr>
        <w:t>1.3.</w:t>
      </w:r>
      <w:r>
        <w:rPr>
          <w:noProof/>
        </w:rPr>
        <w:tab/>
        <w:t xml:space="preserve">Естество на предложението/инициативата </w:t>
      </w:r>
    </w:p>
    <w:p>
      <w:pPr>
        <w:pStyle w:val="Text1"/>
        <w:rPr>
          <w:b/>
          <w:noProof/>
          <w:sz w:val="22"/>
        </w:rPr>
      </w:pPr>
      <w:r>
        <w:rPr>
          <w:noProof/>
          <w:sz w:val="22"/>
        </w:rPr>
        <w:sym w:font="Wingdings" w:char="F0A8"/>
      </w:r>
      <w:r>
        <w:rPr>
          <w:b/>
          <w:i/>
          <w:noProof/>
          <w:sz w:val="22"/>
        </w:rPr>
        <w:t xml:space="preserve"> </w:t>
      </w:r>
      <w:r>
        <w:rPr>
          <w:noProof/>
        </w:rPr>
        <w:t xml:space="preserve">Предложението/инициативата е във връзка с </w:t>
      </w:r>
      <w:r>
        <w:rPr>
          <w:b/>
          <w:noProof/>
        </w:rPr>
        <w:t>ново действие</w:t>
      </w:r>
      <w:r>
        <w:rPr>
          <w:b/>
          <w:noProof/>
          <w:sz w:val="22"/>
        </w:rPr>
        <w:t xml:space="preserve"> </w:t>
      </w:r>
    </w:p>
    <w:p>
      <w:pPr>
        <w:pStyle w:val="Text1"/>
        <w:rPr>
          <w:noProof/>
          <w:sz w:val="22"/>
        </w:rPr>
      </w:pPr>
      <w:r>
        <w:rPr>
          <w:noProof/>
          <w:sz w:val="22"/>
        </w:rPr>
        <w:sym w:font="Wingdings" w:char="F0A8"/>
      </w:r>
      <w:r>
        <w:rPr>
          <w:noProof/>
        </w:rPr>
        <w:t xml:space="preserve"> Предложението/инициативата е във връзка с </w:t>
      </w:r>
      <w:r>
        <w:rPr>
          <w:b/>
          <w:noProof/>
        </w:rPr>
        <w:t>ново действие след пилотен проект/подготвително действие</w:t>
      </w:r>
      <w:r>
        <w:rPr>
          <w:rStyle w:val="FootnoteReference"/>
          <w:b/>
          <w:noProof/>
        </w:rPr>
        <w:footnoteReference w:id="8"/>
      </w:r>
      <w:r>
        <w:rPr>
          <w:noProof/>
          <w:sz w:val="22"/>
        </w:rPr>
        <w:t xml:space="preserve"> </w:t>
      </w:r>
    </w:p>
    <w:p>
      <w:pPr>
        <w:pStyle w:val="Text1"/>
        <w:rPr>
          <w:noProof/>
          <w:sz w:val="22"/>
        </w:rPr>
      </w:pPr>
      <w:r>
        <w:rPr>
          <w:noProof/>
          <w:sz w:val="22"/>
        </w:rPr>
        <w:sym w:font="Wingdings" w:char="F078"/>
      </w:r>
      <w:r>
        <w:rPr>
          <w:noProof/>
        </w:rPr>
        <w:t xml:space="preserve"> Предложението/инициативата е във връзка с </w:t>
      </w:r>
      <w:r>
        <w:rPr>
          <w:b/>
          <w:noProof/>
        </w:rPr>
        <w:t>продължаване на съществуващо действие</w:t>
      </w:r>
      <w:r>
        <w:rPr>
          <w:noProof/>
          <w:sz w:val="22"/>
        </w:rPr>
        <w:t xml:space="preserve"> </w:t>
      </w:r>
    </w:p>
    <w:p>
      <w:pPr>
        <w:pStyle w:val="Text1"/>
        <w:rPr>
          <w:noProof/>
        </w:rPr>
      </w:pPr>
      <w:r>
        <w:rPr>
          <w:noProof/>
          <w:sz w:val="22"/>
        </w:rPr>
        <w:sym w:font="Wingdings" w:char="F0A8"/>
      </w:r>
      <w:r>
        <w:rPr>
          <w:noProof/>
        </w:rPr>
        <w:t xml:space="preserve"> Предложението/инициативата е във връзка с </w:t>
      </w:r>
      <w:r>
        <w:rPr>
          <w:b/>
          <w:noProof/>
        </w:rPr>
        <w:t>действие, пренасочено към ново действие</w:t>
      </w:r>
      <w:r>
        <w:rPr>
          <w:noProof/>
        </w:rPr>
        <w:t xml:space="preserve"> </w:t>
      </w:r>
    </w:p>
    <w:p>
      <w:pPr>
        <w:pStyle w:val="ManualHeading2"/>
        <w:rPr>
          <w:bCs/>
          <w:noProof/>
          <w:szCs w:val="24"/>
        </w:rPr>
      </w:pPr>
      <w:r>
        <w:rPr>
          <w:noProof/>
        </w:rPr>
        <w:t>1.4.</w:t>
      </w:r>
      <w:r>
        <w:rPr>
          <w:noProof/>
        </w:rPr>
        <w:tab/>
        <w:t>Цел(и)</w:t>
      </w:r>
    </w:p>
    <w:p>
      <w:pPr>
        <w:pStyle w:val="ManualHeading3"/>
        <w:rPr>
          <w:noProof/>
        </w:rPr>
      </w:pPr>
      <w:r>
        <w:rPr>
          <w:noProof/>
        </w:rPr>
        <w:t>1.4.1.</w:t>
      </w:r>
      <w:r>
        <w:rPr>
          <w:noProof/>
        </w:rPr>
        <w:tab/>
        <w:t xml:space="preserve">Многогодишни стратегически цели на Комисията, за чието изпълнение е предназначено предложението/инициативата </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3"/>
        <w:rPr>
          <w:bCs/>
          <w:noProof/>
          <w:szCs w:val="24"/>
        </w:rPr>
      </w:pPr>
      <w:r>
        <w:rPr>
          <w:noProof/>
        </w:rPr>
        <w:t>1.4.2.</w:t>
      </w:r>
      <w:r>
        <w:rPr>
          <w:noProof/>
        </w:rPr>
        <w:tab/>
        <w:t xml:space="preserve">Конкретни цели и съответни дейности във връзка с УД/БД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Конкретна цел №</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Съответни дейности във връзка с УД/БД</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3"/>
        <w:rPr>
          <w:bCs/>
          <w:noProof/>
          <w:szCs w:val="24"/>
        </w:rPr>
      </w:pPr>
      <w:r>
        <w:rPr>
          <w:noProof/>
        </w:rPr>
        <w:t>1.4.3.</w:t>
      </w:r>
      <w:r>
        <w:rPr>
          <w:noProof/>
        </w:rPr>
        <w:tab/>
        <w:t>Очаквани резултати и отражение</w:t>
      </w:r>
    </w:p>
    <w:p>
      <w:pPr>
        <w:pStyle w:val="Text1"/>
        <w:rPr>
          <w:i/>
          <w:noProof/>
          <w:sz w:val="20"/>
        </w:rPr>
      </w:pPr>
      <w:r>
        <w:rPr>
          <w:i/>
          <w:noProof/>
          <w:sz w:val="20"/>
        </w:rPr>
        <w:t>Да се посочи въздействието на предложението/инициативата върху бенефициерите/ целевите групи.</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3"/>
        <w:rPr>
          <w:bCs/>
          <w:noProof/>
          <w:szCs w:val="24"/>
        </w:rPr>
      </w:pPr>
      <w:r>
        <w:rPr>
          <w:noProof/>
        </w:rPr>
        <w:t>1.4.4.</w:t>
      </w:r>
      <w:r>
        <w:rPr>
          <w:noProof/>
        </w:rPr>
        <w:tab/>
        <w:t xml:space="preserve">Показатели за резултатите и за отражението </w:t>
      </w:r>
    </w:p>
    <w:p>
      <w:pPr>
        <w:pStyle w:val="Text1"/>
        <w:rPr>
          <w:i/>
          <w:noProof/>
          <w:sz w:val="20"/>
        </w:rPr>
      </w:pPr>
      <w:r>
        <w:rPr>
          <w:i/>
          <w:noProof/>
          <w:sz w:val="20"/>
        </w:rPr>
        <w:t>Да се посочат показателите, които позволяват да се проследи изпълнението на предложението/инициативата.</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2"/>
        <w:rPr>
          <w:bCs/>
          <w:noProof/>
          <w:szCs w:val="24"/>
        </w:rPr>
      </w:pPr>
      <w:r>
        <w:rPr>
          <w:noProof/>
        </w:rPr>
        <w:t>1.5.</w:t>
      </w:r>
      <w:r>
        <w:rPr>
          <w:noProof/>
        </w:rPr>
        <w:tab/>
        <w:t xml:space="preserve">Мотиви за предложението/инициативата </w:t>
      </w:r>
    </w:p>
    <w:p>
      <w:pPr>
        <w:pStyle w:val="ManualHeading3"/>
        <w:rPr>
          <w:noProof/>
        </w:rPr>
      </w:pPr>
      <w:r>
        <w:rPr>
          <w:noProof/>
        </w:rPr>
        <w:t>1.5.1.</w:t>
      </w:r>
      <w:r>
        <w:rPr>
          <w:noProof/>
        </w:rPr>
        <w:tab/>
        <w:t xml:space="preserve">Нужди, които трябва да бъдат задоволени в краткосрочен или дългосрочен план </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3"/>
        <w:rPr>
          <w:bCs/>
          <w:noProof/>
          <w:szCs w:val="24"/>
        </w:rPr>
      </w:pPr>
      <w:r>
        <w:rPr>
          <w:noProof/>
        </w:rPr>
        <w:t>1.5.2.</w:t>
      </w:r>
      <w:r>
        <w:rPr>
          <w:noProof/>
        </w:rPr>
        <w:tab/>
        <w:t>Добавена стойност от намесата на ЕС</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3"/>
        <w:rPr>
          <w:bCs/>
          <w:noProof/>
          <w:szCs w:val="24"/>
        </w:rPr>
      </w:pPr>
      <w:r>
        <w:rPr>
          <w:noProof/>
        </w:rPr>
        <w:t>1.5.3.</w:t>
      </w:r>
      <w:r>
        <w:rPr>
          <w:noProof/>
        </w:rPr>
        <w:tab/>
        <w:t>Изводи от подобен опит в миналото</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3"/>
        <w:rPr>
          <w:bCs/>
          <w:noProof/>
          <w:szCs w:val="24"/>
        </w:rPr>
      </w:pPr>
      <w:r>
        <w:rPr>
          <w:noProof/>
        </w:rPr>
        <w:t>1.5.4.</w:t>
      </w:r>
      <w:r>
        <w:rPr>
          <w:noProof/>
        </w:rPr>
        <w:tab/>
        <w:t>Съгласуваност и евентуална синергия с други актове</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2"/>
        <w:rPr>
          <w:bCs/>
          <w:noProof/>
          <w:szCs w:val="24"/>
        </w:rPr>
      </w:pPr>
      <w:r>
        <w:rPr>
          <w:noProof/>
        </w:rPr>
        <w:t>1.6.</w:t>
      </w:r>
      <w:r>
        <w:rPr>
          <w:noProof/>
        </w:rPr>
        <w:tab/>
        <w:t xml:space="preserve">Срок на действие и финансово отражение </w:t>
      </w:r>
    </w:p>
    <w:p>
      <w:pPr>
        <w:pStyle w:val="Text1"/>
        <w:rPr>
          <w:noProof/>
        </w:rPr>
      </w:pPr>
      <w:r>
        <w:rPr>
          <w:noProof/>
        </w:rPr>
        <w:sym w:font="Wingdings" w:char="F0A8"/>
      </w:r>
      <w:r>
        <w:rPr>
          <w:noProof/>
        </w:rPr>
        <w:t xml:space="preserve"> Предложение/инициатива с </w:t>
      </w:r>
      <w:r>
        <w:rPr>
          <w:b/>
          <w:noProof/>
        </w:rPr>
        <w:t xml:space="preserve">ограничен срок на действие </w:t>
      </w:r>
    </w:p>
    <w:p>
      <w:pPr>
        <w:pStyle w:val="ListDash2"/>
        <w:rPr>
          <w:noProof/>
        </w:rPr>
      </w:pPr>
      <w:r>
        <w:rPr>
          <w:noProof/>
        </w:rPr>
        <w:sym w:font="Wingdings" w:char="F078"/>
      </w:r>
      <w:r>
        <w:rPr>
          <w:noProof/>
        </w:rPr>
        <w:tab/>
        <w:t>Предложение/инициатива в сила от 1.1.2017 г. до 31.12.2023 г.</w:t>
      </w:r>
    </w:p>
    <w:p>
      <w:pPr>
        <w:pStyle w:val="ListDash2"/>
        <w:rPr>
          <w:noProof/>
        </w:rPr>
      </w:pPr>
      <w:r>
        <w:rPr>
          <w:noProof/>
        </w:rPr>
        <w:sym w:font="Wingdings" w:char="F078"/>
      </w:r>
      <w:r>
        <w:rPr>
          <w:noProof/>
        </w:rPr>
        <w:tab/>
        <w:t>Финансово отражение от 2017 г. до 2020 г.</w:t>
      </w:r>
    </w:p>
    <w:p>
      <w:pPr>
        <w:pStyle w:val="Text1"/>
        <w:rPr>
          <w:noProof/>
        </w:rPr>
      </w:pPr>
      <w:r>
        <w:rPr>
          <w:noProof/>
        </w:rPr>
        <w:sym w:font="Wingdings" w:char="F0A8"/>
      </w:r>
      <w:r>
        <w:rPr>
          <w:noProof/>
        </w:rPr>
        <w:t xml:space="preserve"> Предложение/инициатива с </w:t>
      </w:r>
      <w:r>
        <w:rPr>
          <w:b/>
          <w:noProof/>
        </w:rPr>
        <w:t>неограничен срок на действие</w:t>
      </w:r>
    </w:p>
    <w:p>
      <w:pPr>
        <w:pStyle w:val="ListDash1"/>
        <w:rPr>
          <w:noProof/>
        </w:rPr>
      </w:pPr>
      <w:r>
        <w:rPr>
          <w:noProof/>
        </w:rPr>
        <w:t>Изпълнение с период на започване на дейност от ГГГГ до ГГГГ,</w:t>
      </w:r>
    </w:p>
    <w:p>
      <w:pPr>
        <w:pStyle w:val="ListDash1"/>
        <w:rPr>
          <w:noProof/>
        </w:rPr>
      </w:pPr>
      <w:r>
        <w:rPr>
          <w:noProof/>
        </w:rPr>
        <w:t>последван от функциониране с пълен капацитет.</w:t>
      </w:r>
    </w:p>
    <w:p>
      <w:pPr>
        <w:pStyle w:val="ManualHeading2"/>
        <w:rPr>
          <w:bCs/>
          <w:noProof/>
          <w:szCs w:val="24"/>
        </w:rPr>
      </w:pPr>
      <w:r>
        <w:rPr>
          <w:noProof/>
        </w:rPr>
        <w:t>1.7.</w:t>
      </w:r>
      <w:r>
        <w:rPr>
          <w:noProof/>
        </w:rPr>
        <w:tab/>
        <w:t>Планирани методи на управление</w:t>
      </w:r>
      <w:r>
        <w:rPr>
          <w:rStyle w:val="FootnoteReference"/>
          <w:noProof/>
        </w:rPr>
        <w:footnoteReference w:id="9"/>
      </w:r>
      <w:r>
        <w:rPr>
          <w:rStyle w:val="FootnoteReference"/>
          <w:noProof/>
        </w:rPr>
        <w:t xml:space="preserve"> </w:t>
      </w:r>
    </w:p>
    <w:p>
      <w:pPr>
        <w:pStyle w:val="Text1"/>
        <w:rPr>
          <w:noProof/>
        </w:rPr>
      </w:pPr>
      <w:r>
        <w:rPr>
          <w:noProof/>
        </w:rPr>
        <w:sym w:font="Wingdings" w:char="F0A8"/>
      </w:r>
      <w:r>
        <w:rPr>
          <w:noProof/>
        </w:rPr>
        <w:t xml:space="preserve"> </w:t>
      </w:r>
      <w:r>
        <w:rPr>
          <w:b/>
          <w:noProof/>
        </w:rPr>
        <w:t>Пряко управление</w:t>
      </w:r>
      <w:r>
        <w:rPr>
          <w:noProof/>
        </w:rPr>
        <w:t xml:space="preserve"> от Комисията</w:t>
      </w:r>
    </w:p>
    <w:p>
      <w:pPr>
        <w:pStyle w:val="ListDash2"/>
        <w:rPr>
          <w:rFonts w:cs="EUAlbertina"/>
          <w:noProof/>
        </w:rPr>
      </w:pPr>
      <w:r>
        <w:rPr>
          <w:noProof/>
        </w:rPr>
        <w:sym w:font="Wingdings" w:char="F0A8"/>
      </w:r>
      <w:r>
        <w:rPr>
          <w:noProof/>
        </w:rPr>
        <w:t xml:space="preserve"> от нейните служби, включително от нейния персонал в делегациите на Съюза; </w:t>
      </w:r>
    </w:p>
    <w:p>
      <w:pPr>
        <w:pStyle w:val="ListDash2"/>
        <w:rPr>
          <w:noProof/>
        </w:rPr>
      </w:pPr>
      <w:r>
        <w:rPr>
          <w:noProof/>
        </w:rPr>
        <w:sym w:font="Wingdings" w:char="F0A8"/>
      </w:r>
      <w:r>
        <w:rPr>
          <w:noProof/>
        </w:rPr>
        <w:tab/>
        <w:t xml:space="preserve">от изпълнителните агенции. </w:t>
      </w:r>
    </w:p>
    <w:p>
      <w:pPr>
        <w:pStyle w:val="Text1"/>
        <w:rPr>
          <w:noProof/>
        </w:rPr>
      </w:pPr>
      <w:r>
        <w:rPr>
          <w:noProof/>
        </w:rPr>
        <w:sym w:font="Wingdings" w:char="F078"/>
      </w:r>
      <w:r>
        <w:rPr>
          <w:noProof/>
        </w:rPr>
        <w:t xml:space="preserve"> </w:t>
      </w:r>
      <w:r>
        <w:rPr>
          <w:b/>
          <w:noProof/>
        </w:rPr>
        <w:t>Споделено управление</w:t>
      </w:r>
      <w:r>
        <w:rPr>
          <w:noProof/>
        </w:rPr>
        <w:t xml:space="preserve"> с държавите членки </w:t>
      </w:r>
    </w:p>
    <w:p>
      <w:pPr>
        <w:pStyle w:val="Text1"/>
        <w:rPr>
          <w:noProof/>
        </w:rPr>
      </w:pPr>
      <w:r>
        <w:rPr>
          <w:noProof/>
        </w:rPr>
        <w:sym w:font="Wingdings" w:char="F0A8"/>
      </w:r>
      <w:r>
        <w:rPr>
          <w:noProof/>
        </w:rPr>
        <w:t xml:space="preserve"> </w:t>
      </w:r>
      <w:r>
        <w:rPr>
          <w:b/>
          <w:noProof/>
        </w:rPr>
        <w:t>Непряко управление</w:t>
      </w:r>
      <w:r>
        <w:rPr>
          <w:noProof/>
        </w:rPr>
        <w:t xml:space="preserve"> чрез възлагане на задачи по изпълнението на бюджета на:</w:t>
      </w:r>
    </w:p>
    <w:p>
      <w:pPr>
        <w:pStyle w:val="ListDash2"/>
        <w:rPr>
          <w:noProof/>
        </w:rPr>
      </w:pPr>
      <w:r>
        <w:rPr>
          <w:noProof/>
        </w:rPr>
        <w:sym w:font="Wingdings" w:char="F0A8"/>
      </w:r>
      <w:r>
        <w:rPr>
          <w:noProof/>
        </w:rPr>
        <w:t xml:space="preserve"> трети държави или на органите, определени от тях;</w:t>
      </w:r>
    </w:p>
    <w:p>
      <w:pPr>
        <w:pStyle w:val="ListDash2"/>
        <w:rPr>
          <w:noProof/>
        </w:rPr>
      </w:pPr>
      <w:r>
        <w:rPr>
          <w:noProof/>
        </w:rPr>
        <w:sym w:font="Wingdings" w:char="F0A8"/>
      </w:r>
      <w:r>
        <w:rPr>
          <w:noProof/>
        </w:rPr>
        <w:t xml:space="preserve"> международни организации и техните агенции (да се уточни);</w:t>
      </w:r>
    </w:p>
    <w:p>
      <w:pPr>
        <w:pStyle w:val="ListDash2"/>
        <w:rPr>
          <w:noProof/>
        </w:rPr>
      </w:pPr>
      <w:r>
        <w:rPr>
          <w:noProof/>
        </w:rPr>
        <w:sym w:font="Wingdings" w:char="F0A8"/>
      </w:r>
      <w:r>
        <w:rPr>
          <w:noProof/>
        </w:rPr>
        <w:t xml:space="preserve"> ЕИБ и Европейския инвестиционен фонд;</w:t>
      </w:r>
    </w:p>
    <w:p>
      <w:pPr>
        <w:pStyle w:val="ListDash2"/>
        <w:rPr>
          <w:noProof/>
        </w:rPr>
      </w:pPr>
      <w:r>
        <w:rPr>
          <w:noProof/>
        </w:rPr>
        <w:sym w:font="Wingdings" w:char="F0A8"/>
      </w:r>
      <w:r>
        <w:rPr>
          <w:noProof/>
        </w:rPr>
        <w:t xml:space="preserve"> органите, посочени в членове 208 и 209 от Финансовия регламент;</w:t>
      </w:r>
    </w:p>
    <w:p>
      <w:pPr>
        <w:pStyle w:val="ListDash2"/>
        <w:rPr>
          <w:noProof/>
        </w:rPr>
      </w:pPr>
      <w:r>
        <w:rPr>
          <w:noProof/>
        </w:rPr>
        <w:sym w:font="Wingdings" w:char="F0A8"/>
      </w:r>
      <w:r>
        <w:rPr>
          <w:noProof/>
        </w:rPr>
        <w:t xml:space="preserve"> публичноправни органи;</w:t>
      </w:r>
    </w:p>
    <w:p>
      <w:pPr>
        <w:pStyle w:val="ListDash2"/>
        <w:rPr>
          <w:noProof/>
        </w:rPr>
      </w:pPr>
      <w:r>
        <w:rPr>
          <w:noProof/>
        </w:rPr>
        <w:sym w:font="Wingdings" w:char="F0A8"/>
      </w:r>
      <w:r>
        <w:rPr>
          <w:noProof/>
        </w:rPr>
        <w:t xml:space="preserve"> частноправни органи със задължение за обществена услуга, доколкото предоставят подходящи финансови гаранции;</w:t>
      </w:r>
    </w:p>
    <w:p>
      <w:pPr>
        <w:pStyle w:val="ListDash2"/>
        <w:rPr>
          <w:noProof/>
        </w:rPr>
      </w:pPr>
      <w:r>
        <w:rPr>
          <w:noProof/>
        </w:rPr>
        <w:sym w:font="Wingdings" w:char="F0A8"/>
      </w:r>
      <w:r>
        <w:rPr>
          <w:noProof/>
        </w:rPr>
        <w:t xml:space="preserve"> органи,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финансови гаранции;</w:t>
      </w:r>
    </w:p>
    <w:p>
      <w:pPr>
        <w:pStyle w:val="ListDash2"/>
        <w:rPr>
          <w:noProof/>
        </w:rPr>
      </w:pPr>
      <w:r>
        <w:rPr>
          <w:noProof/>
        </w:rPr>
        <w:sym w:font="Wingdings" w:char="F0A8"/>
      </w:r>
      <w:r>
        <w:rPr>
          <w:noProof/>
        </w:rPr>
        <w:t xml:space="preserve"> 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pPr>
        <w:pStyle w:val="ListDash2"/>
        <w:rPr>
          <w:i/>
          <w:noProof/>
          <w:sz w:val="18"/>
          <w:u w:val="single"/>
        </w:rPr>
      </w:pPr>
      <w:r>
        <w:rPr>
          <w:i/>
          <w:noProof/>
          <w:sz w:val="18"/>
        </w:rPr>
        <w:t>Ако е посочен повече от един метод на управление, пояснете в частта „Забележки“.</w:t>
      </w:r>
    </w:p>
    <w:p>
      <w:pPr>
        <w:rPr>
          <w:noProof/>
        </w:rPr>
      </w:pPr>
      <w:r>
        <w:rPr>
          <w:noProof/>
        </w:rPr>
        <w:t xml:space="preserve">Забележки </w:t>
      </w:r>
    </w:p>
    <w:p>
      <w:pPr>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1"/>
        <w:rPr>
          <w:bCs/>
          <w:noProof/>
          <w:szCs w:val="24"/>
        </w:rPr>
      </w:pPr>
      <w:r>
        <w:rPr>
          <w:noProof/>
        </w:rPr>
        <w:t>2.</w:t>
      </w:r>
      <w:r>
        <w:rPr>
          <w:noProof/>
        </w:rPr>
        <w:tab/>
        <w:t xml:space="preserve">МЕРКИ ЗА УПРАВЛЕНИЕ </w:t>
      </w:r>
    </w:p>
    <w:p>
      <w:pPr>
        <w:pStyle w:val="ManualHeading2"/>
        <w:rPr>
          <w:noProof/>
        </w:rPr>
      </w:pPr>
      <w:r>
        <w:rPr>
          <w:noProof/>
        </w:rPr>
        <w:t>2.1.</w:t>
      </w:r>
      <w:r>
        <w:rPr>
          <w:noProof/>
        </w:rPr>
        <w:tab/>
        <w:t xml:space="preserve">Правила за мониторинг и докладване </w:t>
      </w:r>
    </w:p>
    <w:p>
      <w:pPr>
        <w:pStyle w:val="Text1"/>
        <w:rPr>
          <w:i/>
          <w:noProof/>
          <w:sz w:val="20"/>
          <w:u w:val="single"/>
        </w:rPr>
      </w:pPr>
      <w:r>
        <w:rPr>
          <w:i/>
          <w:noProof/>
          <w:sz w:val="20"/>
        </w:rPr>
        <w:t>Да се посочат честотата и условията.</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2"/>
        <w:rPr>
          <w:bCs/>
          <w:noProof/>
          <w:szCs w:val="24"/>
        </w:rPr>
      </w:pPr>
      <w:r>
        <w:rPr>
          <w:noProof/>
        </w:rPr>
        <w:t>2.2.</w:t>
      </w:r>
      <w:r>
        <w:rPr>
          <w:noProof/>
        </w:rPr>
        <w:tab/>
        <w:t xml:space="preserve">Система за управление и контрол </w:t>
      </w:r>
    </w:p>
    <w:p>
      <w:pPr>
        <w:pStyle w:val="ManualHeading3"/>
        <w:rPr>
          <w:noProof/>
        </w:rPr>
      </w:pPr>
      <w:r>
        <w:rPr>
          <w:noProof/>
        </w:rPr>
        <w:t>2.2.1.</w:t>
      </w:r>
      <w:r>
        <w:rPr>
          <w:noProof/>
        </w:rPr>
        <w:tab/>
        <w:t xml:space="preserve">Установени рискове </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3"/>
        <w:rPr>
          <w:bCs/>
          <w:noProof/>
          <w:szCs w:val="24"/>
        </w:rPr>
      </w:pPr>
      <w:r>
        <w:rPr>
          <w:noProof/>
        </w:rPr>
        <w:t>2.2.2.</w:t>
      </w:r>
      <w:r>
        <w:rPr>
          <w:noProof/>
        </w:rPr>
        <w:tab/>
        <w:t>Информация за структурата на системата за вътрешен контрол</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3"/>
        <w:rPr>
          <w:noProof/>
        </w:rPr>
      </w:pPr>
      <w:r>
        <w:rPr>
          <w:noProof/>
        </w:rPr>
        <w:t>2.2.3.</w:t>
      </w:r>
      <w:r>
        <w:rPr>
          <w:noProof/>
        </w:rPr>
        <w:tab/>
        <w:t xml:space="preserve">Оценка на разходите и ползите от проверките и на очаквания риск от грешка </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pStyle w:val="ManualHeading2"/>
        <w:rPr>
          <w:bCs/>
          <w:noProof/>
          <w:szCs w:val="24"/>
        </w:rPr>
      </w:pPr>
      <w:r>
        <w:rPr>
          <w:noProof/>
        </w:rPr>
        <w:t>2.3.</w:t>
      </w:r>
      <w:r>
        <w:rPr>
          <w:noProof/>
        </w:rPr>
        <w:tab/>
        <w:t xml:space="preserve">Мерки за предотвратяване на измами и нередности </w:t>
      </w:r>
    </w:p>
    <w:p>
      <w:pPr>
        <w:pStyle w:val="Text1"/>
        <w:rPr>
          <w:i/>
          <w:noProof/>
          <w:sz w:val="20"/>
        </w:rPr>
      </w:pPr>
      <w:r>
        <w:rPr>
          <w:i/>
          <w:noProof/>
          <w:sz w:val="20"/>
        </w:rPr>
        <w:t>Да се посочат съществуващите или планираните мерки за предотвратяване и защита.</w:t>
      </w:r>
    </w:p>
    <w:p>
      <w:pPr>
        <w:pStyle w:val="Text1"/>
        <w:pBdr>
          <w:top w:val="single" w:sz="4" w:space="1" w:color="auto"/>
          <w:left w:val="single" w:sz="4" w:space="4" w:color="auto"/>
          <w:bottom w:val="single" w:sz="4" w:space="1" w:color="auto"/>
          <w:right w:val="single" w:sz="4" w:space="4" w:color="auto"/>
        </w:pBdr>
        <w:rPr>
          <w:noProof/>
        </w:rPr>
      </w:pPr>
      <w:r>
        <w:rPr>
          <w:noProof/>
        </w:rPr>
        <w:t>Не е приложимо</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ОЧАКВАНО ФИНАНСОВО ОТРАЖЕНИЕ НА ПРЕДЛОЖЕНИЕТО/ИНИЦИАТИВАТА </w:t>
      </w:r>
    </w:p>
    <w:p>
      <w:pPr>
        <w:pStyle w:val="ManualHeading2"/>
        <w:rPr>
          <w:noProof/>
        </w:rPr>
      </w:pPr>
      <w:r>
        <w:rPr>
          <w:noProof/>
        </w:rPr>
        <w:t>3.1.</w:t>
      </w:r>
      <w:r>
        <w:rPr>
          <w:noProof/>
        </w:rPr>
        <w:tab/>
        <w:t xml:space="preserve">Съответни функции от многогодишната финансова рамка и разходни бюджетни редове </w:t>
      </w:r>
    </w:p>
    <w:p>
      <w:pPr>
        <w:pStyle w:val="ListBullet1"/>
        <w:rPr>
          <w:noProof/>
        </w:rPr>
      </w:pPr>
      <w:r>
        <w:rPr>
          <w:noProof/>
        </w:rPr>
        <w:t xml:space="preserve">Съществуващи бюджетни редове </w:t>
      </w:r>
    </w:p>
    <w:p>
      <w:pPr>
        <w:pStyle w:val="Text1"/>
        <w:rPr>
          <w:noProof/>
        </w:rPr>
      </w:pPr>
      <w:r>
        <w:rPr>
          <w:noProof/>
          <w:u w:val="single"/>
        </w:rPr>
        <w:t>По реда</w:t>
      </w:r>
      <w:r>
        <w:rPr>
          <w:noProof/>
        </w:rPr>
        <w:t xml:space="preserve"> на функциите от многогодишната финансова рамка и на бюджетните редове.</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58"/>
        <w:gridCol w:w="1082"/>
        <w:gridCol w:w="956"/>
        <w:gridCol w:w="1080"/>
        <w:gridCol w:w="956"/>
        <w:gridCol w:w="1448"/>
      </w:tblGrid>
      <w:tr>
        <w:tc>
          <w:tcPr>
            <w:tcW w:w="1080" w:type="dxa"/>
            <w:vMerge w:val="restart"/>
            <w:vAlign w:val="center"/>
          </w:tcPr>
          <w:p>
            <w:pPr>
              <w:spacing w:before="60" w:after="60"/>
              <w:jc w:val="center"/>
              <w:rPr>
                <w:noProof/>
              </w:rPr>
            </w:pPr>
            <w:r>
              <w:rPr>
                <w:noProof/>
                <w:sz w:val="18"/>
              </w:rPr>
              <w:t>Функция от многогодишната финансова рамка</w:t>
            </w:r>
          </w:p>
        </w:tc>
        <w:tc>
          <w:tcPr>
            <w:tcW w:w="3958" w:type="dxa"/>
            <w:vAlign w:val="center"/>
          </w:tcPr>
          <w:p>
            <w:pPr>
              <w:spacing w:before="60" w:after="60"/>
              <w:jc w:val="center"/>
              <w:rPr>
                <w:noProof/>
              </w:rPr>
            </w:pPr>
            <w:r>
              <w:rPr>
                <w:noProof/>
                <w:sz w:val="20"/>
              </w:rPr>
              <w:t>Бюджетен ред</w:t>
            </w:r>
          </w:p>
        </w:tc>
        <w:tc>
          <w:tcPr>
            <w:tcW w:w="1082" w:type="dxa"/>
            <w:vAlign w:val="center"/>
          </w:tcPr>
          <w:p>
            <w:pPr>
              <w:spacing w:before="60" w:after="60"/>
              <w:jc w:val="center"/>
              <w:rPr>
                <w:noProof/>
              </w:rPr>
            </w:pPr>
            <w:r>
              <w:rPr>
                <w:noProof/>
              </w:rPr>
              <w:t>Вид на</w:t>
            </w:r>
            <w:r>
              <w:rPr>
                <w:noProof/>
              </w:rPr>
              <w:br/>
            </w:r>
            <w:r>
              <w:rPr>
                <w:noProof/>
                <w:sz w:val="18"/>
              </w:rPr>
              <w:t>разхода</w:t>
            </w:r>
          </w:p>
        </w:tc>
        <w:tc>
          <w:tcPr>
            <w:tcW w:w="4440" w:type="dxa"/>
            <w:gridSpan w:val="4"/>
            <w:vAlign w:val="center"/>
          </w:tcPr>
          <w:p>
            <w:pPr>
              <w:spacing w:before="60" w:after="60"/>
              <w:jc w:val="center"/>
              <w:rPr>
                <w:noProof/>
              </w:rPr>
            </w:pPr>
            <w:r>
              <w:rPr>
                <w:noProof/>
                <w:sz w:val="20"/>
              </w:rPr>
              <w:t xml:space="preserve">Финансов принос </w:t>
            </w:r>
          </w:p>
        </w:tc>
      </w:tr>
      <w:tr>
        <w:tc>
          <w:tcPr>
            <w:tcW w:w="1080" w:type="dxa"/>
            <w:vMerge/>
            <w:vAlign w:val="center"/>
          </w:tcPr>
          <w:p>
            <w:pPr>
              <w:jc w:val="center"/>
              <w:rPr>
                <w:noProof/>
              </w:rPr>
            </w:pPr>
          </w:p>
        </w:tc>
        <w:tc>
          <w:tcPr>
            <w:tcW w:w="3958" w:type="dxa"/>
            <w:vAlign w:val="center"/>
          </w:tcPr>
          <w:p>
            <w:pPr>
              <w:rPr>
                <w:noProof/>
              </w:rPr>
            </w:pPr>
            <w:r>
              <w:rPr>
                <w:noProof/>
              </w:rPr>
              <w:t>Номер</w:t>
            </w:r>
            <w:r>
              <w:rPr>
                <w:noProof/>
              </w:rPr>
              <w:br/>
            </w:r>
            <w:r>
              <w:rPr>
                <w:noProof/>
                <w:sz w:val="20"/>
              </w:rPr>
              <w:t>[Функция………………………...…………]</w:t>
            </w:r>
          </w:p>
        </w:tc>
        <w:tc>
          <w:tcPr>
            <w:tcW w:w="1082" w:type="dxa"/>
            <w:vAlign w:val="center"/>
          </w:tcPr>
          <w:p>
            <w:pPr>
              <w:jc w:val="center"/>
              <w:rPr>
                <w:noProof/>
              </w:rPr>
            </w:pPr>
            <w:r>
              <w:rPr>
                <w:noProof/>
              </w:rPr>
              <w:t>Многогод./едногод.</w:t>
            </w:r>
            <w:r>
              <w:rPr>
                <w:rStyle w:val="FootnoteReference"/>
                <w:noProof/>
              </w:rPr>
              <w:footnoteReference w:id="10"/>
            </w:r>
          </w:p>
        </w:tc>
        <w:tc>
          <w:tcPr>
            <w:tcW w:w="956" w:type="dxa"/>
            <w:vAlign w:val="center"/>
          </w:tcPr>
          <w:p>
            <w:pPr>
              <w:jc w:val="center"/>
              <w:rPr>
                <w:noProof/>
              </w:rPr>
            </w:pPr>
            <w:r>
              <w:rPr>
                <w:noProof/>
                <w:sz w:val="18"/>
              </w:rPr>
              <w:t>от държави от ЕАСТ</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от държави кандидатки</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от трети държави</w:t>
            </w:r>
          </w:p>
        </w:tc>
        <w:tc>
          <w:tcPr>
            <w:tcW w:w="1448" w:type="dxa"/>
            <w:vAlign w:val="center"/>
          </w:tcPr>
          <w:p>
            <w:pPr>
              <w:jc w:val="center"/>
              <w:rPr>
                <w:noProof/>
              </w:rPr>
            </w:pPr>
            <w:r>
              <w:rPr>
                <w:noProof/>
                <w:sz w:val="16"/>
              </w:rPr>
              <w:t xml:space="preserve">по смисъла на член 21, параграф 2, буква б) от Финансовия регламент </w:t>
            </w:r>
          </w:p>
        </w:tc>
      </w:tr>
      <w:tr>
        <w:tc>
          <w:tcPr>
            <w:tcW w:w="1080" w:type="dxa"/>
            <w:shd w:val="clear" w:color="auto" w:fill="auto"/>
            <w:vAlign w:val="center"/>
          </w:tcPr>
          <w:p>
            <w:pPr>
              <w:jc w:val="center"/>
              <w:rPr>
                <w:noProof/>
                <w:color w:val="0000FF"/>
                <w:sz w:val="22"/>
              </w:rPr>
            </w:pPr>
            <w:r>
              <w:rPr>
                <w:noProof/>
                <w:sz w:val="22"/>
              </w:rPr>
              <w:t>1 Интелигентен и приобщаващ растеж</w:t>
            </w:r>
          </w:p>
        </w:tc>
        <w:tc>
          <w:tcPr>
            <w:tcW w:w="3958" w:type="dxa"/>
            <w:vAlign w:val="center"/>
          </w:tcPr>
          <w:p>
            <w:pPr>
              <w:spacing w:after="60"/>
              <w:rPr>
                <w:noProof/>
                <w:sz w:val="22"/>
              </w:rPr>
            </w:pPr>
            <w:r>
              <w:rPr>
                <w:noProof/>
                <w:sz w:val="22"/>
              </w:rPr>
              <w:t>04 02 60 — Европейски социален фонд — По-слабо развити региони — Цел „Инвестиции за растеж и работни места“</w:t>
            </w:r>
          </w:p>
          <w:p>
            <w:pPr>
              <w:spacing w:after="60"/>
              <w:rPr>
                <w:noProof/>
                <w:sz w:val="22"/>
              </w:rPr>
            </w:pPr>
            <w:r>
              <w:rPr>
                <w:noProof/>
                <w:sz w:val="22"/>
              </w:rPr>
              <w:t>04 02 61 — Европейски социален фонд — Региони в преход — Цел „Инвестиции за растеж и работни места“</w:t>
            </w:r>
          </w:p>
          <w:p>
            <w:pPr>
              <w:spacing w:after="60"/>
              <w:rPr>
                <w:noProof/>
                <w:sz w:val="22"/>
              </w:rPr>
            </w:pPr>
            <w:r>
              <w:rPr>
                <w:noProof/>
                <w:sz w:val="22"/>
              </w:rPr>
              <w:t>04 02 62 — Европейски социален фонд — По-силно развити региони — Цел „Инвестиции за растеж и работни места“</w:t>
            </w:r>
          </w:p>
          <w:p>
            <w:pPr>
              <w:spacing w:after="60"/>
              <w:rPr>
                <w:noProof/>
              </w:rPr>
            </w:pPr>
            <w:r>
              <w:rPr>
                <w:noProof/>
                <w:sz w:val="22"/>
              </w:rPr>
              <w:t>04 02 64 — Инициатива за младежка заетост (ИМЗ)</w:t>
            </w:r>
          </w:p>
        </w:tc>
        <w:tc>
          <w:tcPr>
            <w:tcW w:w="1082" w:type="dxa"/>
            <w:vAlign w:val="center"/>
          </w:tcPr>
          <w:p>
            <w:pPr>
              <w:jc w:val="center"/>
              <w:rPr>
                <w:noProof/>
                <w:color w:val="0000FF"/>
                <w:sz w:val="22"/>
              </w:rPr>
            </w:pPr>
            <w:r>
              <w:rPr>
                <w:noProof/>
                <w:sz w:val="22"/>
              </w:rPr>
              <w:t>Многогод.</w:t>
            </w:r>
          </w:p>
        </w:tc>
        <w:tc>
          <w:tcPr>
            <w:tcW w:w="956" w:type="dxa"/>
            <w:vAlign w:val="center"/>
          </w:tcPr>
          <w:p>
            <w:pPr>
              <w:jc w:val="center"/>
              <w:rPr>
                <w:noProof/>
                <w:sz w:val="22"/>
              </w:rPr>
            </w:pPr>
            <w:r>
              <w:rPr>
                <w:noProof/>
                <w:sz w:val="22"/>
              </w:rPr>
              <w:t>НЕ</w:t>
            </w:r>
          </w:p>
        </w:tc>
        <w:tc>
          <w:tcPr>
            <w:tcW w:w="1080" w:type="dxa"/>
            <w:vAlign w:val="center"/>
          </w:tcPr>
          <w:p>
            <w:pPr>
              <w:jc w:val="center"/>
              <w:rPr>
                <w:noProof/>
                <w:sz w:val="22"/>
              </w:rPr>
            </w:pPr>
            <w:r>
              <w:rPr>
                <w:noProof/>
                <w:sz w:val="22"/>
              </w:rPr>
              <w:t>НЕ</w:t>
            </w:r>
          </w:p>
        </w:tc>
        <w:tc>
          <w:tcPr>
            <w:tcW w:w="956" w:type="dxa"/>
            <w:vAlign w:val="center"/>
          </w:tcPr>
          <w:p>
            <w:pPr>
              <w:jc w:val="center"/>
              <w:rPr>
                <w:noProof/>
                <w:sz w:val="22"/>
              </w:rPr>
            </w:pPr>
            <w:r>
              <w:rPr>
                <w:noProof/>
                <w:sz w:val="22"/>
              </w:rPr>
              <w:t>НЕ</w:t>
            </w:r>
          </w:p>
        </w:tc>
        <w:tc>
          <w:tcPr>
            <w:tcW w:w="1448" w:type="dxa"/>
            <w:vAlign w:val="center"/>
          </w:tcPr>
          <w:p>
            <w:pPr>
              <w:jc w:val="center"/>
              <w:rPr>
                <w:noProof/>
                <w:sz w:val="22"/>
              </w:rPr>
            </w:pPr>
            <w:r>
              <w:rPr>
                <w:noProof/>
                <w:sz w:val="22"/>
              </w:rPr>
              <w:t>НЕ</w:t>
            </w:r>
          </w:p>
        </w:tc>
      </w:tr>
    </w:tbl>
    <w:p>
      <w:pPr>
        <w:rPr>
          <w:noProof/>
        </w:rPr>
      </w:pPr>
    </w:p>
    <w:p>
      <w:pPr>
        <w:pStyle w:val="ListBullet1"/>
        <w:rPr>
          <w:noProof/>
        </w:rPr>
      </w:pPr>
      <w:r>
        <w:rPr>
          <w:noProof/>
        </w:rPr>
        <w:t xml:space="preserve">Поискани нови бюджетни редове </w:t>
      </w:r>
    </w:p>
    <w:p>
      <w:pPr>
        <w:pStyle w:val="Text1"/>
        <w:rPr>
          <w:i/>
          <w:noProof/>
          <w:sz w:val="20"/>
        </w:rPr>
      </w:pPr>
      <w:r>
        <w:rPr>
          <w:i/>
          <w:noProof/>
          <w:u w:val="single"/>
        </w:rPr>
        <w:t>По реда</w:t>
      </w:r>
      <w:r>
        <w:rPr>
          <w:i/>
          <w:noProof/>
        </w:rPr>
        <w:t xml:space="preserve"> на функциите от многогодишната финансова рамка и на бюджетните редове</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Функция от многогодишната финансова рамка</w:t>
            </w:r>
          </w:p>
        </w:tc>
        <w:tc>
          <w:tcPr>
            <w:tcW w:w="3960" w:type="dxa"/>
            <w:vAlign w:val="center"/>
          </w:tcPr>
          <w:p>
            <w:pPr>
              <w:spacing w:before="60" w:after="60"/>
              <w:jc w:val="center"/>
              <w:rPr>
                <w:noProof/>
              </w:rPr>
            </w:pPr>
            <w:r>
              <w:rPr>
                <w:noProof/>
                <w:sz w:val="20"/>
              </w:rPr>
              <w:t>Бюджетен ред</w:t>
            </w:r>
          </w:p>
        </w:tc>
        <w:tc>
          <w:tcPr>
            <w:tcW w:w="1080" w:type="dxa"/>
            <w:vAlign w:val="center"/>
          </w:tcPr>
          <w:p>
            <w:pPr>
              <w:spacing w:before="60" w:after="60"/>
              <w:jc w:val="center"/>
              <w:rPr>
                <w:noProof/>
              </w:rPr>
            </w:pPr>
            <w:r>
              <w:rPr>
                <w:noProof/>
              </w:rPr>
              <w:t>Вид на</w:t>
            </w:r>
            <w:r>
              <w:rPr>
                <w:noProof/>
              </w:rPr>
              <w:br/>
            </w:r>
            <w:r>
              <w:rPr>
                <w:noProof/>
                <w:sz w:val="18"/>
              </w:rPr>
              <w:t>разхода</w:t>
            </w:r>
          </w:p>
        </w:tc>
        <w:tc>
          <w:tcPr>
            <w:tcW w:w="4440" w:type="dxa"/>
            <w:gridSpan w:val="4"/>
            <w:vAlign w:val="center"/>
          </w:tcPr>
          <w:p>
            <w:pPr>
              <w:spacing w:before="60" w:after="60"/>
              <w:jc w:val="center"/>
              <w:rPr>
                <w:noProof/>
              </w:rPr>
            </w:pPr>
            <w:r>
              <w:rPr>
                <w:noProof/>
                <w:sz w:val="20"/>
              </w:rPr>
              <w:t xml:space="preserve">Финансов принос </w:t>
            </w:r>
          </w:p>
        </w:tc>
      </w:tr>
      <w:tr>
        <w:tc>
          <w:tcPr>
            <w:tcW w:w="1080" w:type="dxa"/>
            <w:vMerge/>
            <w:vAlign w:val="center"/>
          </w:tcPr>
          <w:p>
            <w:pPr>
              <w:jc w:val="center"/>
              <w:rPr>
                <w:noProof/>
              </w:rPr>
            </w:pPr>
          </w:p>
        </w:tc>
        <w:tc>
          <w:tcPr>
            <w:tcW w:w="3960" w:type="dxa"/>
            <w:vAlign w:val="center"/>
          </w:tcPr>
          <w:p>
            <w:pPr>
              <w:rPr>
                <w:noProof/>
              </w:rPr>
            </w:pPr>
            <w:r>
              <w:rPr>
                <w:noProof/>
              </w:rPr>
              <w:t>Номер</w:t>
            </w:r>
            <w:r>
              <w:rPr>
                <w:noProof/>
              </w:rPr>
              <w:br/>
            </w:r>
            <w:r>
              <w:rPr>
                <w:noProof/>
                <w:sz w:val="20"/>
              </w:rPr>
              <w:t>[Функция………………………...…………]</w:t>
            </w:r>
          </w:p>
        </w:tc>
        <w:tc>
          <w:tcPr>
            <w:tcW w:w="1080" w:type="dxa"/>
            <w:vAlign w:val="center"/>
          </w:tcPr>
          <w:p>
            <w:pPr>
              <w:jc w:val="center"/>
              <w:rPr>
                <w:noProof/>
              </w:rPr>
            </w:pPr>
            <w:r>
              <w:rPr>
                <w:noProof/>
                <w:sz w:val="18"/>
              </w:rPr>
              <w:t>Многогод./едногод.</w:t>
            </w:r>
          </w:p>
        </w:tc>
        <w:tc>
          <w:tcPr>
            <w:tcW w:w="956" w:type="dxa"/>
            <w:vAlign w:val="center"/>
          </w:tcPr>
          <w:p>
            <w:pPr>
              <w:jc w:val="center"/>
              <w:rPr>
                <w:noProof/>
                <w:sz w:val="18"/>
              </w:rPr>
            </w:pPr>
            <w:r>
              <w:rPr>
                <w:noProof/>
                <w:sz w:val="18"/>
              </w:rPr>
              <w:t>от държави от ЕАСТ</w:t>
            </w:r>
          </w:p>
        </w:tc>
        <w:tc>
          <w:tcPr>
            <w:tcW w:w="1080" w:type="dxa"/>
            <w:vAlign w:val="center"/>
          </w:tcPr>
          <w:p>
            <w:pPr>
              <w:jc w:val="center"/>
              <w:rPr>
                <w:noProof/>
                <w:sz w:val="18"/>
              </w:rPr>
            </w:pPr>
            <w:r>
              <w:rPr>
                <w:noProof/>
                <w:sz w:val="18"/>
              </w:rPr>
              <w:t>от държави кандидатки</w:t>
            </w:r>
          </w:p>
        </w:tc>
        <w:tc>
          <w:tcPr>
            <w:tcW w:w="956" w:type="dxa"/>
            <w:vAlign w:val="center"/>
          </w:tcPr>
          <w:p>
            <w:pPr>
              <w:jc w:val="center"/>
              <w:rPr>
                <w:noProof/>
                <w:sz w:val="18"/>
              </w:rPr>
            </w:pPr>
            <w:r>
              <w:rPr>
                <w:noProof/>
                <w:sz w:val="18"/>
              </w:rPr>
              <w:t>от трети държави</w:t>
            </w:r>
          </w:p>
        </w:tc>
        <w:tc>
          <w:tcPr>
            <w:tcW w:w="1448" w:type="dxa"/>
            <w:vAlign w:val="center"/>
          </w:tcPr>
          <w:p>
            <w:pPr>
              <w:jc w:val="center"/>
              <w:rPr>
                <w:noProof/>
              </w:rPr>
            </w:pPr>
            <w:r>
              <w:rPr>
                <w:noProof/>
                <w:sz w:val="16"/>
              </w:rPr>
              <w:t xml:space="preserve">по смисъла на член 21, параграф 2, буква б) от Финансовия регламент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[XX.ГГ.ГГ.ГГ]</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rPr>
              <w:t>ДА/НЕ</w:t>
            </w:r>
          </w:p>
        </w:tc>
        <w:tc>
          <w:tcPr>
            <w:tcW w:w="1080" w:type="dxa"/>
            <w:vAlign w:val="center"/>
          </w:tcPr>
          <w:p>
            <w:pPr>
              <w:jc w:val="center"/>
              <w:rPr>
                <w:noProof/>
                <w:color w:val="0000FF"/>
                <w:sz w:val="18"/>
              </w:rPr>
            </w:pPr>
            <w:r>
              <w:rPr>
                <w:noProof/>
              </w:rPr>
              <w:t>ДА/НЕ</w:t>
            </w:r>
          </w:p>
        </w:tc>
        <w:tc>
          <w:tcPr>
            <w:tcW w:w="956" w:type="dxa"/>
            <w:vAlign w:val="center"/>
          </w:tcPr>
          <w:p>
            <w:pPr>
              <w:jc w:val="center"/>
              <w:rPr>
                <w:noProof/>
                <w:color w:val="0000FF"/>
                <w:sz w:val="18"/>
              </w:rPr>
            </w:pPr>
            <w:r>
              <w:rPr>
                <w:noProof/>
              </w:rPr>
              <w:t>ДА/НЕ</w:t>
            </w:r>
          </w:p>
        </w:tc>
        <w:tc>
          <w:tcPr>
            <w:tcW w:w="1448" w:type="dxa"/>
            <w:vAlign w:val="center"/>
          </w:tcPr>
          <w:p>
            <w:pPr>
              <w:jc w:val="center"/>
              <w:rPr>
                <w:noProof/>
              </w:rPr>
            </w:pPr>
            <w:r>
              <w:rPr>
                <w:noProof/>
              </w:rPr>
              <w:t>ДА/НЕ</w:t>
            </w:r>
          </w:p>
        </w:tc>
      </w:tr>
    </w:tbl>
    <w:p>
      <w:pPr>
        <w:pStyle w:val="Institutionquisigne"/>
        <w:rPr>
          <w:noProof/>
        </w:rPr>
        <w:sectPr>
          <w:pgSz w:w="11907" w:h="16839"/>
          <w:pgMar w:top="1134" w:right="1417" w:bottom="1134" w:left="1417" w:header="709" w:footer="709" w:gutter="0"/>
          <w:cols w:space="708"/>
          <w:docGrid w:linePitch="360"/>
        </w:sectPr>
      </w:pPr>
    </w:p>
    <w:p>
      <w:pPr>
        <w:pStyle w:val="ManualHeading2"/>
        <w:rPr>
          <w:bCs/>
          <w:noProof/>
          <w:szCs w:val="24"/>
        </w:rPr>
      </w:pPr>
      <w:r>
        <w:rPr>
          <w:noProof/>
        </w:rPr>
        <w:t>3.2.</w:t>
      </w:r>
      <w:r>
        <w:rPr>
          <w:noProof/>
        </w:rPr>
        <w:tab/>
        <w:t xml:space="preserve">Очаквано отражение върху разходите </w:t>
      </w:r>
    </w:p>
    <w:p>
      <w:pPr>
        <w:pBdr>
          <w:top w:val="nil"/>
          <w:left w:val="nil"/>
          <w:bottom w:val="nil"/>
          <w:right w:val="nil"/>
          <w:between w:val="nil"/>
          <w:bar w:val="nil"/>
        </w:pBdr>
        <w:spacing w:before="0" w:after="240"/>
        <w:rPr>
          <w:noProof/>
        </w:rPr>
      </w:pPr>
      <w:r>
        <w:rPr>
          <w:noProof/>
        </w:rPr>
        <w:t>Бюджетните кредити за поети задължения за специално разпределените средства за ИМЗ за 2019 г. следва да се увеличат със 116,7 млн. евро</w:t>
      </w:r>
      <w:r>
        <w:rPr>
          <w:rStyle w:val="FootnoteReference"/>
          <w:noProof/>
        </w:rPr>
        <w:footnoteReference w:id="13"/>
      </w:r>
      <w:r>
        <w:rPr>
          <w:noProof/>
        </w:rPr>
        <w:t xml:space="preserve"> по текущи цени.  Бюджетните кредити за плащания бяха съответно коригирани. </w:t>
      </w:r>
    </w:p>
    <w:p>
      <w:pPr>
        <w:pStyle w:val="ManualHeading3"/>
        <w:rPr>
          <w:noProof/>
        </w:rPr>
      </w:pPr>
    </w:p>
    <w:p>
      <w:pPr>
        <w:pStyle w:val="ManualHeading3"/>
        <w:rPr>
          <w:noProof/>
        </w:rPr>
      </w:pPr>
    </w:p>
    <w:p>
      <w:pPr>
        <w:pStyle w:val="ManualHeading3"/>
        <w:rPr>
          <w:noProof/>
          <w:u w:val="single"/>
        </w:rPr>
      </w:pPr>
      <w:r>
        <w:rPr>
          <w:noProof/>
        </w:rPr>
        <w:t>3.2.1.</w:t>
      </w:r>
      <w:r>
        <w:rPr>
          <w:noProof/>
        </w:rPr>
        <w:tab/>
        <w:t xml:space="preserve">Обобщение на очакваното отражение върху разходите </w:t>
      </w:r>
    </w:p>
    <w:p>
      <w:pPr>
        <w:spacing w:before="0" w:after="200" w:line="276" w:lineRule="auto"/>
        <w:jc w:val="left"/>
        <w:rPr>
          <w:noProof/>
          <w:sz w:val="20"/>
        </w:rPr>
      </w:pPr>
      <w:r>
        <w:rPr>
          <w:noProof/>
        </w:rPr>
        <w:br w:type="page"/>
      </w:r>
    </w:p>
    <w:p>
      <w:pPr>
        <w:jc w:val="right"/>
        <w:rPr>
          <w:noProof/>
          <w:sz w:val="20"/>
        </w:rPr>
      </w:pPr>
      <w:r>
        <w:rPr>
          <w:noProof/>
          <w:sz w:val="20"/>
        </w:rPr>
        <w:t>В млн. евро по текущи цени (до третия знак след десетичната запетая)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1"/>
        <w:gridCol w:w="1080"/>
        <w:gridCol w:w="7817"/>
      </w:tblGrid>
      <w:tr>
        <w:trPr>
          <w:jc w:val="center"/>
        </w:trPr>
        <w:tc>
          <w:tcPr>
            <w:tcW w:w="5351" w:type="dxa"/>
            <w:shd w:val="thinDiagStripe" w:color="C0C0C0" w:fill="auto"/>
            <w:vAlign w:val="center"/>
          </w:tcPr>
          <w:p>
            <w:pPr>
              <w:spacing w:before="60" w:after="60"/>
              <w:jc w:val="center"/>
              <w:rPr>
                <w:b/>
                <w:noProof/>
              </w:rPr>
            </w:pPr>
            <w:r>
              <w:rPr>
                <w:b/>
                <w:noProof/>
              </w:rPr>
              <w:t>Функция от многогодишната финансова</w:t>
            </w:r>
            <w:r>
              <w:rPr>
                <w:noProof/>
              </w:rPr>
              <w:br/>
            </w:r>
            <w:r>
              <w:rPr>
                <w:b/>
                <w:noProof/>
              </w:rPr>
              <w:t xml:space="preserve">рамка </w:t>
            </w:r>
          </w:p>
        </w:tc>
        <w:tc>
          <w:tcPr>
            <w:tcW w:w="1080" w:type="dxa"/>
            <w:vAlign w:val="center"/>
          </w:tcPr>
          <w:p>
            <w:pPr>
              <w:spacing w:before="60" w:after="60"/>
              <w:jc w:val="center"/>
              <w:rPr>
                <w:noProof/>
              </w:rPr>
            </w:pPr>
            <w:r>
              <w:rPr>
                <w:noProof/>
                <w:sz w:val="22"/>
              </w:rPr>
              <w:t>Номер</w:t>
            </w:r>
          </w:p>
          <w:p>
            <w:pPr>
              <w:spacing w:before="60" w:after="60"/>
              <w:jc w:val="center"/>
              <w:rPr>
                <w:noProof/>
              </w:rPr>
            </w:pPr>
            <w:r>
              <w:rPr>
                <w:noProof/>
                <w:sz w:val="22"/>
              </w:rPr>
              <w:t>1b</w:t>
            </w:r>
          </w:p>
        </w:tc>
        <w:tc>
          <w:tcPr>
            <w:tcW w:w="7817" w:type="dxa"/>
            <w:vAlign w:val="center"/>
          </w:tcPr>
          <w:p>
            <w:pPr>
              <w:spacing w:before="60" w:after="60"/>
              <w:rPr>
                <w:noProof/>
              </w:rPr>
            </w:pPr>
            <w:r>
              <w:rPr>
                <w:noProof/>
              </w:rPr>
              <w:t>Интелигентен и приобщаващ растеж</w:t>
            </w:r>
          </w:p>
        </w:tc>
      </w:tr>
    </w:tbl>
    <w:p>
      <w:pPr>
        <w:rPr>
          <w:noProof/>
          <w:sz w:val="16"/>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425"/>
        <w:gridCol w:w="992"/>
        <w:gridCol w:w="992"/>
        <w:gridCol w:w="993"/>
        <w:gridCol w:w="992"/>
        <w:gridCol w:w="992"/>
        <w:gridCol w:w="992"/>
        <w:gridCol w:w="1276"/>
        <w:gridCol w:w="1518"/>
      </w:tblGrid>
      <w:tr>
        <w:tc>
          <w:tcPr>
            <w:tcW w:w="2203" w:type="dxa"/>
            <w:vAlign w:val="center"/>
          </w:tcPr>
          <w:p>
            <w:pPr>
              <w:jc w:val="center"/>
              <w:rPr>
                <w:noProof/>
              </w:rPr>
            </w:pPr>
            <w:r>
              <w:rPr>
                <w:noProof/>
                <w:sz w:val="22"/>
              </w:rPr>
              <w:t xml:space="preserve">ГД: </w:t>
            </w:r>
            <w:r>
              <w:rPr>
                <w:noProof/>
              </w:rPr>
              <w:t xml:space="preserve">„Трудова заетост, социални въпроси и приобщаване“, „Регионална политика“ </w:t>
            </w:r>
          </w:p>
        </w:tc>
        <w:tc>
          <w:tcPr>
            <w:tcW w:w="3119" w:type="dxa"/>
          </w:tcPr>
          <w:p>
            <w:pPr>
              <w:rPr>
                <w:noProof/>
                <w:sz w:val="20"/>
              </w:rPr>
            </w:pPr>
          </w:p>
        </w:tc>
        <w:tc>
          <w:tcPr>
            <w:tcW w:w="425" w:type="dxa"/>
          </w:tcPr>
          <w:p>
            <w:pPr>
              <w:jc w:val="center"/>
              <w:rPr>
                <w:noProof/>
                <w:sz w:val="20"/>
              </w:rPr>
            </w:pPr>
          </w:p>
        </w:tc>
        <w:tc>
          <w:tcPr>
            <w:tcW w:w="992" w:type="dxa"/>
          </w:tcPr>
          <w:p>
            <w:pPr>
              <w:rPr>
                <w:noProof/>
              </w:rPr>
            </w:pPr>
            <w:r>
              <w:rPr>
                <w:noProof/>
              </w:rPr>
              <w:t>2014 г.</w:t>
            </w:r>
          </w:p>
        </w:tc>
        <w:tc>
          <w:tcPr>
            <w:tcW w:w="992" w:type="dxa"/>
          </w:tcPr>
          <w:p>
            <w:pPr>
              <w:rPr>
                <w:noProof/>
              </w:rPr>
            </w:pPr>
            <w:r>
              <w:rPr>
                <w:noProof/>
              </w:rPr>
              <w:t>2015 г.</w:t>
            </w:r>
          </w:p>
        </w:tc>
        <w:tc>
          <w:tcPr>
            <w:tcW w:w="993" w:type="dxa"/>
          </w:tcPr>
          <w:p>
            <w:pPr>
              <w:rPr>
                <w:noProof/>
              </w:rPr>
            </w:pPr>
            <w:r>
              <w:rPr>
                <w:noProof/>
              </w:rPr>
              <w:t>2016 г.</w:t>
            </w:r>
          </w:p>
        </w:tc>
        <w:tc>
          <w:tcPr>
            <w:tcW w:w="992" w:type="dxa"/>
          </w:tcPr>
          <w:p>
            <w:pPr>
              <w:rPr>
                <w:noProof/>
              </w:rPr>
            </w:pPr>
            <w:r>
              <w:rPr>
                <w:noProof/>
              </w:rPr>
              <w:t>2017 г.</w:t>
            </w:r>
          </w:p>
        </w:tc>
        <w:tc>
          <w:tcPr>
            <w:tcW w:w="992" w:type="dxa"/>
          </w:tcPr>
          <w:p>
            <w:pPr>
              <w:rPr>
                <w:noProof/>
              </w:rPr>
            </w:pPr>
            <w:r>
              <w:rPr>
                <w:noProof/>
              </w:rPr>
              <w:t>2018 г.</w:t>
            </w:r>
          </w:p>
        </w:tc>
        <w:tc>
          <w:tcPr>
            <w:tcW w:w="992" w:type="dxa"/>
          </w:tcPr>
          <w:p>
            <w:pPr>
              <w:rPr>
                <w:noProof/>
              </w:rPr>
            </w:pPr>
            <w:r>
              <w:rPr>
                <w:noProof/>
              </w:rPr>
              <w:t>2019 г.</w:t>
            </w:r>
          </w:p>
        </w:tc>
        <w:tc>
          <w:tcPr>
            <w:tcW w:w="1276" w:type="dxa"/>
          </w:tcPr>
          <w:p>
            <w:pPr>
              <w:jc w:val="center"/>
              <w:rPr>
                <w:noProof/>
              </w:rPr>
            </w:pPr>
            <w:r>
              <w:rPr>
                <w:noProof/>
              </w:rPr>
              <w:t>2020 г.</w:t>
            </w:r>
          </w:p>
        </w:tc>
        <w:tc>
          <w:tcPr>
            <w:tcW w:w="1518" w:type="dxa"/>
            <w:vAlign w:val="center"/>
          </w:tcPr>
          <w:p>
            <w:pPr>
              <w:jc w:val="center"/>
              <w:rPr>
                <w:b/>
                <w:noProof/>
                <w:sz w:val="20"/>
              </w:rPr>
            </w:pPr>
            <w:r>
              <w:rPr>
                <w:b/>
                <w:noProof/>
                <w:sz w:val="20"/>
              </w:rPr>
              <w:t>ОБЩО</w:t>
            </w:r>
          </w:p>
        </w:tc>
      </w:tr>
      <w:tr>
        <w:trPr>
          <w:trHeight w:val="213"/>
        </w:trPr>
        <w:tc>
          <w:tcPr>
            <w:tcW w:w="5747" w:type="dxa"/>
            <w:gridSpan w:val="3"/>
            <w:vAlign w:val="center"/>
          </w:tcPr>
          <w:p>
            <w:pPr>
              <w:spacing w:before="20" w:after="20"/>
              <w:rPr>
                <w:noProof/>
                <w:sz w:val="21"/>
              </w:rPr>
            </w:pPr>
            <w:r>
              <w:rPr>
                <w:noProof/>
                <w:sz w:val="21"/>
              </w:rPr>
              <w:sym w:font="Wingdings" w:char="F09F"/>
            </w:r>
            <w:r>
              <w:rPr>
                <w:noProof/>
              </w:rPr>
              <w:t xml:space="preserve"> Бюджетни кредити за оперативни разходи</w:t>
            </w:r>
          </w:p>
        </w:tc>
        <w:tc>
          <w:tcPr>
            <w:tcW w:w="992" w:type="dxa"/>
            <w:vAlign w:val="center"/>
          </w:tcPr>
          <w:p>
            <w:pPr>
              <w:rPr>
                <w:noProof/>
                <w:sz w:val="20"/>
              </w:rPr>
            </w:pPr>
          </w:p>
        </w:tc>
        <w:tc>
          <w:tcPr>
            <w:tcW w:w="992" w:type="dxa"/>
            <w:vAlign w:val="center"/>
          </w:tcPr>
          <w:p>
            <w:pPr>
              <w:rPr>
                <w:noProof/>
                <w:sz w:val="20"/>
              </w:rPr>
            </w:pPr>
          </w:p>
        </w:tc>
        <w:tc>
          <w:tcPr>
            <w:tcW w:w="993" w:type="dxa"/>
            <w:vAlign w:val="center"/>
          </w:tcPr>
          <w:p>
            <w:pPr>
              <w:rPr>
                <w:noProof/>
                <w:sz w:val="20"/>
              </w:rPr>
            </w:pPr>
          </w:p>
        </w:tc>
        <w:tc>
          <w:tcPr>
            <w:tcW w:w="992" w:type="dxa"/>
            <w:vAlign w:val="center"/>
          </w:tcPr>
          <w:p>
            <w:pPr>
              <w:rPr>
                <w:noProof/>
                <w:sz w:val="20"/>
              </w:rPr>
            </w:pPr>
          </w:p>
        </w:tc>
        <w:tc>
          <w:tcPr>
            <w:tcW w:w="992" w:type="dxa"/>
            <w:vAlign w:val="center"/>
          </w:tcPr>
          <w:p>
            <w:pPr>
              <w:rPr>
                <w:noProof/>
                <w:sz w:val="20"/>
              </w:rPr>
            </w:pPr>
          </w:p>
        </w:tc>
        <w:tc>
          <w:tcPr>
            <w:tcW w:w="992" w:type="dxa"/>
            <w:vAlign w:val="center"/>
          </w:tcPr>
          <w:p>
            <w:pPr>
              <w:rPr>
                <w:noProof/>
                <w:sz w:val="20"/>
              </w:rPr>
            </w:pPr>
          </w:p>
        </w:tc>
        <w:tc>
          <w:tcPr>
            <w:tcW w:w="1276" w:type="dxa"/>
            <w:vAlign w:val="center"/>
          </w:tcPr>
          <w:p>
            <w:pPr>
              <w:jc w:val="center"/>
              <w:rPr>
                <w:b/>
                <w:noProof/>
                <w:sz w:val="20"/>
              </w:rPr>
            </w:pPr>
          </w:p>
        </w:tc>
        <w:tc>
          <w:tcPr>
            <w:tcW w:w="1518" w:type="dxa"/>
            <w:vAlign w:val="center"/>
          </w:tcPr>
          <w:p>
            <w:pPr>
              <w:rPr>
                <w:b/>
                <w:noProof/>
                <w:sz w:val="20"/>
              </w:rPr>
            </w:pPr>
          </w:p>
        </w:tc>
      </w:tr>
      <w:tr>
        <w:trPr>
          <w:trHeight w:val="277"/>
        </w:trPr>
        <w:tc>
          <w:tcPr>
            <w:tcW w:w="2203" w:type="dxa"/>
            <w:vAlign w:val="center"/>
          </w:tcPr>
          <w:p>
            <w:pPr>
              <w:spacing w:before="60"/>
              <w:rPr>
                <w:noProof/>
                <w:sz w:val="21"/>
              </w:rPr>
            </w:pPr>
            <w:r>
              <w:rPr>
                <w:noProof/>
                <w:sz w:val="21"/>
              </w:rPr>
              <w:t>1b: Икономическо, социално и териториално сближаване</w:t>
            </w:r>
          </w:p>
          <w:p>
            <w:pPr>
              <w:spacing w:before="60"/>
              <w:rPr>
                <w:noProof/>
              </w:rPr>
            </w:pPr>
            <w:r>
              <w:rPr>
                <w:noProof/>
                <w:sz w:val="21"/>
              </w:rPr>
              <w:t>Европейски фонд за регионално развитие, Европейски социален фонд, Кохезионен фонд</w:t>
            </w:r>
          </w:p>
        </w:tc>
        <w:tc>
          <w:tcPr>
            <w:tcW w:w="3119" w:type="dxa"/>
            <w:vAlign w:val="center"/>
          </w:tcPr>
          <w:p>
            <w:pPr>
              <w:spacing w:before="20" w:after="20"/>
              <w:rPr>
                <w:noProof/>
                <w:sz w:val="18"/>
              </w:rPr>
            </w:pPr>
            <w:r>
              <w:rPr>
                <w:noProof/>
                <w:sz w:val="18"/>
              </w:rPr>
              <w:t xml:space="preserve">Поети задължения </w:t>
            </w:r>
          </w:p>
          <w:p>
            <w:pPr>
              <w:spacing w:before="20" w:after="20"/>
              <w:rPr>
                <w:noProof/>
                <w:sz w:val="18"/>
              </w:rPr>
            </w:pPr>
          </w:p>
          <w:p>
            <w:pPr>
              <w:spacing w:before="20" w:after="20"/>
              <w:rPr>
                <w:noProof/>
                <w:sz w:val="18"/>
              </w:rPr>
            </w:pPr>
          </w:p>
          <w:p>
            <w:pPr>
              <w:spacing w:after="60"/>
              <w:rPr>
                <w:noProof/>
                <w:sz w:val="22"/>
              </w:rPr>
            </w:pPr>
            <w:r>
              <w:rPr>
                <w:noProof/>
                <w:sz w:val="22"/>
              </w:rPr>
              <w:t>04 02 64 — Инициатива за младежка заетост (ИМЗ)</w:t>
            </w:r>
          </w:p>
          <w:p>
            <w:pPr>
              <w:spacing w:before="20" w:after="20"/>
              <w:rPr>
                <w:noProof/>
                <w:sz w:val="18"/>
              </w:rPr>
            </w:pPr>
          </w:p>
          <w:p>
            <w:pPr>
              <w:spacing w:before="20" w:after="20"/>
              <w:rPr>
                <w:noProof/>
                <w:sz w:val="18"/>
              </w:rPr>
            </w:pPr>
          </w:p>
          <w:p>
            <w:pPr>
              <w:spacing w:before="20" w:after="20"/>
              <w:rPr>
                <w:noProof/>
                <w:sz w:val="18"/>
              </w:rPr>
            </w:pPr>
          </w:p>
          <w:p>
            <w:pPr>
              <w:spacing w:before="20" w:after="20"/>
              <w:rPr>
                <w:noProof/>
                <w:sz w:val="18"/>
              </w:rPr>
            </w:pPr>
          </w:p>
        </w:tc>
        <w:tc>
          <w:tcPr>
            <w:tcW w:w="425" w:type="dxa"/>
            <w:vAlign w:val="center"/>
          </w:tcPr>
          <w:p>
            <w:pPr>
              <w:spacing w:before="20" w:after="20"/>
              <w:jc w:val="center"/>
              <w:rPr>
                <w:noProof/>
                <w:sz w:val="14"/>
              </w:rPr>
            </w:pPr>
            <w:r>
              <w:rPr>
                <w:noProof/>
                <w:sz w:val="14"/>
              </w:rPr>
              <w:t>(1)</w:t>
            </w:r>
          </w:p>
        </w:tc>
        <w:tc>
          <w:tcPr>
            <w:tcW w:w="992" w:type="dxa"/>
            <w:vAlign w:val="center"/>
          </w:tcPr>
          <w:p>
            <w:pPr>
              <w:spacing w:before="20" w:after="20"/>
              <w:jc w:val="right"/>
              <w:rPr>
                <w:noProof/>
                <w:sz w:val="20"/>
              </w:rPr>
            </w:pPr>
          </w:p>
          <w:p>
            <w:pPr>
              <w:spacing w:before="20" w:after="20"/>
              <w:jc w:val="right"/>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992" w:type="dxa"/>
            <w:vAlign w:val="center"/>
          </w:tcPr>
          <w:p>
            <w:pPr>
              <w:spacing w:before="20" w:after="20"/>
              <w:rPr>
                <w:noProof/>
                <w:sz w:val="20"/>
              </w:rPr>
            </w:pPr>
          </w:p>
        </w:tc>
        <w:tc>
          <w:tcPr>
            <w:tcW w:w="992" w:type="dxa"/>
            <w:vAlign w:val="center"/>
          </w:tcPr>
          <w:p>
            <w:pPr>
              <w:spacing w:before="20" w:after="20"/>
              <w:jc w:val="right"/>
              <w:rPr>
                <w:noProof/>
                <w:sz w:val="20"/>
              </w:rPr>
            </w:pPr>
          </w:p>
        </w:tc>
        <w:tc>
          <w:tcPr>
            <w:tcW w:w="992" w:type="dxa"/>
            <w:vAlign w:val="center"/>
          </w:tcPr>
          <w:p>
            <w:pPr>
              <w:spacing w:before="20" w:after="20"/>
              <w:rPr>
                <w:noProof/>
                <w:sz w:val="20"/>
              </w:rPr>
            </w:pPr>
            <w:r>
              <w:rPr>
                <w:noProof/>
                <w:sz w:val="20"/>
              </w:rPr>
              <w:t xml:space="preserve">116,667 </w:t>
            </w:r>
          </w:p>
        </w:tc>
        <w:tc>
          <w:tcPr>
            <w:tcW w:w="1276" w:type="dxa"/>
            <w:vAlign w:val="center"/>
          </w:tcPr>
          <w:p>
            <w:pPr>
              <w:spacing w:before="20" w:after="20"/>
              <w:jc w:val="center"/>
              <w:rPr>
                <w:noProof/>
                <w:sz w:val="20"/>
              </w:rPr>
            </w:pPr>
            <w:r>
              <w:rPr>
                <w:noProof/>
                <w:sz w:val="20"/>
              </w:rPr>
              <w:t>0,000</w:t>
            </w:r>
          </w:p>
        </w:tc>
        <w:tc>
          <w:tcPr>
            <w:tcW w:w="1518" w:type="dxa"/>
            <w:vAlign w:val="center"/>
          </w:tcPr>
          <w:p>
            <w:pPr>
              <w:spacing w:before="20" w:after="20"/>
              <w:jc w:val="center"/>
              <w:rPr>
                <w:b/>
                <w:noProof/>
                <w:sz w:val="20"/>
              </w:rPr>
            </w:pPr>
            <w:r>
              <w:rPr>
                <w:noProof/>
                <w:sz w:val="20"/>
              </w:rPr>
              <w:t>116,667</w:t>
            </w:r>
          </w:p>
        </w:tc>
      </w:tr>
    </w:tbl>
    <w:p>
      <w:pPr>
        <w:rPr>
          <w:noProof/>
        </w:rPr>
      </w:pPr>
      <w:r>
        <w:rPr>
          <w:noProof/>
        </w:rPr>
        <w:br w:type="page"/>
      </w:r>
    </w:p>
    <w:p>
      <w:pPr>
        <w:rPr>
          <w:noProof/>
        </w:rPr>
      </w:pPr>
    </w:p>
    <w:p>
      <w:pPr>
        <w:rPr>
          <w:noProof/>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78"/>
        <w:gridCol w:w="347"/>
        <w:gridCol w:w="709"/>
        <w:gridCol w:w="708"/>
        <w:gridCol w:w="709"/>
        <w:gridCol w:w="1276"/>
        <w:gridCol w:w="1276"/>
        <w:gridCol w:w="1275"/>
        <w:gridCol w:w="1276"/>
        <w:gridCol w:w="1518"/>
      </w:tblGrid>
      <w:tr>
        <w:trPr>
          <w:trHeight w:val="85"/>
        </w:trPr>
        <w:tc>
          <w:tcPr>
            <w:tcW w:w="2203" w:type="dxa"/>
          </w:tcPr>
          <w:p>
            <w:pPr>
              <w:jc w:val="center"/>
              <w:rPr>
                <w:noProof/>
                <w:sz w:val="20"/>
              </w:rPr>
            </w:pPr>
            <w:r>
              <w:rPr>
                <w:noProof/>
              </w:rPr>
              <w:br w:type="page"/>
            </w:r>
          </w:p>
        </w:tc>
        <w:tc>
          <w:tcPr>
            <w:tcW w:w="3119" w:type="dxa"/>
            <w:vAlign w:val="center"/>
          </w:tcPr>
          <w:p>
            <w:pPr>
              <w:spacing w:before="20" w:after="20"/>
              <w:rPr>
                <w:noProof/>
                <w:sz w:val="18"/>
              </w:rPr>
            </w:pPr>
            <w:r>
              <w:rPr>
                <w:noProof/>
                <w:sz w:val="18"/>
              </w:rPr>
              <w:t xml:space="preserve">Плащания </w:t>
            </w:r>
          </w:p>
          <w:p>
            <w:pPr>
              <w:spacing w:after="60"/>
              <w:rPr>
                <w:noProof/>
              </w:rPr>
            </w:pPr>
          </w:p>
          <w:p>
            <w:pPr>
              <w:spacing w:after="60"/>
              <w:rPr>
                <w:noProof/>
              </w:rPr>
            </w:pPr>
          </w:p>
          <w:p>
            <w:pPr>
              <w:spacing w:after="60"/>
              <w:rPr>
                <w:noProof/>
                <w:sz w:val="22"/>
              </w:rPr>
            </w:pPr>
            <w:r>
              <w:rPr>
                <w:noProof/>
                <w:sz w:val="22"/>
              </w:rPr>
              <w:t>04 02 64 — Инициатива за младежка заетост (ИМЗ)</w:t>
            </w:r>
          </w:p>
          <w:p>
            <w:pPr>
              <w:spacing w:after="60"/>
              <w:rPr>
                <w:noProof/>
                <w:sz w:val="22"/>
              </w:rPr>
            </w:pPr>
          </w:p>
          <w:p>
            <w:pPr>
              <w:spacing w:after="60"/>
              <w:rPr>
                <w:noProof/>
                <w:sz w:val="18"/>
              </w:rPr>
            </w:pPr>
            <w:r>
              <w:rPr>
                <w:noProof/>
              </w:rPr>
              <w:t xml:space="preserve"> </w:t>
            </w:r>
          </w:p>
        </w:tc>
        <w:tc>
          <w:tcPr>
            <w:tcW w:w="425" w:type="dxa"/>
            <w:gridSpan w:val="2"/>
            <w:vAlign w:val="center"/>
          </w:tcPr>
          <w:p>
            <w:pPr>
              <w:spacing w:before="20" w:after="20"/>
              <w:jc w:val="center"/>
              <w:rPr>
                <w:noProof/>
                <w:sz w:val="14"/>
              </w:rPr>
            </w:pPr>
            <w:r>
              <w:rPr>
                <w:noProof/>
                <w:sz w:val="14"/>
              </w:rPr>
              <w:t>(2)</w:t>
            </w:r>
          </w:p>
        </w:tc>
        <w:tc>
          <w:tcPr>
            <w:tcW w:w="709" w:type="dxa"/>
            <w:vAlign w:val="center"/>
          </w:tcPr>
          <w:p>
            <w:pPr>
              <w:spacing w:before="20" w:after="20"/>
              <w:rPr>
                <w:noProof/>
                <w:sz w:val="20"/>
              </w:rPr>
            </w:pPr>
          </w:p>
        </w:tc>
        <w:tc>
          <w:tcPr>
            <w:tcW w:w="708" w:type="dxa"/>
            <w:vAlign w:val="center"/>
          </w:tcPr>
          <w:p>
            <w:pPr>
              <w:spacing w:before="20" w:after="20"/>
              <w:rPr>
                <w:noProof/>
                <w:sz w:val="20"/>
              </w:rPr>
            </w:pPr>
          </w:p>
        </w:tc>
        <w:tc>
          <w:tcPr>
            <w:tcW w:w="709" w:type="dxa"/>
            <w:vAlign w:val="center"/>
          </w:tcPr>
          <w:p>
            <w:pPr>
              <w:spacing w:before="20" w:after="20"/>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rPr>
                <w:noProof/>
                <w:sz w:val="20"/>
              </w:rPr>
            </w:pPr>
          </w:p>
        </w:tc>
        <w:tc>
          <w:tcPr>
            <w:tcW w:w="1275" w:type="dxa"/>
            <w:vAlign w:val="center"/>
          </w:tcPr>
          <w:p>
            <w:pPr>
              <w:spacing w:before="20" w:after="20"/>
              <w:jc w:val="right"/>
              <w:rPr>
                <w:noProof/>
                <w:sz w:val="20"/>
              </w:rPr>
            </w:pPr>
            <w:r>
              <w:rPr>
                <w:noProof/>
                <w:sz w:val="20"/>
              </w:rPr>
              <w:t>0,000</w:t>
            </w:r>
          </w:p>
        </w:tc>
        <w:tc>
          <w:tcPr>
            <w:tcW w:w="1276" w:type="dxa"/>
            <w:vAlign w:val="center"/>
          </w:tcPr>
          <w:p>
            <w:pPr>
              <w:spacing w:before="20" w:after="20"/>
              <w:jc w:val="center"/>
              <w:rPr>
                <w:noProof/>
                <w:sz w:val="20"/>
              </w:rPr>
            </w:pPr>
            <w:r>
              <w:rPr>
                <w:noProof/>
                <w:sz w:val="20"/>
              </w:rPr>
              <w:t>3,500</w:t>
            </w:r>
          </w:p>
        </w:tc>
        <w:tc>
          <w:tcPr>
            <w:tcW w:w="1518" w:type="dxa"/>
            <w:vAlign w:val="center"/>
          </w:tcPr>
          <w:p>
            <w:pPr>
              <w:spacing w:before="20" w:after="20"/>
              <w:jc w:val="center"/>
              <w:rPr>
                <w:b/>
                <w:noProof/>
                <w:sz w:val="20"/>
              </w:rPr>
            </w:pPr>
            <w:r>
              <w:rPr>
                <w:b/>
                <w:noProof/>
                <w:sz w:val="20"/>
              </w:rPr>
              <w:t>3,500</w:t>
            </w:r>
          </w:p>
        </w:tc>
      </w:tr>
      <w:tr>
        <w:trPr>
          <w:trHeight w:val="231"/>
        </w:trPr>
        <w:tc>
          <w:tcPr>
            <w:tcW w:w="5747" w:type="dxa"/>
            <w:gridSpan w:val="4"/>
            <w:vAlign w:val="center"/>
          </w:tcPr>
          <w:p>
            <w:pPr>
              <w:spacing w:before="20" w:after="20"/>
              <w:rPr>
                <w:noProof/>
              </w:rPr>
            </w:pPr>
            <w:r>
              <w:rPr>
                <w:noProof/>
                <w:sz w:val="21"/>
              </w:rPr>
              <w:t>Бюджетни кредити за административни разходи, финансирани от пакета за конкретни програми</w:t>
            </w:r>
            <w:r>
              <w:rPr>
                <w:rStyle w:val="FootnoteReference"/>
                <w:noProof/>
                <w:sz w:val="21"/>
              </w:rPr>
              <w:footnoteReference w:id="14"/>
            </w:r>
            <w:r>
              <w:rPr>
                <w:noProof/>
                <w:sz w:val="21"/>
              </w:rPr>
              <w:t xml:space="preserve"> </w:t>
            </w:r>
          </w:p>
          <w:p>
            <w:pPr>
              <w:spacing w:before="0" w:after="0"/>
              <w:rPr>
                <w:noProof/>
              </w:rPr>
            </w:pPr>
          </w:p>
        </w:tc>
        <w:tc>
          <w:tcPr>
            <w:tcW w:w="709" w:type="dxa"/>
            <w:vAlign w:val="center"/>
          </w:tcPr>
          <w:p>
            <w:pPr>
              <w:rPr>
                <w:b/>
                <w:noProof/>
                <w:sz w:val="20"/>
              </w:rPr>
            </w:pPr>
          </w:p>
        </w:tc>
        <w:tc>
          <w:tcPr>
            <w:tcW w:w="708" w:type="dxa"/>
            <w:vAlign w:val="center"/>
          </w:tcPr>
          <w:p>
            <w:pPr>
              <w:rPr>
                <w:b/>
                <w:noProof/>
                <w:sz w:val="20"/>
              </w:rPr>
            </w:pPr>
          </w:p>
        </w:tc>
        <w:tc>
          <w:tcPr>
            <w:tcW w:w="709" w:type="dxa"/>
            <w:vAlign w:val="center"/>
          </w:tcPr>
          <w:p>
            <w:pPr>
              <w:rPr>
                <w:b/>
                <w:noProof/>
                <w:sz w:val="20"/>
              </w:rPr>
            </w:pPr>
          </w:p>
        </w:tc>
        <w:tc>
          <w:tcPr>
            <w:tcW w:w="1276" w:type="dxa"/>
            <w:vAlign w:val="center"/>
          </w:tcPr>
          <w:p>
            <w:pPr>
              <w:rPr>
                <w:b/>
                <w:noProof/>
                <w:sz w:val="20"/>
              </w:rPr>
            </w:pPr>
          </w:p>
        </w:tc>
        <w:tc>
          <w:tcPr>
            <w:tcW w:w="1276" w:type="dxa"/>
            <w:vAlign w:val="center"/>
          </w:tcPr>
          <w:p>
            <w:pPr>
              <w:rPr>
                <w:b/>
                <w:noProof/>
                <w:sz w:val="20"/>
              </w:rPr>
            </w:pPr>
          </w:p>
        </w:tc>
        <w:tc>
          <w:tcPr>
            <w:tcW w:w="1275" w:type="dxa"/>
            <w:vAlign w:val="center"/>
          </w:tcPr>
          <w:p>
            <w:pPr>
              <w:rPr>
                <w:b/>
                <w:noProof/>
                <w:sz w:val="20"/>
              </w:rPr>
            </w:pPr>
          </w:p>
        </w:tc>
        <w:tc>
          <w:tcPr>
            <w:tcW w:w="1276" w:type="dxa"/>
            <w:vAlign w:val="center"/>
          </w:tcPr>
          <w:p>
            <w:pPr>
              <w:rPr>
                <w:b/>
                <w:noProof/>
                <w:sz w:val="20"/>
              </w:rPr>
            </w:pPr>
          </w:p>
        </w:tc>
        <w:tc>
          <w:tcPr>
            <w:tcW w:w="1518" w:type="dxa"/>
            <w:vAlign w:val="center"/>
          </w:tcPr>
          <w:p>
            <w:pPr>
              <w:jc w:val="center"/>
              <w:rPr>
                <w:b/>
                <w:noProof/>
                <w:sz w:val="20"/>
              </w:rPr>
            </w:pPr>
          </w:p>
        </w:tc>
      </w:tr>
      <w:tr>
        <w:trPr>
          <w:trHeight w:val="319"/>
        </w:trPr>
        <w:tc>
          <w:tcPr>
            <w:tcW w:w="2203" w:type="dxa"/>
            <w:vAlign w:val="center"/>
          </w:tcPr>
          <w:p>
            <w:pPr>
              <w:spacing w:before="60" w:after="60"/>
              <w:rPr>
                <w:noProof/>
              </w:rPr>
            </w:pPr>
            <w:r>
              <w:rPr>
                <w:noProof/>
                <w:sz w:val="20"/>
              </w:rPr>
              <w:t>Не е приложимо</w:t>
            </w:r>
          </w:p>
        </w:tc>
        <w:tc>
          <w:tcPr>
            <w:tcW w:w="3197" w:type="dxa"/>
            <w:gridSpan w:val="2"/>
            <w:vAlign w:val="center"/>
          </w:tcPr>
          <w:p>
            <w:pPr>
              <w:spacing w:before="40" w:after="40"/>
              <w:jc w:val="right"/>
              <w:rPr>
                <w:noProof/>
                <w:sz w:val="18"/>
              </w:rPr>
            </w:pPr>
          </w:p>
        </w:tc>
        <w:tc>
          <w:tcPr>
            <w:tcW w:w="347" w:type="dxa"/>
            <w:vAlign w:val="center"/>
          </w:tcPr>
          <w:p>
            <w:pPr>
              <w:spacing w:before="40" w:after="40"/>
              <w:jc w:val="center"/>
              <w:rPr>
                <w:noProof/>
                <w:sz w:val="14"/>
              </w:rPr>
            </w:pPr>
            <w:r>
              <w:rPr>
                <w:noProof/>
                <w:sz w:val="14"/>
              </w:rPr>
              <w:t>(3)</w:t>
            </w:r>
          </w:p>
        </w:tc>
        <w:tc>
          <w:tcPr>
            <w:tcW w:w="709" w:type="dxa"/>
            <w:vAlign w:val="center"/>
          </w:tcPr>
          <w:p>
            <w:pPr>
              <w:spacing w:before="40" w:after="40"/>
              <w:jc w:val="right"/>
              <w:rPr>
                <w:b/>
                <w:noProof/>
                <w:sz w:val="20"/>
              </w:rPr>
            </w:pPr>
          </w:p>
        </w:tc>
        <w:tc>
          <w:tcPr>
            <w:tcW w:w="708" w:type="dxa"/>
            <w:vAlign w:val="center"/>
          </w:tcPr>
          <w:p>
            <w:pPr>
              <w:spacing w:before="40" w:after="40"/>
              <w:jc w:val="right"/>
              <w:rPr>
                <w:b/>
                <w:noProof/>
                <w:sz w:val="20"/>
              </w:rPr>
            </w:pPr>
          </w:p>
        </w:tc>
        <w:tc>
          <w:tcPr>
            <w:tcW w:w="709"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5"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518" w:type="dxa"/>
            <w:vAlign w:val="center"/>
          </w:tcPr>
          <w:p>
            <w:pPr>
              <w:spacing w:before="40" w:after="40"/>
              <w:jc w:val="center"/>
              <w:rPr>
                <w:b/>
                <w:noProof/>
                <w:sz w:val="20"/>
              </w:rPr>
            </w:pPr>
          </w:p>
        </w:tc>
      </w:tr>
      <w:tr>
        <w:tc>
          <w:tcPr>
            <w:tcW w:w="2203" w:type="dxa"/>
            <w:vMerge w:val="restart"/>
            <w:vAlign w:val="center"/>
          </w:tcPr>
          <w:p>
            <w:pPr>
              <w:jc w:val="center"/>
              <w:rPr>
                <w:b/>
                <w:noProof/>
              </w:rPr>
            </w:pPr>
            <w:r>
              <w:rPr>
                <w:b/>
                <w:noProof/>
              </w:rPr>
              <w:t>ОБЩО бюджетни кредити</w:t>
            </w:r>
            <w:r>
              <w:rPr>
                <w:noProof/>
              </w:rPr>
              <w:br/>
            </w:r>
            <w:r>
              <w:rPr>
                <w:b/>
                <w:noProof/>
              </w:rPr>
              <w:t>за ГД</w:t>
            </w:r>
            <w:r>
              <w:rPr>
                <w:noProof/>
              </w:rPr>
              <w:t xml:space="preserve"> „Трудова заетост, социални въпроси и приобщаване“, „Регионална политика“ </w:t>
            </w:r>
          </w:p>
        </w:tc>
        <w:tc>
          <w:tcPr>
            <w:tcW w:w="3197" w:type="dxa"/>
            <w:gridSpan w:val="2"/>
            <w:vAlign w:val="center"/>
          </w:tcPr>
          <w:p>
            <w:pPr>
              <w:rPr>
                <w:noProof/>
                <w:sz w:val="18"/>
              </w:rPr>
            </w:pPr>
            <w:r>
              <w:rPr>
                <w:noProof/>
                <w:sz w:val="18"/>
              </w:rPr>
              <w:t>Поети задължения</w:t>
            </w:r>
          </w:p>
        </w:tc>
        <w:tc>
          <w:tcPr>
            <w:tcW w:w="347" w:type="dxa"/>
            <w:vAlign w:val="center"/>
          </w:tcPr>
          <w:p>
            <w:pPr>
              <w:jc w:val="center"/>
              <w:rPr>
                <w:noProof/>
                <w:sz w:val="14"/>
              </w:rPr>
            </w:pPr>
            <w:r>
              <w:rPr>
                <w:noProof/>
                <w:sz w:val="14"/>
              </w:rPr>
              <w:t>=1+1а +3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r>
              <w:rPr>
                <w:noProof/>
                <w:sz w:val="20"/>
              </w:rPr>
              <w:t xml:space="preserve">116,667 </w:t>
            </w:r>
          </w:p>
        </w:tc>
        <w:tc>
          <w:tcPr>
            <w:tcW w:w="1276" w:type="dxa"/>
          </w:tcPr>
          <w:p>
            <w:pPr>
              <w:spacing w:before="20" w:after="20"/>
              <w:jc w:val="center"/>
              <w:rPr>
                <w:noProof/>
                <w:sz w:val="20"/>
                <w:szCs w:val="20"/>
              </w:rPr>
            </w:pPr>
          </w:p>
          <w:p>
            <w:pPr>
              <w:spacing w:before="20" w:after="20"/>
              <w:jc w:val="center"/>
              <w:rPr>
                <w:noProof/>
                <w:sz w:val="20"/>
                <w:szCs w:val="20"/>
              </w:rPr>
            </w:pPr>
          </w:p>
          <w:p>
            <w:pPr>
              <w:spacing w:before="20" w:after="20"/>
              <w:jc w:val="center"/>
              <w:rPr>
                <w:b/>
                <w:noProof/>
                <w:sz w:val="20"/>
              </w:rPr>
            </w:pPr>
            <w:r>
              <w:rPr>
                <w:noProof/>
                <w:sz w:val="20"/>
              </w:rPr>
              <w:t>0,000</w:t>
            </w:r>
          </w:p>
        </w:tc>
        <w:tc>
          <w:tcPr>
            <w:tcW w:w="1518" w:type="dxa"/>
          </w:tcPr>
          <w:p>
            <w:pPr>
              <w:spacing w:before="20" w:after="20"/>
              <w:jc w:val="center"/>
              <w:rPr>
                <w:noProof/>
                <w:sz w:val="20"/>
                <w:szCs w:val="20"/>
              </w:rPr>
            </w:pPr>
          </w:p>
          <w:p>
            <w:pPr>
              <w:spacing w:before="20" w:after="20"/>
              <w:jc w:val="center"/>
              <w:rPr>
                <w:b/>
                <w:noProof/>
                <w:sz w:val="20"/>
                <w:szCs w:val="20"/>
              </w:rPr>
            </w:pPr>
          </w:p>
          <w:p>
            <w:pPr>
              <w:spacing w:before="20" w:after="20"/>
              <w:jc w:val="center"/>
              <w:rPr>
                <w:b/>
                <w:noProof/>
                <w:sz w:val="20"/>
              </w:rPr>
            </w:pPr>
            <w:r>
              <w:rPr>
                <w:b/>
                <w:noProof/>
                <w:sz w:val="20"/>
              </w:rPr>
              <w:t>116,667</w:t>
            </w:r>
          </w:p>
        </w:tc>
      </w:tr>
      <w:tr>
        <w:tc>
          <w:tcPr>
            <w:tcW w:w="2203" w:type="dxa"/>
            <w:vMerge/>
          </w:tcPr>
          <w:p>
            <w:pPr>
              <w:rPr>
                <w:noProof/>
                <w:sz w:val="20"/>
              </w:rPr>
            </w:pPr>
          </w:p>
        </w:tc>
        <w:tc>
          <w:tcPr>
            <w:tcW w:w="3197" w:type="dxa"/>
            <w:gridSpan w:val="2"/>
            <w:vAlign w:val="center"/>
          </w:tcPr>
          <w:p>
            <w:pPr>
              <w:rPr>
                <w:noProof/>
                <w:sz w:val="18"/>
              </w:rPr>
            </w:pPr>
            <w:r>
              <w:rPr>
                <w:noProof/>
                <w:sz w:val="18"/>
              </w:rPr>
              <w:t>Плащания</w:t>
            </w:r>
          </w:p>
        </w:tc>
        <w:tc>
          <w:tcPr>
            <w:tcW w:w="347" w:type="dxa"/>
            <w:vAlign w:val="center"/>
          </w:tcPr>
          <w:p>
            <w:pPr>
              <w:jc w:val="center"/>
              <w:rPr>
                <w:noProof/>
                <w:sz w:val="14"/>
              </w:rPr>
            </w:pPr>
            <w:r>
              <w:rPr>
                <w:noProof/>
                <w:sz w:val="14"/>
              </w:rPr>
              <w:t>=2+2а</w:t>
            </w:r>
          </w:p>
          <w:p>
            <w:pPr>
              <w:jc w:val="center"/>
              <w:rPr>
                <w:noProof/>
                <w:sz w:val="14"/>
              </w:rPr>
            </w:pPr>
            <w:r>
              <w:rPr>
                <w:noProof/>
                <w:sz w:val="14"/>
              </w:rPr>
              <w:t>+3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r>
              <w:rPr>
                <w:noProof/>
                <w:sz w:val="20"/>
              </w:rPr>
              <w:t>0,000</w:t>
            </w:r>
          </w:p>
        </w:tc>
        <w:tc>
          <w:tcPr>
            <w:tcW w:w="1276" w:type="dxa"/>
          </w:tcPr>
          <w:p>
            <w:pPr>
              <w:spacing w:before="20" w:after="20"/>
              <w:jc w:val="center"/>
              <w:rPr>
                <w:noProof/>
                <w:sz w:val="20"/>
                <w:szCs w:val="20"/>
              </w:rPr>
            </w:pPr>
          </w:p>
          <w:p>
            <w:pPr>
              <w:spacing w:before="20" w:after="20"/>
              <w:jc w:val="center"/>
              <w:rPr>
                <w:noProof/>
                <w:sz w:val="20"/>
                <w:szCs w:val="20"/>
              </w:rPr>
            </w:pPr>
          </w:p>
          <w:p>
            <w:pPr>
              <w:spacing w:before="20" w:after="20"/>
              <w:jc w:val="center"/>
              <w:rPr>
                <w:noProof/>
                <w:sz w:val="20"/>
              </w:rPr>
            </w:pPr>
            <w:r>
              <w:rPr>
                <w:noProof/>
                <w:sz w:val="20"/>
              </w:rPr>
              <w:t>3,500</w:t>
            </w:r>
          </w:p>
        </w:tc>
        <w:tc>
          <w:tcPr>
            <w:tcW w:w="1518" w:type="dxa"/>
          </w:tcPr>
          <w:p>
            <w:pPr>
              <w:spacing w:before="20" w:after="20"/>
              <w:jc w:val="center"/>
              <w:rPr>
                <w:noProof/>
                <w:sz w:val="20"/>
                <w:szCs w:val="20"/>
              </w:rPr>
            </w:pPr>
          </w:p>
          <w:p>
            <w:pPr>
              <w:spacing w:before="20" w:after="20"/>
              <w:jc w:val="center"/>
              <w:rPr>
                <w:noProof/>
                <w:sz w:val="20"/>
                <w:szCs w:val="20"/>
              </w:rPr>
            </w:pPr>
          </w:p>
          <w:p>
            <w:pPr>
              <w:spacing w:before="20" w:after="20"/>
              <w:jc w:val="center"/>
              <w:rPr>
                <w:b/>
                <w:noProof/>
                <w:sz w:val="20"/>
              </w:rPr>
            </w:pPr>
            <w:r>
              <w:rPr>
                <w:b/>
                <w:noProof/>
                <w:sz w:val="20"/>
              </w:rPr>
              <w:t>3,500</w:t>
            </w:r>
          </w:p>
        </w:tc>
      </w:tr>
    </w:tbl>
    <w:p>
      <w:pPr>
        <w:rPr>
          <w:noProof/>
          <w:sz w:val="16"/>
        </w:rPr>
      </w:pPr>
    </w:p>
    <w:tbl>
      <w:tblPr>
        <w:tblW w:w="144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347"/>
        <w:gridCol w:w="709"/>
        <w:gridCol w:w="708"/>
        <w:gridCol w:w="709"/>
        <w:gridCol w:w="1276"/>
        <w:gridCol w:w="1276"/>
        <w:gridCol w:w="1275"/>
        <w:gridCol w:w="1276"/>
        <w:gridCol w:w="144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rPr>
              <w:t xml:space="preserve"> ОБЩО бюджетни кредити за оперативни разходи</w:t>
            </w:r>
          </w:p>
        </w:tc>
        <w:tc>
          <w:tcPr>
            <w:tcW w:w="1440" w:type="dxa"/>
            <w:vAlign w:val="center"/>
          </w:tcPr>
          <w:p>
            <w:pPr>
              <w:spacing w:beforeLines="20" w:before="48" w:afterLines="20" w:after="48"/>
              <w:rPr>
                <w:noProof/>
                <w:sz w:val="18"/>
              </w:rPr>
            </w:pPr>
            <w:r>
              <w:rPr>
                <w:noProof/>
                <w:sz w:val="18"/>
              </w:rPr>
              <w:t>Поети задължения</w:t>
            </w:r>
          </w:p>
        </w:tc>
        <w:tc>
          <w:tcPr>
            <w:tcW w:w="347" w:type="dxa"/>
            <w:vAlign w:val="center"/>
          </w:tcPr>
          <w:p>
            <w:pPr>
              <w:spacing w:beforeLines="20" w:before="48" w:afterLines="20" w:after="48"/>
              <w:jc w:val="center"/>
              <w:rPr>
                <w:noProof/>
                <w:sz w:val="14"/>
              </w:rPr>
            </w:pPr>
            <w:r>
              <w:rPr>
                <w:noProof/>
                <w:sz w:val="14"/>
              </w:rPr>
              <w:t>(4)</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vAlign w:val="center"/>
          </w:tcPr>
          <w:p>
            <w:pPr>
              <w:spacing w:before="20" w:after="20"/>
              <w:jc w:val="right"/>
              <w:rPr>
                <w:noProof/>
                <w:sz w:val="20"/>
              </w:rPr>
            </w:pPr>
            <w:r>
              <w:rPr>
                <w:noProof/>
                <w:sz w:val="20"/>
              </w:rPr>
              <w:t xml:space="preserve">116,667 </w:t>
            </w:r>
            <w:r>
              <w:rPr>
                <w:noProof/>
              </w:rPr>
              <w:tab/>
            </w:r>
          </w:p>
        </w:tc>
        <w:tc>
          <w:tcPr>
            <w:tcW w:w="1276" w:type="dxa"/>
            <w:vAlign w:val="center"/>
          </w:tcPr>
          <w:p>
            <w:pPr>
              <w:spacing w:before="20" w:after="20"/>
              <w:jc w:val="center"/>
              <w:rPr>
                <w:noProof/>
                <w:sz w:val="20"/>
              </w:rPr>
            </w:pPr>
            <w:r>
              <w:rPr>
                <w:noProof/>
                <w:sz w:val="20"/>
              </w:rPr>
              <w:t>0,000</w:t>
            </w:r>
          </w:p>
        </w:tc>
        <w:tc>
          <w:tcPr>
            <w:tcW w:w="1448" w:type="dxa"/>
            <w:vAlign w:val="center"/>
          </w:tcPr>
          <w:p>
            <w:pPr>
              <w:spacing w:before="20" w:after="20"/>
              <w:jc w:val="center"/>
              <w:rPr>
                <w:b/>
                <w:noProof/>
                <w:sz w:val="20"/>
              </w:rPr>
            </w:pPr>
            <w:r>
              <w:rPr>
                <w:b/>
                <w:noProof/>
                <w:sz w:val="20"/>
              </w:rPr>
              <w:t>116,667</w:t>
            </w:r>
          </w:p>
        </w:tc>
      </w:tr>
      <w:tr>
        <w:trPr>
          <w:trHeight w:val="414"/>
        </w:trP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Плащания</w:t>
            </w:r>
          </w:p>
        </w:tc>
        <w:tc>
          <w:tcPr>
            <w:tcW w:w="347" w:type="dxa"/>
            <w:vAlign w:val="center"/>
          </w:tcPr>
          <w:p>
            <w:pPr>
              <w:spacing w:beforeLines="20" w:before="48" w:afterLines="20" w:after="48"/>
              <w:jc w:val="center"/>
              <w:rPr>
                <w:noProof/>
                <w:sz w:val="14"/>
              </w:rPr>
            </w:pPr>
            <w:r>
              <w:rPr>
                <w:noProof/>
                <w:sz w:val="14"/>
              </w:rPr>
              <w:t>(5)</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rPr>
            </w:pPr>
            <w:r>
              <w:rPr>
                <w:noProof/>
                <w:sz w:val="20"/>
              </w:rPr>
              <w:t>0,000</w:t>
            </w:r>
          </w:p>
        </w:tc>
        <w:tc>
          <w:tcPr>
            <w:tcW w:w="1276" w:type="dxa"/>
          </w:tcPr>
          <w:p>
            <w:pPr>
              <w:spacing w:before="20" w:after="20"/>
              <w:jc w:val="right"/>
              <w:rPr>
                <w:noProof/>
                <w:sz w:val="20"/>
              </w:rPr>
            </w:pPr>
            <w:r>
              <w:rPr>
                <w:noProof/>
                <w:sz w:val="20"/>
              </w:rPr>
              <w:t>3,500</w:t>
            </w:r>
          </w:p>
        </w:tc>
        <w:tc>
          <w:tcPr>
            <w:tcW w:w="1448" w:type="dxa"/>
          </w:tcPr>
          <w:p>
            <w:pPr>
              <w:spacing w:before="20" w:after="20"/>
              <w:jc w:val="right"/>
              <w:rPr>
                <w:b/>
                <w:noProof/>
                <w:sz w:val="20"/>
              </w:rPr>
            </w:pPr>
            <w:r>
              <w:rPr>
                <w:b/>
                <w:noProof/>
                <w:sz w:val="20"/>
              </w:rPr>
              <w:t>3,500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ОБЩО бюджетни кредити за административни разходи, финансирани от пакета за конкретни програми</w:t>
            </w:r>
          </w:p>
        </w:tc>
        <w:tc>
          <w:tcPr>
            <w:tcW w:w="347" w:type="dxa"/>
            <w:vAlign w:val="center"/>
          </w:tcPr>
          <w:p>
            <w:pPr>
              <w:spacing w:beforeLines="20" w:before="48" w:afterLines="20" w:after="48"/>
              <w:jc w:val="center"/>
              <w:rPr>
                <w:noProof/>
                <w:sz w:val="14"/>
              </w:rPr>
            </w:pPr>
            <w:r>
              <w:rPr>
                <w:noProof/>
                <w:sz w:val="14"/>
              </w:rPr>
              <w:t>(6)</w:t>
            </w:r>
          </w:p>
        </w:tc>
        <w:tc>
          <w:tcPr>
            <w:tcW w:w="709" w:type="dxa"/>
            <w:vAlign w:val="center"/>
          </w:tcPr>
          <w:p>
            <w:pPr>
              <w:spacing w:before="20" w:after="20"/>
              <w:jc w:val="right"/>
              <w:rPr>
                <w:b/>
                <w:noProof/>
                <w:sz w:val="20"/>
              </w:rPr>
            </w:pPr>
          </w:p>
        </w:tc>
        <w:tc>
          <w:tcPr>
            <w:tcW w:w="708" w:type="dxa"/>
            <w:vAlign w:val="center"/>
          </w:tcPr>
          <w:p>
            <w:pPr>
              <w:spacing w:before="20" w:after="20"/>
              <w:jc w:val="right"/>
              <w:rPr>
                <w:b/>
                <w:noProof/>
                <w:sz w:val="20"/>
              </w:rPr>
            </w:pPr>
          </w:p>
        </w:tc>
        <w:tc>
          <w:tcPr>
            <w:tcW w:w="709" w:type="dxa"/>
            <w:vAlign w:val="center"/>
          </w:tcPr>
          <w:p>
            <w:pPr>
              <w:spacing w:before="20" w:after="20"/>
              <w:jc w:val="right"/>
              <w:rPr>
                <w:b/>
                <w:noProof/>
                <w:sz w:val="20"/>
              </w:rPr>
            </w:pPr>
          </w:p>
        </w:tc>
        <w:tc>
          <w:tcPr>
            <w:tcW w:w="1276" w:type="dxa"/>
            <w:vAlign w:val="center"/>
          </w:tcPr>
          <w:p>
            <w:pPr>
              <w:spacing w:before="20" w:after="20"/>
              <w:jc w:val="right"/>
              <w:rPr>
                <w:b/>
                <w:noProof/>
                <w:sz w:val="20"/>
              </w:rPr>
            </w:pPr>
          </w:p>
        </w:tc>
        <w:tc>
          <w:tcPr>
            <w:tcW w:w="1276" w:type="dxa"/>
            <w:vAlign w:val="center"/>
          </w:tcPr>
          <w:p>
            <w:pPr>
              <w:spacing w:before="20" w:after="20"/>
              <w:jc w:val="right"/>
              <w:rPr>
                <w:b/>
                <w:noProof/>
                <w:sz w:val="20"/>
              </w:rPr>
            </w:pPr>
          </w:p>
        </w:tc>
        <w:tc>
          <w:tcPr>
            <w:tcW w:w="1275" w:type="dxa"/>
            <w:vAlign w:val="center"/>
          </w:tcPr>
          <w:p>
            <w:pPr>
              <w:spacing w:before="20" w:after="20"/>
              <w:jc w:val="right"/>
              <w:rPr>
                <w:b/>
                <w:noProof/>
                <w:sz w:val="20"/>
              </w:rPr>
            </w:pPr>
            <w:r>
              <w:rPr>
                <w:noProof/>
                <w:sz w:val="20"/>
              </w:rPr>
              <w:t>0,000</w:t>
            </w:r>
          </w:p>
        </w:tc>
        <w:tc>
          <w:tcPr>
            <w:tcW w:w="1276" w:type="dxa"/>
            <w:vAlign w:val="center"/>
          </w:tcPr>
          <w:p>
            <w:pPr>
              <w:spacing w:before="20" w:after="20"/>
              <w:jc w:val="right"/>
              <w:rPr>
                <w:noProof/>
                <w:sz w:val="20"/>
              </w:rPr>
            </w:pPr>
            <w:r>
              <w:rPr>
                <w:noProof/>
                <w:sz w:val="20"/>
              </w:rPr>
              <w:t>0,000</w:t>
            </w:r>
          </w:p>
        </w:tc>
        <w:tc>
          <w:tcPr>
            <w:tcW w:w="1448" w:type="dxa"/>
            <w:vAlign w:val="center"/>
          </w:tcPr>
          <w:p>
            <w:pPr>
              <w:spacing w:before="20" w:after="20"/>
              <w:jc w:val="right"/>
              <w:rPr>
                <w:b/>
                <w:noProof/>
                <w:sz w:val="20"/>
              </w:rPr>
            </w:pPr>
            <w:r>
              <w:rPr>
                <w:b/>
                <w:noProof/>
                <w:sz w:val="20"/>
              </w:rPr>
              <w:t>0,000</w:t>
            </w:r>
          </w:p>
        </w:tc>
      </w:tr>
      <w:tr>
        <w:tc>
          <w:tcPr>
            <w:tcW w:w="3960" w:type="dxa"/>
            <w:vMerge w:val="restart"/>
            <w:shd w:val="thinDiagStripe" w:color="C0C0C0" w:fill="auto"/>
            <w:vAlign w:val="center"/>
          </w:tcPr>
          <w:p>
            <w:pPr>
              <w:jc w:val="center"/>
              <w:rPr>
                <w:b/>
                <w:noProof/>
              </w:rPr>
            </w:pPr>
            <w:r>
              <w:rPr>
                <w:b/>
                <w:noProof/>
              </w:rPr>
              <w:t>ОБЩО бюджетни кредити</w:t>
            </w:r>
            <w:r>
              <w:rPr>
                <w:noProof/>
              </w:rPr>
              <w:br/>
            </w:r>
            <w:r>
              <w:rPr>
                <w:b/>
                <w:noProof/>
                <w:sz w:val="22"/>
              </w:rPr>
              <w:t>за ФУНКЦИЯ 1b</w:t>
            </w:r>
            <w:r>
              <w:rPr>
                <w:noProof/>
              </w:rPr>
              <w:br/>
            </w:r>
            <w:r>
              <w:rPr>
                <w:noProof/>
                <w:sz w:val="22"/>
              </w:rPr>
              <w:t>от многогодишната финансова рамка</w:t>
            </w:r>
          </w:p>
        </w:tc>
        <w:tc>
          <w:tcPr>
            <w:tcW w:w="1440" w:type="dxa"/>
            <w:vAlign w:val="center"/>
          </w:tcPr>
          <w:p>
            <w:pPr>
              <w:rPr>
                <w:noProof/>
                <w:sz w:val="18"/>
              </w:rPr>
            </w:pPr>
            <w:r>
              <w:rPr>
                <w:noProof/>
                <w:sz w:val="18"/>
              </w:rPr>
              <w:t>Поети задължения</w:t>
            </w:r>
          </w:p>
        </w:tc>
        <w:tc>
          <w:tcPr>
            <w:tcW w:w="347" w:type="dxa"/>
            <w:vAlign w:val="center"/>
          </w:tcPr>
          <w:p>
            <w:pPr>
              <w:jc w:val="center"/>
              <w:rPr>
                <w:noProof/>
                <w:sz w:val="14"/>
              </w:rPr>
            </w:pPr>
            <w:r>
              <w:rPr>
                <w:noProof/>
                <w:sz w:val="14"/>
              </w:rPr>
              <w:t>=4+ 6</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vAlign w:val="center"/>
          </w:tcPr>
          <w:p>
            <w:pPr>
              <w:spacing w:before="20" w:after="20"/>
              <w:jc w:val="right"/>
              <w:rPr>
                <w:noProof/>
                <w:sz w:val="20"/>
              </w:rPr>
            </w:pPr>
            <w:r>
              <w:rPr>
                <w:noProof/>
                <w:sz w:val="20"/>
              </w:rPr>
              <w:t>116,667</w:t>
            </w:r>
          </w:p>
        </w:tc>
        <w:tc>
          <w:tcPr>
            <w:tcW w:w="1276" w:type="dxa"/>
            <w:vAlign w:val="center"/>
          </w:tcPr>
          <w:p>
            <w:pPr>
              <w:spacing w:before="20" w:after="20"/>
              <w:jc w:val="right"/>
              <w:rPr>
                <w:noProof/>
                <w:sz w:val="20"/>
              </w:rPr>
            </w:pPr>
            <w:r>
              <w:rPr>
                <w:noProof/>
                <w:sz w:val="20"/>
              </w:rPr>
              <w:t>0,000</w:t>
            </w:r>
          </w:p>
        </w:tc>
        <w:tc>
          <w:tcPr>
            <w:tcW w:w="1448" w:type="dxa"/>
            <w:vAlign w:val="center"/>
          </w:tcPr>
          <w:p>
            <w:pPr>
              <w:spacing w:before="20" w:after="20"/>
              <w:jc w:val="right"/>
              <w:rPr>
                <w:b/>
                <w:noProof/>
                <w:sz w:val="20"/>
              </w:rPr>
            </w:pPr>
            <w:r>
              <w:rPr>
                <w:b/>
                <w:noProof/>
                <w:sz w:val="20"/>
              </w:rPr>
              <w:t>116,667</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Плащания</w:t>
            </w:r>
          </w:p>
        </w:tc>
        <w:tc>
          <w:tcPr>
            <w:tcW w:w="347" w:type="dxa"/>
            <w:vAlign w:val="center"/>
          </w:tcPr>
          <w:p>
            <w:pPr>
              <w:jc w:val="center"/>
              <w:rPr>
                <w:noProof/>
                <w:sz w:val="14"/>
              </w:rPr>
            </w:pPr>
            <w:r>
              <w:rPr>
                <w:noProof/>
                <w:sz w:val="14"/>
              </w:rPr>
              <w:t>=5+ 6</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rPr>
            </w:pPr>
            <w:r>
              <w:rPr>
                <w:noProof/>
                <w:sz w:val="20"/>
              </w:rPr>
              <w:t>0,000</w:t>
            </w:r>
          </w:p>
        </w:tc>
        <w:tc>
          <w:tcPr>
            <w:tcW w:w="1276" w:type="dxa"/>
            <w:vAlign w:val="center"/>
          </w:tcPr>
          <w:p>
            <w:pPr>
              <w:spacing w:before="20" w:after="20"/>
              <w:jc w:val="right"/>
              <w:rPr>
                <w:noProof/>
                <w:sz w:val="20"/>
              </w:rPr>
            </w:pPr>
            <w:r>
              <w:rPr>
                <w:noProof/>
                <w:sz w:val="20"/>
              </w:rPr>
              <w:t>3,500</w:t>
            </w:r>
          </w:p>
        </w:tc>
        <w:tc>
          <w:tcPr>
            <w:tcW w:w="1448" w:type="dxa"/>
            <w:vAlign w:val="center"/>
          </w:tcPr>
          <w:p>
            <w:pPr>
              <w:spacing w:before="20" w:after="20"/>
              <w:jc w:val="right"/>
              <w:rPr>
                <w:b/>
                <w:noProof/>
                <w:sz w:val="20"/>
              </w:rPr>
            </w:pPr>
            <w:r>
              <w:rPr>
                <w:b/>
                <w:noProof/>
                <w:sz w:val="20"/>
              </w:rPr>
              <w:t>3,500</w:t>
            </w:r>
          </w:p>
        </w:tc>
      </w:tr>
      <w:tr>
        <w:tc>
          <w:tcPr>
            <w:tcW w:w="3960" w:type="dxa"/>
            <w:shd w:val="thinDiagStripe" w:color="C0C0C0" w:fill="auto"/>
          </w:tcPr>
          <w:p>
            <w:pPr>
              <w:rPr>
                <w:noProof/>
                <w:sz w:val="20"/>
              </w:rPr>
            </w:pPr>
          </w:p>
        </w:tc>
        <w:tc>
          <w:tcPr>
            <w:tcW w:w="1440" w:type="dxa"/>
            <w:vAlign w:val="center"/>
          </w:tcPr>
          <w:p>
            <w:pPr>
              <w:rPr>
                <w:noProof/>
                <w:sz w:val="18"/>
              </w:rPr>
            </w:pPr>
          </w:p>
        </w:tc>
        <w:tc>
          <w:tcPr>
            <w:tcW w:w="347" w:type="dxa"/>
            <w:vAlign w:val="center"/>
          </w:tcPr>
          <w:p>
            <w:pPr>
              <w:jc w:val="center"/>
              <w:rPr>
                <w:noProof/>
                <w:sz w:val="14"/>
              </w:rPr>
            </w:pP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b/>
                <w:noProof/>
                <w:sz w:val="20"/>
              </w:rPr>
            </w:pPr>
          </w:p>
        </w:tc>
        <w:tc>
          <w:tcPr>
            <w:tcW w:w="1275" w:type="dxa"/>
            <w:vAlign w:val="center"/>
          </w:tcPr>
          <w:p>
            <w:pPr>
              <w:spacing w:before="20" w:after="20"/>
              <w:jc w:val="right"/>
              <w:rPr>
                <w:noProof/>
                <w:sz w:val="20"/>
              </w:rPr>
            </w:pPr>
          </w:p>
        </w:tc>
        <w:tc>
          <w:tcPr>
            <w:tcW w:w="1276" w:type="dxa"/>
            <w:vAlign w:val="center"/>
          </w:tcPr>
          <w:p>
            <w:pPr>
              <w:spacing w:before="20" w:after="20"/>
              <w:jc w:val="right"/>
              <w:rPr>
                <w:b/>
                <w:noProof/>
                <w:sz w:val="20"/>
              </w:rPr>
            </w:pPr>
          </w:p>
        </w:tc>
        <w:tc>
          <w:tcPr>
            <w:tcW w:w="1448" w:type="dxa"/>
            <w:vAlign w:val="center"/>
          </w:tcPr>
          <w:p>
            <w:pPr>
              <w:spacing w:before="20" w:after="20"/>
              <w:jc w:val="right"/>
              <w:rPr>
                <w:b/>
                <w:noProof/>
                <w:sz w:val="20"/>
              </w:rPr>
            </w:pPr>
          </w:p>
        </w:tc>
      </w:tr>
    </w:tbl>
    <w:p>
      <w:pPr>
        <w:rPr>
          <w:noProof/>
          <w:sz w:val="16"/>
        </w:rPr>
      </w:pPr>
    </w:p>
    <w:p>
      <w:pPr>
        <w:rPr>
          <w:noProof/>
        </w:rPr>
      </w:pPr>
    </w:p>
    <w:p>
      <w:pPr>
        <w:rPr>
          <w:b/>
          <w:noProof/>
          <w:sz w:val="22"/>
          <w:u w:val="single"/>
        </w:rPr>
      </w:pPr>
      <w:r>
        <w:rPr>
          <w:noProof/>
        </w:rPr>
        <w:br/>
      </w:r>
    </w:p>
    <w:p>
      <w:pPr>
        <w:spacing w:after="40"/>
        <w:rPr>
          <w:b/>
          <w:noProof/>
          <w:sz w:val="22"/>
          <w:u w:val="single"/>
        </w:rPr>
      </w:pPr>
      <w:r>
        <w:rPr>
          <w:b/>
          <w:noProof/>
          <w:sz w:val="22"/>
          <w:u w:val="single"/>
        </w:rPr>
        <w:t>Ако предложението/инициативата има отражение върху повече от една функция:</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386"/>
        <w:gridCol w:w="960"/>
        <w:gridCol w:w="840"/>
        <w:gridCol w:w="840"/>
        <w:gridCol w:w="720"/>
        <w:gridCol w:w="720"/>
        <w:gridCol w:w="960"/>
        <w:gridCol w:w="142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rPr>
              <w:t xml:space="preserve"> ОБЩО бюджетни кредити за оперативни разходи</w:t>
            </w:r>
          </w:p>
        </w:tc>
        <w:tc>
          <w:tcPr>
            <w:tcW w:w="1440" w:type="dxa"/>
            <w:tcBorders>
              <w:top w:val="single" w:sz="4" w:space="0" w:color="auto"/>
            </w:tcBorders>
            <w:vAlign w:val="center"/>
          </w:tcPr>
          <w:p>
            <w:pPr>
              <w:spacing w:beforeLines="20" w:before="48" w:afterLines="20" w:after="48"/>
              <w:rPr>
                <w:noProof/>
                <w:sz w:val="18"/>
              </w:rPr>
            </w:pPr>
            <w:r>
              <w:rPr>
                <w:noProof/>
                <w:sz w:val="18"/>
              </w:rPr>
              <w:t>Поети задължения</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1386"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b/>
                <w:noProof/>
                <w:sz w:val="20"/>
              </w:rPr>
            </w:pPr>
          </w:p>
        </w:tc>
        <w:tc>
          <w:tcPr>
            <w:tcW w:w="142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Плащания</w:t>
            </w:r>
          </w:p>
        </w:tc>
        <w:tc>
          <w:tcPr>
            <w:tcW w:w="654" w:type="dxa"/>
            <w:vAlign w:val="center"/>
          </w:tcPr>
          <w:p>
            <w:pPr>
              <w:spacing w:beforeLines="20" w:before="48" w:afterLines="20" w:after="48"/>
              <w:jc w:val="center"/>
              <w:rPr>
                <w:noProof/>
                <w:sz w:val="14"/>
              </w:rPr>
            </w:pPr>
            <w:r>
              <w:rPr>
                <w:noProof/>
                <w:sz w:val="14"/>
              </w:rPr>
              <w:t>(5)</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ОБЩО бюджетни кредити за административни разходи, финансирани от пакета за конкретни програми</w:t>
            </w:r>
          </w:p>
        </w:tc>
        <w:tc>
          <w:tcPr>
            <w:tcW w:w="654" w:type="dxa"/>
            <w:vAlign w:val="center"/>
          </w:tcPr>
          <w:p>
            <w:pPr>
              <w:spacing w:beforeLines="20" w:before="48" w:afterLines="20" w:after="48"/>
              <w:jc w:val="center"/>
              <w:rPr>
                <w:noProof/>
                <w:sz w:val="14"/>
              </w:rPr>
            </w:pPr>
            <w:r>
              <w:rPr>
                <w:noProof/>
                <w:sz w:val="14"/>
              </w:rPr>
              <w:t>(6)</w:t>
            </w:r>
          </w:p>
        </w:tc>
        <w:tc>
          <w:tcPr>
            <w:tcW w:w="1386"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142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rPr>
              <w:t>ОБЩО бюджетни кредити</w:t>
            </w:r>
            <w:r>
              <w:rPr>
                <w:noProof/>
              </w:rPr>
              <w:br/>
            </w:r>
            <w:r>
              <w:rPr>
                <w:b/>
                <w:noProof/>
              </w:rPr>
              <w:t>за ФУНКЦИИ 1—4</w:t>
            </w:r>
            <w:r>
              <w:rPr>
                <w:noProof/>
              </w:rPr>
              <w:br/>
              <w:t>от многогодишната финансова рамка</w:t>
            </w:r>
            <w:r>
              <w:rPr>
                <w:noProof/>
              </w:rPr>
              <w:br/>
            </w:r>
            <w:r>
              <w:rPr>
                <w:noProof/>
                <w:sz w:val="20"/>
              </w:rPr>
              <w:t>(Референтна стойност)</w:t>
            </w:r>
          </w:p>
        </w:tc>
        <w:tc>
          <w:tcPr>
            <w:tcW w:w="1440" w:type="dxa"/>
            <w:vAlign w:val="center"/>
          </w:tcPr>
          <w:p>
            <w:pPr>
              <w:rPr>
                <w:noProof/>
                <w:sz w:val="18"/>
              </w:rPr>
            </w:pPr>
            <w:r>
              <w:rPr>
                <w:noProof/>
                <w:sz w:val="18"/>
              </w:rPr>
              <w:t>Поети задължения</w:t>
            </w:r>
          </w:p>
        </w:tc>
        <w:tc>
          <w:tcPr>
            <w:tcW w:w="654" w:type="dxa"/>
            <w:vAlign w:val="center"/>
          </w:tcPr>
          <w:p>
            <w:pPr>
              <w:jc w:val="center"/>
              <w:rPr>
                <w:noProof/>
                <w:sz w:val="14"/>
              </w:rPr>
            </w:pPr>
            <w:r>
              <w:rPr>
                <w:noProof/>
                <w:sz w:val="14"/>
              </w:rPr>
              <w:t>=4+ 6</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Плащания</w:t>
            </w:r>
          </w:p>
        </w:tc>
        <w:tc>
          <w:tcPr>
            <w:tcW w:w="654" w:type="dxa"/>
            <w:tcBorders>
              <w:bottom w:val="single" w:sz="4" w:space="0" w:color="auto"/>
            </w:tcBorders>
            <w:vAlign w:val="center"/>
          </w:tcPr>
          <w:p>
            <w:pPr>
              <w:jc w:val="center"/>
              <w:rPr>
                <w:noProof/>
                <w:sz w:val="14"/>
              </w:rPr>
            </w:pPr>
            <w:r>
              <w:rPr>
                <w:noProof/>
                <w:sz w:val="14"/>
              </w:rPr>
              <w:t>=5+ 6</w:t>
            </w:r>
          </w:p>
        </w:tc>
        <w:tc>
          <w:tcPr>
            <w:tcW w:w="1386" w:type="dxa"/>
            <w:tcBorders>
              <w:bottom w:val="single" w:sz="4" w:space="0" w:color="auto"/>
            </w:tcBorders>
            <w:vAlign w:val="center"/>
          </w:tcPr>
          <w:p>
            <w:pPr>
              <w:spacing w:before="20" w:after="20"/>
              <w:jc w:val="right"/>
              <w:rPr>
                <w:noProof/>
                <w:sz w:val="20"/>
              </w:rPr>
            </w:pPr>
            <w:r>
              <w:rPr>
                <w:noProof/>
                <w:sz w:val="20"/>
              </w:rPr>
              <w:t>0</w:t>
            </w:r>
          </w:p>
        </w:tc>
        <w:tc>
          <w:tcPr>
            <w:tcW w:w="96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960" w:type="dxa"/>
            <w:tcBorders>
              <w:bottom w:val="single" w:sz="4" w:space="0" w:color="auto"/>
            </w:tcBorders>
            <w:vAlign w:val="center"/>
          </w:tcPr>
          <w:p>
            <w:pPr>
              <w:spacing w:before="20" w:after="20"/>
              <w:jc w:val="right"/>
              <w:rPr>
                <w:b/>
                <w:noProof/>
                <w:sz w:val="20"/>
              </w:rPr>
            </w:pPr>
          </w:p>
        </w:tc>
        <w:tc>
          <w:tcPr>
            <w:tcW w:w="1427" w:type="dxa"/>
            <w:tcBorders>
              <w:bottom w:val="single" w:sz="4" w:space="0" w:color="auto"/>
              <w:right w:val="single" w:sz="4" w:space="0" w:color="auto"/>
            </w:tcBorders>
            <w:vAlign w:val="center"/>
          </w:tcPr>
          <w:p>
            <w:pPr>
              <w:spacing w:before="20" w:after="20"/>
              <w:jc w:val="right"/>
              <w:rPr>
                <w:b/>
                <w:noProof/>
                <w:sz w:val="20"/>
              </w:rPr>
            </w:pPr>
            <w:r>
              <w:rPr>
                <w:b/>
                <w:noProof/>
                <w:sz w:val="20"/>
              </w:rPr>
              <w:t>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Функция от многогодишната финансова</w:t>
            </w:r>
            <w:r>
              <w:rPr>
                <w:noProof/>
              </w:rPr>
              <w:br/>
            </w:r>
            <w:r>
              <w:rPr>
                <w:b/>
                <w:noProof/>
              </w:rPr>
              <w:t xml:space="preserve">рамка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„Административни разходи“</w:t>
            </w:r>
          </w:p>
        </w:tc>
      </w:tr>
    </w:tbl>
    <w:p>
      <w:pPr>
        <w:ind w:left="7200" w:firstLine="720"/>
        <w:jc w:val="center"/>
        <w:rPr>
          <w:noProof/>
          <w:sz w:val="20"/>
        </w:rPr>
      </w:pPr>
      <w:r>
        <w:rPr>
          <w:noProof/>
          <w:sz w:val="20"/>
        </w:rPr>
        <w:t>В млн. евро (до третия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Година</w:t>
            </w:r>
            <w:r>
              <w:rPr>
                <w:noProof/>
              </w:rPr>
              <w:br/>
            </w:r>
            <w:r>
              <w:rPr>
                <w:b/>
                <w:noProof/>
                <w:sz w:val="20"/>
              </w:rPr>
              <w:t>N</w:t>
            </w:r>
          </w:p>
        </w:tc>
        <w:tc>
          <w:tcPr>
            <w:tcW w:w="868" w:type="dxa"/>
            <w:vAlign w:val="center"/>
          </w:tcPr>
          <w:p>
            <w:pPr>
              <w:jc w:val="center"/>
              <w:rPr>
                <w:noProof/>
                <w:sz w:val="20"/>
              </w:rPr>
            </w:pPr>
            <w:r>
              <w:rPr>
                <w:noProof/>
              </w:rPr>
              <w:t>Година</w:t>
            </w:r>
            <w:r>
              <w:rPr>
                <w:noProof/>
              </w:rPr>
              <w:br/>
            </w:r>
            <w:r>
              <w:rPr>
                <w:b/>
                <w:noProof/>
                <w:sz w:val="20"/>
              </w:rPr>
              <w:t>N+1</w:t>
            </w:r>
          </w:p>
        </w:tc>
        <w:tc>
          <w:tcPr>
            <w:tcW w:w="868" w:type="dxa"/>
            <w:vAlign w:val="center"/>
          </w:tcPr>
          <w:p>
            <w:pPr>
              <w:jc w:val="center"/>
              <w:rPr>
                <w:noProof/>
                <w:sz w:val="20"/>
              </w:rPr>
            </w:pPr>
            <w:r>
              <w:rPr>
                <w:noProof/>
              </w:rPr>
              <w:t>Година</w:t>
            </w:r>
            <w:r>
              <w:rPr>
                <w:noProof/>
              </w:rPr>
              <w:br/>
            </w:r>
            <w:r>
              <w:rPr>
                <w:b/>
                <w:noProof/>
                <w:sz w:val="20"/>
              </w:rPr>
              <w:t>N+2</w:t>
            </w:r>
          </w:p>
        </w:tc>
        <w:tc>
          <w:tcPr>
            <w:tcW w:w="868" w:type="dxa"/>
            <w:vAlign w:val="center"/>
          </w:tcPr>
          <w:p>
            <w:pPr>
              <w:jc w:val="center"/>
              <w:rPr>
                <w:noProof/>
                <w:sz w:val="20"/>
              </w:rPr>
            </w:pPr>
            <w:r>
              <w:rPr>
                <w:noProof/>
              </w:rPr>
              <w:t>Година</w:t>
            </w:r>
            <w:r>
              <w:rPr>
                <w:noProof/>
              </w:rPr>
              <w:br/>
            </w:r>
            <w:r>
              <w:rPr>
                <w:b/>
                <w:noProof/>
                <w:sz w:val="20"/>
              </w:rPr>
              <w:t>N+3</w:t>
            </w:r>
          </w:p>
        </w:tc>
        <w:tc>
          <w:tcPr>
            <w:tcW w:w="2604" w:type="dxa"/>
            <w:gridSpan w:val="3"/>
            <w:vAlign w:val="center"/>
          </w:tcPr>
          <w:p>
            <w:pPr>
              <w:jc w:val="center"/>
              <w:rPr>
                <w:b/>
                <w:noProof/>
                <w:sz w:val="18"/>
              </w:rPr>
            </w:pPr>
            <w:r>
              <w:rPr>
                <w:noProof/>
                <w:sz w:val="18"/>
              </w:rPr>
              <w:t xml:space="preserve">Да се добавят толкова години, колкото е необходимо, за да се обхване продължителността на отражението (вж. точка 1.6) </w:t>
            </w:r>
          </w:p>
        </w:tc>
        <w:tc>
          <w:tcPr>
            <w:tcW w:w="1777" w:type="dxa"/>
            <w:vAlign w:val="center"/>
          </w:tcPr>
          <w:p>
            <w:pPr>
              <w:jc w:val="center"/>
              <w:rPr>
                <w:b/>
                <w:noProof/>
                <w:sz w:val="20"/>
              </w:rPr>
            </w:pPr>
            <w:r>
              <w:rPr>
                <w:b/>
                <w:noProof/>
                <w:sz w:val="20"/>
              </w:rPr>
              <w:t>ОБЩО</w:t>
            </w:r>
          </w:p>
        </w:tc>
      </w:tr>
      <w:tr>
        <w:trPr>
          <w:gridAfter w:val="10"/>
          <w:wAfter w:w="9947" w:type="dxa"/>
        </w:trPr>
        <w:tc>
          <w:tcPr>
            <w:tcW w:w="3960" w:type="dxa"/>
            <w:vAlign w:val="center"/>
          </w:tcPr>
          <w:p>
            <w:pPr>
              <w:spacing w:before="60" w:after="60"/>
              <w:jc w:val="center"/>
              <w:rPr>
                <w:noProof/>
              </w:rPr>
            </w:pPr>
            <w:r>
              <w:rPr>
                <w:noProof/>
                <w:sz w:val="22"/>
              </w:rPr>
              <w:t xml:space="preserve">ГД: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w:t>
            </w:r>
            <w:r>
              <w:rPr>
                <w:noProof/>
              </w:rPr>
              <w:t>Човешки ресурси</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rPr>
              <w:t xml:space="preserve"> Други административни разходи</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rPr>
              <w:t>ОБЩО ГД</w:t>
            </w:r>
            <w:r>
              <w:rPr>
                <w:noProof/>
              </w:rPr>
              <w:t xml:space="preserve"> &lt;….&gt;</w:t>
            </w:r>
          </w:p>
        </w:tc>
        <w:tc>
          <w:tcPr>
            <w:tcW w:w="2094" w:type="dxa"/>
            <w:gridSpan w:val="2"/>
            <w:vAlign w:val="center"/>
          </w:tcPr>
          <w:p>
            <w:pPr>
              <w:rPr>
                <w:noProof/>
                <w:sz w:val="14"/>
              </w:rPr>
            </w:pPr>
            <w:r>
              <w:rPr>
                <w:noProof/>
                <w:sz w:val="18"/>
              </w:rPr>
              <w:t xml:space="preserve">Бюджетни кредити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rPr>
              <w:t>ОБЩО бюджетни кредити</w:t>
            </w:r>
            <w:r>
              <w:rPr>
                <w:noProof/>
              </w:rPr>
              <w:br/>
            </w:r>
            <w:r>
              <w:rPr>
                <w:b/>
                <w:noProof/>
              </w:rPr>
              <w:t>за ФУНКЦИЯ 5</w:t>
            </w:r>
            <w:r>
              <w:rPr>
                <w:noProof/>
              </w:rPr>
              <w:br/>
            </w:r>
            <w:r>
              <w:rPr>
                <w:noProof/>
                <w:sz w:val="22"/>
              </w:rPr>
              <w:t>от многогодишната финансова рамка</w:t>
            </w:r>
            <w:r>
              <w:rPr>
                <w:b/>
                <w:noProof/>
                <w:sz w:val="22"/>
              </w:rPr>
              <w:t xml:space="preserve"> </w:t>
            </w:r>
          </w:p>
        </w:tc>
        <w:tc>
          <w:tcPr>
            <w:tcW w:w="2094" w:type="dxa"/>
            <w:vAlign w:val="center"/>
          </w:tcPr>
          <w:p>
            <w:pPr>
              <w:spacing w:before="40" w:after="40"/>
              <w:rPr>
                <w:noProof/>
              </w:rPr>
            </w:pPr>
            <w:r>
              <w:rPr>
                <w:noProof/>
                <w:sz w:val="18"/>
              </w:rPr>
              <w:t>(Общо поети задължения = Общо плащания)</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ind w:left="7200" w:firstLine="720"/>
        <w:jc w:val="center"/>
        <w:rPr>
          <w:noProof/>
          <w:sz w:val="20"/>
        </w:rPr>
      </w:pPr>
      <w:r>
        <w:rPr>
          <w:noProof/>
          <w:sz w:val="20"/>
        </w:rPr>
        <w:t>В млн. евро (до третия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Година</w:t>
            </w:r>
            <w:r>
              <w:rPr>
                <w:noProof/>
              </w:rPr>
              <w:br/>
            </w:r>
            <w:r>
              <w:rPr>
                <w:b/>
                <w:noProof/>
                <w:sz w:val="20"/>
              </w:rPr>
              <w:t>N</w:t>
            </w:r>
            <w:r>
              <w:rPr>
                <w:rStyle w:val="FootnoteReference"/>
                <w:b/>
                <w:noProof/>
                <w:sz w:val="20"/>
              </w:rPr>
              <w:footnoteReference w:id="15"/>
            </w:r>
          </w:p>
        </w:tc>
        <w:tc>
          <w:tcPr>
            <w:tcW w:w="868" w:type="dxa"/>
            <w:vAlign w:val="center"/>
          </w:tcPr>
          <w:p>
            <w:pPr>
              <w:jc w:val="center"/>
              <w:rPr>
                <w:noProof/>
                <w:sz w:val="20"/>
              </w:rPr>
            </w:pPr>
            <w:r>
              <w:rPr>
                <w:noProof/>
              </w:rPr>
              <w:t>Година</w:t>
            </w:r>
            <w:r>
              <w:rPr>
                <w:noProof/>
              </w:rPr>
              <w:br/>
            </w:r>
            <w:r>
              <w:rPr>
                <w:b/>
                <w:noProof/>
                <w:sz w:val="20"/>
              </w:rPr>
              <w:t>N+1</w:t>
            </w:r>
          </w:p>
        </w:tc>
        <w:tc>
          <w:tcPr>
            <w:tcW w:w="868" w:type="dxa"/>
            <w:vAlign w:val="center"/>
          </w:tcPr>
          <w:p>
            <w:pPr>
              <w:jc w:val="center"/>
              <w:rPr>
                <w:noProof/>
                <w:sz w:val="20"/>
              </w:rPr>
            </w:pPr>
            <w:r>
              <w:rPr>
                <w:noProof/>
              </w:rPr>
              <w:t>Година</w:t>
            </w:r>
            <w:r>
              <w:rPr>
                <w:noProof/>
              </w:rPr>
              <w:br/>
            </w:r>
            <w:r>
              <w:rPr>
                <w:b/>
                <w:noProof/>
                <w:sz w:val="20"/>
              </w:rPr>
              <w:t>N+2</w:t>
            </w:r>
          </w:p>
        </w:tc>
        <w:tc>
          <w:tcPr>
            <w:tcW w:w="868" w:type="dxa"/>
            <w:vAlign w:val="center"/>
          </w:tcPr>
          <w:p>
            <w:pPr>
              <w:jc w:val="center"/>
              <w:rPr>
                <w:noProof/>
                <w:sz w:val="20"/>
              </w:rPr>
            </w:pPr>
            <w:r>
              <w:rPr>
                <w:noProof/>
              </w:rPr>
              <w:t>Година</w:t>
            </w:r>
            <w:r>
              <w:rPr>
                <w:noProof/>
              </w:rPr>
              <w:br/>
            </w:r>
            <w:r>
              <w:rPr>
                <w:b/>
                <w:noProof/>
                <w:sz w:val="20"/>
              </w:rPr>
              <w:t>N+3</w:t>
            </w:r>
          </w:p>
        </w:tc>
        <w:tc>
          <w:tcPr>
            <w:tcW w:w="2604"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c>
          <w:tcPr>
            <w:tcW w:w="1777" w:type="dxa"/>
            <w:vAlign w:val="center"/>
          </w:tcPr>
          <w:p>
            <w:pPr>
              <w:jc w:val="center"/>
              <w:rPr>
                <w:b/>
                <w:noProof/>
                <w:sz w:val="20"/>
              </w:rPr>
            </w:pPr>
            <w:r>
              <w:rPr>
                <w:b/>
                <w:noProof/>
                <w:sz w:val="20"/>
              </w:rPr>
              <w:t>ОБЩО</w:t>
            </w:r>
          </w:p>
        </w:tc>
      </w:tr>
      <w:tr>
        <w:tc>
          <w:tcPr>
            <w:tcW w:w="3960" w:type="dxa"/>
            <w:vMerge w:val="restart"/>
            <w:shd w:val="clear" w:color="auto" w:fill="C0C0C0"/>
            <w:vAlign w:val="center"/>
          </w:tcPr>
          <w:p>
            <w:pPr>
              <w:jc w:val="center"/>
              <w:rPr>
                <w:b/>
                <w:noProof/>
              </w:rPr>
            </w:pPr>
            <w:r>
              <w:rPr>
                <w:b/>
                <w:noProof/>
              </w:rPr>
              <w:t>ОБЩО бюджетни кредити</w:t>
            </w:r>
            <w:r>
              <w:rPr>
                <w:noProof/>
              </w:rPr>
              <w:br/>
            </w:r>
            <w:r>
              <w:rPr>
                <w:b/>
                <w:noProof/>
              </w:rPr>
              <w:t>за ФУНКЦИИ 1—5</w:t>
            </w:r>
            <w:r>
              <w:rPr>
                <w:noProof/>
              </w:rPr>
              <w:br/>
            </w:r>
            <w:r>
              <w:rPr>
                <w:noProof/>
                <w:sz w:val="22"/>
              </w:rPr>
              <w:t>от многогодишната финансова рамка</w:t>
            </w:r>
            <w:r>
              <w:rPr>
                <w:b/>
                <w:noProof/>
                <w:sz w:val="22"/>
              </w:rPr>
              <w:t xml:space="preserve"> </w:t>
            </w:r>
          </w:p>
        </w:tc>
        <w:tc>
          <w:tcPr>
            <w:tcW w:w="2094" w:type="dxa"/>
            <w:gridSpan w:val="2"/>
            <w:vAlign w:val="center"/>
          </w:tcPr>
          <w:p>
            <w:pPr>
              <w:rPr>
                <w:noProof/>
                <w:sz w:val="14"/>
              </w:rPr>
            </w:pPr>
            <w:r>
              <w:rPr>
                <w:noProof/>
                <w:sz w:val="18"/>
              </w:rPr>
              <w:t>Поети задължения</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Плащания</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Очаквано отражение върху бюджетните кредити за оперативни разходи </w:t>
      </w:r>
    </w:p>
    <w:p>
      <w:pPr>
        <w:pStyle w:val="ListDash1"/>
        <w:rPr>
          <w:noProof/>
        </w:rPr>
      </w:pPr>
      <w:r>
        <w:rPr>
          <w:noProof/>
        </w:rPr>
        <w:sym w:font="Wingdings" w:char="F0A8"/>
      </w:r>
      <w:r>
        <w:rPr>
          <w:noProof/>
        </w:rPr>
        <w:tab/>
        <w:t xml:space="preserve">Предложението/инициативата не налага използване на бюджетни кредити за оперативни разходи </w:t>
      </w:r>
    </w:p>
    <w:p>
      <w:pPr>
        <w:pStyle w:val="ListDash1"/>
        <w:rPr>
          <w:noProof/>
        </w:rPr>
      </w:pPr>
      <w:r>
        <w:rPr>
          <w:noProof/>
        </w:rPr>
        <w:sym w:font="Wingdings" w:char="F078"/>
      </w:r>
      <w:r>
        <w:rPr>
          <w:noProof/>
        </w:rPr>
        <w:tab/>
        <w:t>Предложението/инициативата налага използване на бюджетни кредити за оперативни разходи съгласно обяснението по-долу:</w:t>
      </w:r>
    </w:p>
    <w:p>
      <w:pPr>
        <w:jc w:val="right"/>
        <w:rPr>
          <w:noProof/>
          <w:sz w:val="20"/>
        </w:rPr>
      </w:pPr>
      <w:r>
        <w:rPr>
          <w:noProof/>
          <w:sz w:val="20"/>
        </w:rPr>
        <w:t>Бюджетни кредити за поети задължения в млн. евро (до третия знак след десетичната запетая)</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Да се посочат целите и резултатите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rPr>
              <w:t>Година</w:t>
            </w:r>
            <w:r>
              <w:rPr>
                <w:noProof/>
              </w:rPr>
              <w:br/>
            </w:r>
            <w:r>
              <w:rPr>
                <w:b/>
                <w:noProof/>
                <w:sz w:val="18"/>
              </w:rPr>
              <w:t>N</w:t>
            </w:r>
          </w:p>
        </w:tc>
        <w:tc>
          <w:tcPr>
            <w:tcW w:w="1260" w:type="dxa"/>
            <w:gridSpan w:val="2"/>
            <w:vAlign w:val="center"/>
          </w:tcPr>
          <w:p>
            <w:pPr>
              <w:ind w:right="-29"/>
              <w:jc w:val="center"/>
              <w:rPr>
                <w:noProof/>
                <w:sz w:val="18"/>
                <w:szCs w:val="18"/>
              </w:rPr>
            </w:pPr>
            <w:r>
              <w:rPr>
                <w:noProof/>
              </w:rPr>
              <w:t>Година</w:t>
            </w:r>
            <w:r>
              <w:rPr>
                <w:noProof/>
              </w:rPr>
              <w:br/>
            </w:r>
            <w:r>
              <w:rPr>
                <w:b/>
                <w:noProof/>
                <w:sz w:val="18"/>
              </w:rPr>
              <w:t>N+1</w:t>
            </w:r>
          </w:p>
        </w:tc>
        <w:tc>
          <w:tcPr>
            <w:tcW w:w="1440" w:type="dxa"/>
            <w:gridSpan w:val="2"/>
            <w:vAlign w:val="center"/>
          </w:tcPr>
          <w:p>
            <w:pPr>
              <w:ind w:right="-29"/>
              <w:jc w:val="center"/>
              <w:rPr>
                <w:noProof/>
                <w:sz w:val="18"/>
                <w:szCs w:val="18"/>
              </w:rPr>
            </w:pPr>
            <w:r>
              <w:rPr>
                <w:noProof/>
              </w:rPr>
              <w:t>Година</w:t>
            </w:r>
            <w:r>
              <w:rPr>
                <w:noProof/>
              </w:rPr>
              <w:br/>
            </w:r>
            <w:r>
              <w:rPr>
                <w:b/>
                <w:noProof/>
                <w:sz w:val="18"/>
              </w:rPr>
              <w:t>N+2</w:t>
            </w:r>
          </w:p>
        </w:tc>
        <w:tc>
          <w:tcPr>
            <w:tcW w:w="1620" w:type="dxa"/>
            <w:gridSpan w:val="3"/>
            <w:vAlign w:val="center"/>
          </w:tcPr>
          <w:p>
            <w:pPr>
              <w:ind w:right="-29"/>
              <w:jc w:val="center"/>
              <w:rPr>
                <w:noProof/>
                <w:sz w:val="18"/>
                <w:szCs w:val="18"/>
              </w:rPr>
            </w:pPr>
            <w:r>
              <w:rPr>
                <w:noProof/>
              </w:rPr>
              <w:t>Година</w:t>
            </w:r>
            <w:r>
              <w:rPr>
                <w:noProof/>
              </w:rPr>
              <w:br/>
            </w:r>
            <w:r>
              <w:rPr>
                <w:b/>
                <w:noProof/>
                <w:sz w:val="18"/>
              </w:rPr>
              <w:t>N+3</w:t>
            </w:r>
          </w:p>
        </w:tc>
        <w:tc>
          <w:tcPr>
            <w:tcW w:w="3600" w:type="dxa"/>
            <w:gridSpan w:val="6"/>
            <w:vAlign w:val="center"/>
          </w:tcPr>
          <w:p>
            <w:pPr>
              <w:jc w:val="center"/>
              <w:rPr>
                <w:noProof/>
                <w:sz w:val="18"/>
                <w:szCs w:val="18"/>
              </w:rPr>
            </w:pPr>
            <w:r>
              <w:rPr>
                <w:noProof/>
                <w:sz w:val="18"/>
              </w:rPr>
              <w:t>Да се добавят толкова години, колкото е необходимо, за да се обхване продължителността на отражението (вж. точка 1.6)</w:t>
            </w:r>
          </w:p>
        </w:tc>
        <w:tc>
          <w:tcPr>
            <w:tcW w:w="1620" w:type="dxa"/>
            <w:gridSpan w:val="2"/>
            <w:tcBorders>
              <w:left w:val="nil"/>
              <w:bottom w:val="nil"/>
            </w:tcBorders>
            <w:vAlign w:val="center"/>
          </w:tcPr>
          <w:p>
            <w:pPr>
              <w:ind w:right="-29"/>
              <w:jc w:val="center"/>
              <w:rPr>
                <w:noProof/>
                <w:sz w:val="18"/>
                <w:szCs w:val="18"/>
              </w:rPr>
            </w:pPr>
            <w:r>
              <w:rPr>
                <w:b/>
                <w:noProof/>
                <w:sz w:val="18"/>
              </w:rPr>
              <w:t>ОБЩО</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РЕЗУЛТАТИ</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Вид</w:t>
            </w:r>
            <w:r>
              <w:rPr>
                <w:rStyle w:val="FootnoteReference"/>
                <w:noProof/>
                <w:sz w:val="18"/>
              </w:rPr>
              <w:footnoteReference w:id="16"/>
            </w:r>
          </w:p>
          <w:p>
            <w:pPr>
              <w:spacing w:before="0" w:after="0"/>
              <w:jc w:val="center"/>
              <w:rPr>
                <w:noProof/>
                <w:sz w:val="18"/>
                <w:szCs w:val="18"/>
              </w:rPr>
            </w:pPr>
          </w:p>
        </w:tc>
        <w:tc>
          <w:tcPr>
            <w:tcW w:w="701" w:type="dxa"/>
            <w:vAlign w:val="center"/>
          </w:tcPr>
          <w:p>
            <w:pPr>
              <w:jc w:val="center"/>
              <w:rPr>
                <w:noProof/>
                <w:sz w:val="18"/>
                <w:szCs w:val="18"/>
              </w:rPr>
            </w:pPr>
            <w:r>
              <w:rPr>
                <w:noProof/>
                <w:sz w:val="18"/>
              </w:rPr>
              <w:t>Среден разход</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Разход</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648" w:type="dxa"/>
            <w:tcBorders>
              <w:left w:val="dashSmallGap" w:sz="4" w:space="0" w:color="auto"/>
            </w:tcBorders>
            <w:shd w:val="pct10" w:color="auto" w:fill="auto"/>
            <w:vAlign w:val="center"/>
          </w:tcPr>
          <w:p>
            <w:pPr>
              <w:jc w:val="center"/>
              <w:rPr>
                <w:noProof/>
                <w:sz w:val="18"/>
                <w:szCs w:val="18"/>
              </w:rPr>
            </w:pPr>
            <w:r>
              <w:rPr>
                <w:noProof/>
                <w:sz w:val="18"/>
              </w:rPr>
              <w:t>Разход</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Разход</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Общ брой</w:t>
            </w:r>
          </w:p>
        </w:tc>
        <w:tc>
          <w:tcPr>
            <w:tcW w:w="900" w:type="dxa"/>
            <w:tcBorders>
              <w:left w:val="dashSmallGap" w:sz="4" w:space="0" w:color="auto"/>
            </w:tcBorders>
            <w:shd w:val="pct10" w:color="auto" w:fill="auto"/>
            <w:vAlign w:val="center"/>
          </w:tcPr>
          <w:p>
            <w:pPr>
              <w:jc w:val="center"/>
              <w:rPr>
                <w:noProof/>
                <w:sz w:val="18"/>
                <w:szCs w:val="18"/>
              </w:rPr>
            </w:pPr>
            <w:r>
              <w:rPr>
                <w:noProof/>
                <w:sz w:val="18"/>
              </w:rPr>
              <w:t>Общо разходи</w:t>
            </w:r>
          </w:p>
        </w:tc>
      </w:tr>
      <w:tr>
        <w:trPr>
          <w:jc w:val="center"/>
        </w:trPr>
        <w:tc>
          <w:tcPr>
            <w:tcW w:w="2844" w:type="dxa"/>
            <w:gridSpan w:val="3"/>
            <w:vAlign w:val="center"/>
          </w:tcPr>
          <w:p>
            <w:pPr>
              <w:spacing w:before="60" w:after="60"/>
              <w:ind w:right="-29"/>
              <w:jc w:val="center"/>
              <w:rPr>
                <w:noProof/>
                <w:sz w:val="18"/>
                <w:szCs w:val="18"/>
              </w:rPr>
            </w:pPr>
            <w:r>
              <w:rPr>
                <w:noProof/>
                <w:sz w:val="18"/>
              </w:rPr>
              <w:t>КОНКРЕТНА ЦЕЛ № 1</w:t>
            </w:r>
            <w:r>
              <w:rPr>
                <w:rStyle w:val="FootnoteReference"/>
                <w:noProof/>
                <w:sz w:val="18"/>
              </w:rPr>
              <w:footnoteReference w:id="17"/>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Междинен сбор за конкретна цел №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КОНКРЕТНА ЦЕЛ №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Резултат</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Междинен сбор за конкретна цел №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ОБЩО РАЗХОДИ</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Очаквано отражение върху бюджетните кредити за административни разходи</w:t>
      </w:r>
    </w:p>
    <w:p>
      <w:pPr>
        <w:pStyle w:val="ManualHeading4"/>
        <w:rPr>
          <w:noProof/>
        </w:rPr>
      </w:pPr>
      <w:r>
        <w:rPr>
          <w:noProof/>
        </w:rPr>
        <w:t>3.2.3.1.</w:t>
      </w:r>
      <w:r>
        <w:rPr>
          <w:noProof/>
        </w:rPr>
        <w:tab/>
        <w:t xml:space="preserve">Обобщение </w:t>
      </w:r>
    </w:p>
    <w:p>
      <w:pPr>
        <w:pStyle w:val="ListDash1"/>
        <w:rPr>
          <w:noProof/>
        </w:rPr>
      </w:pPr>
      <w:r>
        <w:rPr>
          <w:noProof/>
        </w:rPr>
        <w:sym w:font="Wingdings" w:char="F078"/>
      </w:r>
      <w:r>
        <w:rPr>
          <w:noProof/>
        </w:rPr>
        <w:tab/>
        <w:t xml:space="preserve">Предложението/инициативата не налага използване на бюджетни кредити за административни разходи </w:t>
      </w:r>
    </w:p>
    <w:p>
      <w:pPr>
        <w:pStyle w:val="ListDash1"/>
        <w:rPr>
          <w:noProof/>
        </w:rPr>
      </w:pPr>
      <w:r>
        <w:rPr>
          <w:noProof/>
        </w:rPr>
        <w:sym w:font="Wingdings" w:char="F0A8"/>
      </w:r>
      <w:r>
        <w:rPr>
          <w:noProof/>
        </w:rPr>
        <w:tab/>
        <w:t>Предложението/инициативата налага използване на бюджетни кредити за административни разходи съгласно обяснението по-долу:</w:t>
      </w:r>
    </w:p>
    <w:p>
      <w:pPr>
        <w:ind w:left="4320"/>
        <w:rPr>
          <w:noProof/>
          <w:sz w:val="20"/>
        </w:rPr>
      </w:pPr>
      <w:r>
        <w:rPr>
          <w:noProof/>
          <w:sz w:val="20"/>
        </w:rPr>
        <w:t>В млн. евро (до третия знак след десетичната запетая)</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rPr>
              <w:t>Година</w:t>
            </w:r>
            <w:r>
              <w:rPr>
                <w:noProof/>
              </w:rPr>
              <w:br/>
            </w:r>
            <w:r>
              <w:rPr>
                <w:b/>
                <w:noProof/>
                <w:sz w:val="16"/>
              </w:rPr>
              <w:t xml:space="preserve">N </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noProof/>
              </w:rPr>
              <w:t>Година</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rPr>
              <w:t>Година</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rPr>
              <w:t>Година</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Да се добавят толкова години, колкото е необходимо, за да се обхване продължителността на отражението (вж. точка 1.6)</w:t>
            </w:r>
          </w:p>
        </w:tc>
        <w:tc>
          <w:tcPr>
            <w:tcW w:w="1080" w:type="dxa"/>
            <w:vAlign w:val="center"/>
          </w:tcPr>
          <w:p>
            <w:pPr>
              <w:spacing w:before="60" w:after="60" w:line="200" w:lineRule="exact"/>
              <w:jc w:val="center"/>
              <w:rPr>
                <w:b/>
                <w:noProof/>
                <w:sz w:val="16"/>
                <w:szCs w:val="16"/>
              </w:rPr>
            </w:pPr>
            <w:r>
              <w:rPr>
                <w:b/>
                <w:noProof/>
                <w:sz w:val="16"/>
              </w:rPr>
              <w:t>ОБЩО</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ФУНКЦИЯ 5</w:t>
            </w:r>
            <w:r>
              <w:rPr>
                <w:noProof/>
              </w:rPr>
              <w:br/>
            </w:r>
            <w:r>
              <w:rPr>
                <w:b/>
                <w:noProof/>
                <w:sz w:val="16"/>
              </w:rPr>
              <w:t>от многогодишната финансова рамка</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Човешки ресурси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Други административни разходи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Междинен сбор за ФУНКЦИЯ 5</w:t>
            </w:r>
            <w:r>
              <w:rPr>
                <w:noProof/>
              </w:rPr>
              <w:br/>
            </w:r>
            <w:r>
              <w:rPr>
                <w:b/>
                <w:noProof/>
                <w:sz w:val="16"/>
              </w:rPr>
              <w:t xml:space="preserve">от многогодишната финансова рамка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rPr>
              <w:t>Извън ФУНКЦИЯ 5</w:t>
            </w:r>
            <w:r>
              <w:rPr>
                <w:rStyle w:val="FootnoteReference"/>
                <w:b/>
                <w:noProof/>
              </w:rPr>
              <w:footnoteReference w:id="19"/>
            </w:r>
            <w:r>
              <w:rPr>
                <w:noProof/>
              </w:rPr>
              <w:br/>
            </w:r>
            <w:r>
              <w:rPr>
                <w:b/>
                <w:noProof/>
                <w:sz w:val="16"/>
              </w:rPr>
              <w:t xml:space="preserve">от многогодишната финансова рамка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Човешки ресурси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rPr>
              <w:t xml:space="preserve">Други административни </w:t>
            </w:r>
            <w:r>
              <w:rPr>
                <w:noProof/>
              </w:rPr>
              <w:br/>
            </w:r>
            <w:r>
              <w:rPr>
                <w:noProof/>
                <w:sz w:val="16"/>
              </w:rPr>
              <w:t>разходи</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Междинен сбор</w:t>
            </w:r>
            <w:r>
              <w:rPr>
                <w:noProof/>
              </w:rPr>
              <w:br/>
            </w:r>
            <w:r>
              <w:rPr>
                <w:b/>
                <w:noProof/>
              </w:rPr>
              <w:t>извън ФУНКЦИЯ 5</w:t>
            </w:r>
            <w:r>
              <w:rPr>
                <w:noProof/>
              </w:rPr>
              <w:br/>
            </w:r>
            <w:r>
              <w:rPr>
                <w:b/>
                <w:noProof/>
                <w:sz w:val="16"/>
              </w:rPr>
              <w:t xml:space="preserve">от многогодишната финансова рамка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ОБЩО</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Бюджетните кредити, необходими за човешки ресурси и други административни разходи, ще бъдат покрити от бюджетни кредити на ГД, които вече са определени за управлението на действието и/или които са преразпределени в рамките на ГД, при необходимост заедно с всички допълнително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r>
        <w:rPr>
          <w:noProof/>
        </w:rPr>
        <w:tab/>
      </w:r>
    </w:p>
    <w:p>
      <w:pPr>
        <w:pStyle w:val="ManualHeading4"/>
        <w:rPr>
          <w:bCs/>
          <w:noProof/>
          <w:szCs w:val="24"/>
        </w:rPr>
      </w:pPr>
      <w:r>
        <w:rPr>
          <w:noProof/>
        </w:rPr>
        <w:t>3.2.3.2.</w:t>
      </w:r>
      <w:r>
        <w:rPr>
          <w:noProof/>
        </w:rPr>
        <w:tab/>
        <w:t>Очаквани нужди от човешки ресурси</w:t>
      </w:r>
    </w:p>
    <w:p>
      <w:pPr>
        <w:pStyle w:val="ListDash1"/>
        <w:rPr>
          <w:noProof/>
        </w:rPr>
      </w:pPr>
      <w:r>
        <w:rPr>
          <w:noProof/>
        </w:rPr>
        <w:sym w:font="Wingdings" w:char="F078"/>
      </w:r>
      <w:r>
        <w:rPr>
          <w:noProof/>
        </w:rPr>
        <w:tab/>
        <w:t xml:space="preserve">Предложението/инициативата не налага използване на човешки ресурси  </w:t>
      </w:r>
    </w:p>
    <w:p>
      <w:pPr>
        <w:pStyle w:val="ListDash1"/>
        <w:rPr>
          <w:noProof/>
        </w:rPr>
      </w:pPr>
      <w:r>
        <w:rPr>
          <w:noProof/>
        </w:rPr>
        <w:sym w:font="Wingdings" w:char="F0A8"/>
      </w:r>
      <w:r>
        <w:rPr>
          <w:noProof/>
        </w:rPr>
        <w:tab/>
        <w:t>Предложението/инициативата налага използване на човешки ресурси съгласно обяснението по-долу:</w:t>
      </w:r>
    </w:p>
    <w:p>
      <w:pPr>
        <w:spacing w:after="60"/>
        <w:jc w:val="right"/>
        <w:rPr>
          <w:i/>
          <w:noProof/>
          <w:sz w:val="20"/>
        </w:rPr>
      </w:pPr>
      <w:r>
        <w:rPr>
          <w:i/>
          <w:noProof/>
          <w:sz w:val="20"/>
        </w:rPr>
        <w:t>Разчетните данни се посочват в еквиваленти на пълно работно време</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rPr>
              <w:t>Година</w:t>
            </w:r>
            <w:r>
              <w:rPr>
                <w:noProof/>
              </w:rPr>
              <w:br/>
            </w:r>
            <w:r>
              <w:rPr>
                <w:b/>
                <w:noProof/>
                <w:sz w:val="16"/>
              </w:rPr>
              <w:t>N</w:t>
            </w:r>
          </w:p>
        </w:tc>
        <w:tc>
          <w:tcPr>
            <w:tcW w:w="318" w:type="pct"/>
            <w:shd w:val="clear" w:color="auto" w:fill="auto"/>
            <w:vAlign w:val="center"/>
          </w:tcPr>
          <w:p>
            <w:pPr>
              <w:spacing w:before="20" w:after="20"/>
              <w:jc w:val="center"/>
              <w:rPr>
                <w:noProof/>
                <w:sz w:val="16"/>
                <w:szCs w:val="16"/>
              </w:rPr>
            </w:pPr>
            <w:r>
              <w:rPr>
                <w:noProof/>
              </w:rPr>
              <w:t>Година</w:t>
            </w:r>
            <w:r>
              <w:rPr>
                <w:noProof/>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Година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Година </w:t>
            </w:r>
            <w:r>
              <w:rPr>
                <w:b/>
                <w:noProof/>
                <w:sz w:val="16"/>
              </w:rPr>
              <w:t>N+3</w:t>
            </w:r>
          </w:p>
        </w:tc>
        <w:tc>
          <w:tcPr>
            <w:tcW w:w="345" w:type="pct"/>
            <w:gridSpan w:val="3"/>
            <w:shd w:val="clear" w:color="auto" w:fill="auto"/>
            <w:vAlign w:val="center"/>
          </w:tcPr>
          <w:p>
            <w:pPr>
              <w:jc w:val="center"/>
              <w:rPr>
                <w:b/>
                <w:noProof/>
                <w:sz w:val="16"/>
                <w:szCs w:val="16"/>
              </w:rPr>
            </w:pPr>
            <w:r>
              <w:rPr>
                <w:noProof/>
                <w:sz w:val="16"/>
              </w:rPr>
              <w:t>Да се добавят толкова години, колкото е необходимо, за да се обхване продължителността на отражението (вж. точка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noProof/>
              </w:rPr>
              <w:t xml:space="preserve"> </w:t>
            </w:r>
            <w:r>
              <w:rPr>
                <w:b/>
                <w:noProof/>
              </w:rPr>
              <w:t>Длъжности в щатното разписание (длъжностни лица и срочно наети служители)</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(Централа и представителства на Комисията)</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(Делегации)</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(Непреки научни изследвания)</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(Преки научни изследвания)</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w:t>
            </w:r>
            <w:r>
              <w:rPr>
                <w:b/>
                <w:noProof/>
              </w:rPr>
              <w:t>Външен персонал (в еквивалент на пълно работно време —</w:t>
            </w:r>
            <w:r>
              <w:rPr>
                <w:noProof/>
              </w:rPr>
              <w:t xml:space="preserve"> </w:t>
            </w:r>
            <w:r>
              <w:rPr>
                <w:b/>
                <w:noProof/>
                <w:sz w:val="16"/>
              </w:rPr>
              <w:t xml:space="preserve"> ЕПРВ)</w:t>
            </w:r>
            <w:r>
              <w:rPr>
                <w:rStyle w:val="FootnoteReference"/>
                <w:b/>
                <w:noProof/>
                <w:sz w:val="16"/>
              </w:rPr>
              <w:footnoteReference w:id="20"/>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(ДНП, КНЕ, ПНА от общия финансов пакет)</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(ДНП, МП, КНЕ, ПНА и МЕД в делегациите)</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rPr>
              <w:t xml:space="preserve">XX </w:t>
            </w:r>
            <w:r>
              <w:rPr>
                <w:noProof/>
              </w:rPr>
              <w:t xml:space="preserve">01 04 </w:t>
            </w:r>
            <w:r>
              <w:rPr>
                <w:b/>
                <w:noProof/>
              </w:rPr>
              <w:t>гг</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в централата</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в делегациите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rPr>
              <w:t>XX</w:t>
            </w:r>
            <w:r>
              <w:rPr>
                <w:noProof/>
              </w:rPr>
              <w:t xml:space="preserve"> 01 05 02 (ДНП, КНЕ, ПНА — Непреки научни изследвания)</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(ДНП, КНЕ, ПНА — преки научни изследвания)</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Други бюджетни редове (да се посочат)</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ОБЩО</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rPr>
        <w:t>XX</w:t>
      </w:r>
      <w:r>
        <w:rPr>
          <w:noProof/>
        </w:rPr>
        <w:t xml:space="preserve"> е съответната област на политиката или бюджетен дял.</w:t>
      </w:r>
    </w:p>
    <w:p>
      <w:pPr>
        <w:pStyle w:val="Text1"/>
        <w:rPr>
          <w:noProof/>
          <w:sz w:val="18"/>
          <w:szCs w:val="18"/>
        </w:rPr>
      </w:pPr>
      <w:r>
        <w:rPr>
          <w:noProof/>
          <w:sz w:val="18"/>
        </w:rPr>
        <w:t>Нуждите от човешки ресурси ще бъдат покрити от персонала на ГД, на който вече е възложено управлението на действието и/или който е преразпределен в рамките на ГД, при необходимост заедно с всички допълнително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rPr>
          <w:noProof/>
          <w:sz w:val="20"/>
        </w:rPr>
      </w:pPr>
      <w:r>
        <w:rPr>
          <w:noProof/>
          <w:sz w:val="20"/>
        </w:rPr>
        <w:t>Описание на задачите, които трябва да се изпълнят:</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Длъжностни лица и срочно наети служители</w:t>
            </w:r>
          </w:p>
        </w:tc>
        <w:tc>
          <w:tcPr>
            <w:tcW w:w="7200" w:type="dxa"/>
          </w:tcPr>
          <w:p>
            <w:pPr>
              <w:rPr>
                <w:noProof/>
                <w:sz w:val="20"/>
              </w:rPr>
            </w:pPr>
          </w:p>
        </w:tc>
      </w:tr>
      <w:tr>
        <w:tc>
          <w:tcPr>
            <w:tcW w:w="3240" w:type="dxa"/>
          </w:tcPr>
          <w:p>
            <w:pPr>
              <w:spacing w:before="60" w:after="60"/>
              <w:rPr>
                <w:noProof/>
                <w:sz w:val="20"/>
              </w:rPr>
            </w:pPr>
            <w:r>
              <w:rPr>
                <w:noProof/>
                <w:sz w:val="20"/>
              </w:rPr>
              <w:t>Външен персонал</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Съвместимост с настоящата многогодишна финансова рамка </w:t>
      </w:r>
    </w:p>
    <w:p>
      <w:pPr>
        <w:pStyle w:val="ListDash1"/>
        <w:rPr>
          <w:noProof/>
        </w:rPr>
      </w:pPr>
      <w:r>
        <w:rPr>
          <w:noProof/>
        </w:rPr>
        <w:sym w:font="Wingdings" w:char="F078"/>
      </w:r>
      <w:r>
        <w:rPr>
          <w:noProof/>
        </w:rPr>
        <w:tab/>
        <w:t>Предложението/инициативата е съвместимо(а) с настоящата многогодишна финансова рамка.</w:t>
      </w:r>
    </w:p>
    <w:p>
      <w:pPr>
        <w:pStyle w:val="ListDash1"/>
        <w:rPr>
          <w:noProof/>
        </w:rPr>
      </w:pPr>
      <w:r>
        <w:rPr>
          <w:noProof/>
        </w:rPr>
        <w:sym w:font="Wingdings" w:char="F0A8"/>
      </w:r>
      <w:r>
        <w:rPr>
          <w:noProof/>
        </w:rPr>
        <w:tab/>
        <w:t>Предложението/инициативата налага препрограмиране на съответната функция от многогодишната финансова рамка.</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Обяснете какво препрограмиране е необходимо, като посочите съответните бюджетни редове и суми.</w:t>
      </w:r>
    </w:p>
    <w:p>
      <w:pPr>
        <w:pStyle w:val="ListDash1"/>
        <w:rPr>
          <w:noProof/>
        </w:rPr>
      </w:pPr>
      <w:r>
        <w:rPr>
          <w:noProof/>
        </w:rPr>
        <w:sym w:font="Wingdings" w:char="F0A8"/>
      </w:r>
      <w:r>
        <w:rPr>
          <w:noProof/>
        </w:rPr>
        <w:tab/>
        <w:t>Предложението/инициативата налага да се използва инструментът за гъвкавост или да се преразгледа многогодишната финансова рамка.</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Обяснете какво е необходимо, като посочите съответните функции, бюджетни редове и суми.</w:t>
      </w:r>
    </w:p>
    <w:p>
      <w:pPr>
        <w:pStyle w:val="ManualHeading3"/>
        <w:rPr>
          <w:bCs/>
          <w:noProof/>
          <w:szCs w:val="24"/>
        </w:rPr>
      </w:pPr>
      <w:r>
        <w:rPr>
          <w:noProof/>
        </w:rPr>
        <w:t>3.2.5.</w:t>
      </w:r>
      <w:r>
        <w:rPr>
          <w:noProof/>
        </w:rPr>
        <w:tab/>
        <w:t xml:space="preserve">Участие на трети страни във финансирането </w:t>
      </w:r>
    </w:p>
    <w:p>
      <w:pPr>
        <w:pStyle w:val="ListDash1"/>
        <w:rPr>
          <w:noProof/>
        </w:rPr>
      </w:pPr>
      <w:r>
        <w:rPr>
          <w:noProof/>
        </w:rPr>
        <w:t xml:space="preserve">Предложението/инициативата не предвижда съфинансиране от трети страни. </w:t>
      </w:r>
    </w:p>
    <w:p>
      <w:pPr>
        <w:pStyle w:val="ListDash1"/>
        <w:rPr>
          <w:noProof/>
        </w:rPr>
      </w:pPr>
      <w:r>
        <w:rPr>
          <w:noProof/>
        </w:rPr>
        <w:t>Предложението/инициативата предвижда съфинансиране съгласно следните разчетни данни:</w:t>
      </w:r>
    </w:p>
    <w:p>
      <w:pPr>
        <w:jc w:val="right"/>
        <w:rPr>
          <w:noProof/>
          <w:sz w:val="20"/>
        </w:rPr>
      </w:pPr>
      <w:r>
        <w:rPr>
          <w:noProof/>
          <w:sz w:val="20"/>
        </w:rPr>
        <w:t>Бюджетни кредити в млн. евро (до третия знак след десетичната запетая)</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Година</w:t>
            </w:r>
            <w:r>
              <w:rPr>
                <w:noProof/>
              </w:rPr>
              <w:br/>
            </w:r>
            <w:r>
              <w:rPr>
                <w:b/>
                <w:noProof/>
                <w:sz w:val="20"/>
              </w:rPr>
              <w:t>N</w:t>
            </w:r>
          </w:p>
        </w:tc>
        <w:tc>
          <w:tcPr>
            <w:tcW w:w="964" w:type="dxa"/>
            <w:vAlign w:val="center"/>
          </w:tcPr>
          <w:p>
            <w:pPr>
              <w:jc w:val="center"/>
              <w:rPr>
                <w:noProof/>
                <w:sz w:val="20"/>
              </w:rPr>
            </w:pPr>
            <w:r>
              <w:rPr>
                <w:noProof/>
              </w:rPr>
              <w:t>Година</w:t>
            </w:r>
            <w:r>
              <w:rPr>
                <w:noProof/>
              </w:rPr>
              <w:br/>
            </w:r>
            <w:r>
              <w:rPr>
                <w:b/>
                <w:noProof/>
                <w:sz w:val="20"/>
              </w:rPr>
              <w:t>N+1</w:t>
            </w:r>
          </w:p>
        </w:tc>
        <w:tc>
          <w:tcPr>
            <w:tcW w:w="964" w:type="dxa"/>
            <w:vAlign w:val="center"/>
          </w:tcPr>
          <w:p>
            <w:pPr>
              <w:jc w:val="center"/>
              <w:rPr>
                <w:noProof/>
                <w:sz w:val="20"/>
              </w:rPr>
            </w:pPr>
            <w:r>
              <w:rPr>
                <w:noProof/>
              </w:rPr>
              <w:t>Година</w:t>
            </w:r>
            <w:r>
              <w:rPr>
                <w:noProof/>
              </w:rPr>
              <w:br/>
            </w:r>
            <w:r>
              <w:rPr>
                <w:b/>
                <w:noProof/>
                <w:sz w:val="20"/>
              </w:rPr>
              <w:t>N+2</w:t>
            </w:r>
          </w:p>
        </w:tc>
        <w:tc>
          <w:tcPr>
            <w:tcW w:w="964" w:type="dxa"/>
            <w:vAlign w:val="center"/>
          </w:tcPr>
          <w:p>
            <w:pPr>
              <w:jc w:val="center"/>
              <w:rPr>
                <w:noProof/>
                <w:sz w:val="20"/>
              </w:rPr>
            </w:pPr>
            <w:r>
              <w:rPr>
                <w:noProof/>
              </w:rPr>
              <w:t>Година</w:t>
            </w:r>
            <w:r>
              <w:rPr>
                <w:noProof/>
              </w:rPr>
              <w:br/>
            </w:r>
            <w:r>
              <w:rPr>
                <w:b/>
                <w:noProof/>
                <w:sz w:val="20"/>
              </w:rPr>
              <w:t>N+3</w:t>
            </w:r>
          </w:p>
        </w:tc>
        <w:tc>
          <w:tcPr>
            <w:tcW w:w="2892" w:type="dxa"/>
            <w:gridSpan w:val="3"/>
            <w:vAlign w:val="center"/>
          </w:tcPr>
          <w:p>
            <w:pPr>
              <w:jc w:val="center"/>
              <w:rPr>
                <w:b/>
                <w:noProof/>
                <w:sz w:val="20"/>
              </w:rPr>
            </w:pPr>
            <w:r>
              <w:rPr>
                <w:noProof/>
                <w:sz w:val="20"/>
              </w:rPr>
              <w:t>Да се добавят толкова години, колкото е необходимо, за да се обхване продължителността на отражението (вж. точка 1.6)</w:t>
            </w:r>
          </w:p>
        </w:tc>
        <w:tc>
          <w:tcPr>
            <w:tcW w:w="1158" w:type="dxa"/>
            <w:vAlign w:val="center"/>
          </w:tcPr>
          <w:p>
            <w:pPr>
              <w:spacing w:before="60" w:after="60"/>
              <w:jc w:val="center"/>
              <w:rPr>
                <w:noProof/>
                <w:sz w:val="20"/>
              </w:rPr>
            </w:pPr>
            <w:r>
              <w:rPr>
                <w:noProof/>
                <w:sz w:val="20"/>
              </w:rPr>
              <w:t>Общо</w:t>
            </w:r>
          </w:p>
        </w:tc>
      </w:tr>
      <w:tr>
        <w:trPr>
          <w:cantSplit/>
        </w:trPr>
        <w:tc>
          <w:tcPr>
            <w:tcW w:w="2340" w:type="dxa"/>
          </w:tcPr>
          <w:p>
            <w:pPr>
              <w:rPr>
                <w:noProof/>
              </w:rPr>
            </w:pPr>
            <w:r>
              <w:rPr>
                <w:noProof/>
                <w:sz w:val="20"/>
              </w:rPr>
              <w:t>Да се посочи съфинансиращият орган</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ОБЩО съфинансирани бюджетни кредити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pStyle w:val="ManualHeading2"/>
        <w:rPr>
          <w:bCs/>
          <w:noProof/>
          <w:szCs w:val="24"/>
        </w:rPr>
      </w:pPr>
      <w:r>
        <w:rPr>
          <w:noProof/>
        </w:rPr>
        <w:t>3.3.</w:t>
      </w:r>
      <w:r>
        <w:rPr>
          <w:noProof/>
        </w:rPr>
        <w:tab/>
        <w:t xml:space="preserve">Очаквано отражение върху приходите </w:t>
      </w:r>
    </w:p>
    <w:p>
      <w:pPr>
        <w:pStyle w:val="ListDash1"/>
        <w:rPr>
          <w:noProof/>
        </w:rPr>
      </w:pPr>
      <w:r>
        <w:rPr>
          <w:noProof/>
        </w:rPr>
        <w:sym w:font="Wingdings" w:char="F078"/>
      </w:r>
      <w:r>
        <w:rPr>
          <w:noProof/>
        </w:rPr>
        <w:tab/>
        <w:t>Предложението/инициативата няма финансово отражение върху приходите.</w:t>
      </w:r>
    </w:p>
    <w:p>
      <w:pPr>
        <w:pStyle w:val="ListDash1"/>
        <w:rPr>
          <w:noProof/>
        </w:rPr>
      </w:pPr>
      <w:r>
        <w:rPr>
          <w:noProof/>
        </w:rPr>
        <w:sym w:font="Wingdings" w:char="F0A8"/>
      </w:r>
      <w:r>
        <w:rPr>
          <w:noProof/>
        </w:rPr>
        <w:tab/>
        <w:t>Предложението/инициативата има следното финансово отражение:</w:t>
      </w:r>
    </w:p>
    <w:p>
      <w:pPr>
        <w:pStyle w:val="ListNumberLevel3"/>
        <w:tabs>
          <w:tab w:val="clear" w:pos="2126"/>
        </w:tabs>
        <w:rPr>
          <w:noProof/>
        </w:rPr>
      </w:pPr>
      <w:r>
        <w:rPr>
          <w:noProof/>
        </w:rPr>
        <w:sym w:font="Wingdings" w:char="F0A8"/>
      </w:r>
      <w:r>
        <w:rPr>
          <w:noProof/>
        </w:rPr>
        <w:tab/>
        <w:t xml:space="preserve">върху собствените ресурси </w:t>
      </w:r>
    </w:p>
    <w:p>
      <w:pPr>
        <w:pStyle w:val="ListNumberLevel3"/>
        <w:tabs>
          <w:tab w:val="clear" w:pos="2126"/>
        </w:tabs>
        <w:rPr>
          <w:noProof/>
        </w:rPr>
      </w:pPr>
      <w:r>
        <w:rPr>
          <w:noProof/>
        </w:rPr>
        <w:sym w:font="Wingdings" w:char="F0A8"/>
      </w:r>
      <w:r>
        <w:rPr>
          <w:noProof/>
        </w:rPr>
        <w:tab/>
        <w:t xml:space="preserve">върху разните приходи </w:t>
      </w:r>
    </w:p>
    <w:p>
      <w:pPr>
        <w:jc w:val="right"/>
        <w:rPr>
          <w:i/>
          <w:noProof/>
          <w:sz w:val="20"/>
        </w:rPr>
      </w:pPr>
      <w:r>
        <w:rPr>
          <w:noProof/>
        </w:rPr>
        <w:t>В млн. евро (до третия знак след десетичната запетая)</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Приходен бюджетен ред:</w:t>
            </w:r>
          </w:p>
        </w:tc>
        <w:tc>
          <w:tcPr>
            <w:tcW w:w="1276" w:type="dxa"/>
            <w:vMerge w:val="restart"/>
            <w:vAlign w:val="center"/>
          </w:tcPr>
          <w:p>
            <w:pPr>
              <w:jc w:val="center"/>
              <w:rPr>
                <w:noProof/>
                <w:sz w:val="18"/>
              </w:rPr>
            </w:pPr>
            <w:r>
              <w:rPr>
                <w:noProof/>
                <w:sz w:val="18"/>
              </w:rPr>
              <w:t>Налични бюджетни кредити за текущата финансова година</w:t>
            </w:r>
          </w:p>
        </w:tc>
        <w:tc>
          <w:tcPr>
            <w:tcW w:w="7200" w:type="dxa"/>
            <w:gridSpan w:val="7"/>
            <w:vAlign w:val="center"/>
          </w:tcPr>
          <w:p>
            <w:pPr>
              <w:jc w:val="center"/>
              <w:rPr>
                <w:noProof/>
                <w:sz w:val="18"/>
              </w:rPr>
            </w:pPr>
            <w:r>
              <w:rPr>
                <w:noProof/>
                <w:sz w:val="18"/>
              </w:rPr>
              <w:t>Отражение на предложението/инициативата</w:t>
            </w:r>
            <w:r>
              <w:rPr>
                <w:rStyle w:val="FootnoteReference"/>
                <w:noProof/>
                <w:sz w:val="18"/>
              </w:rPr>
              <w:footnoteReference w:id="2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rPr>
              <w:t>Година</w:t>
            </w:r>
            <w:r>
              <w:rPr>
                <w:noProof/>
              </w:rPr>
              <w:br/>
            </w:r>
            <w:r>
              <w:rPr>
                <w:b/>
                <w:noProof/>
                <w:sz w:val="18"/>
              </w:rPr>
              <w:t>N</w:t>
            </w:r>
          </w:p>
        </w:tc>
        <w:tc>
          <w:tcPr>
            <w:tcW w:w="900" w:type="dxa"/>
            <w:vAlign w:val="center"/>
          </w:tcPr>
          <w:p>
            <w:pPr>
              <w:jc w:val="center"/>
              <w:rPr>
                <w:noProof/>
                <w:sz w:val="18"/>
              </w:rPr>
            </w:pPr>
            <w:r>
              <w:rPr>
                <w:noProof/>
              </w:rPr>
              <w:t>Година</w:t>
            </w:r>
            <w:r>
              <w:rPr>
                <w:noProof/>
              </w:rPr>
              <w:br/>
            </w:r>
            <w:r>
              <w:rPr>
                <w:b/>
                <w:noProof/>
                <w:sz w:val="18"/>
              </w:rPr>
              <w:t>N+1</w:t>
            </w:r>
          </w:p>
        </w:tc>
        <w:tc>
          <w:tcPr>
            <w:tcW w:w="900" w:type="dxa"/>
            <w:vAlign w:val="center"/>
          </w:tcPr>
          <w:p>
            <w:pPr>
              <w:jc w:val="center"/>
              <w:rPr>
                <w:noProof/>
                <w:sz w:val="18"/>
              </w:rPr>
            </w:pPr>
            <w:r>
              <w:rPr>
                <w:noProof/>
              </w:rPr>
              <w:t>Година</w:t>
            </w:r>
            <w:r>
              <w:rPr>
                <w:noProof/>
              </w:rPr>
              <w:br/>
            </w:r>
            <w:r>
              <w:rPr>
                <w:b/>
                <w:noProof/>
                <w:sz w:val="18"/>
              </w:rPr>
              <w:t>N+2</w:t>
            </w:r>
          </w:p>
        </w:tc>
        <w:tc>
          <w:tcPr>
            <w:tcW w:w="1080" w:type="dxa"/>
            <w:vAlign w:val="center"/>
          </w:tcPr>
          <w:p>
            <w:pPr>
              <w:jc w:val="center"/>
              <w:rPr>
                <w:noProof/>
                <w:sz w:val="18"/>
              </w:rPr>
            </w:pPr>
            <w:r>
              <w:rPr>
                <w:noProof/>
              </w:rPr>
              <w:t>Година</w:t>
            </w:r>
            <w:r>
              <w:rPr>
                <w:noProof/>
              </w:rPr>
              <w:br/>
            </w:r>
            <w:r>
              <w:rPr>
                <w:b/>
                <w:noProof/>
                <w:sz w:val="18"/>
              </w:rPr>
              <w:t>N+3</w:t>
            </w:r>
          </w:p>
        </w:tc>
        <w:tc>
          <w:tcPr>
            <w:tcW w:w="3240"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r>
      <w:tr>
        <w:trPr>
          <w:trHeight w:val="388"/>
        </w:trPr>
        <w:tc>
          <w:tcPr>
            <w:tcW w:w="2144" w:type="dxa"/>
            <w:vAlign w:val="center"/>
          </w:tcPr>
          <w:p>
            <w:pPr>
              <w:spacing w:before="40" w:after="40"/>
              <w:rPr>
                <w:noProof/>
                <w:sz w:val="18"/>
              </w:rPr>
            </w:pPr>
            <w:r>
              <w:rPr>
                <w:noProof/>
                <w:sz w:val="18"/>
              </w:rPr>
              <w:t>Статия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За разните „целеви“ приходи да се посочат съответните разходни бюджетни редове.</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r>
        <w:rPr>
          <w:noProof/>
          <w:sz w:val="20"/>
        </w:rPr>
        <w:t>Да се посочи методът за изчисляване на отражението върху приходите.</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20.12.2013 г., стр. 320), последно изменен с Регламент (ЕС) 2018/1719 на Европейския парламент и на Съвета от 14 ноември 2018 г. за изменение на Регламент (ЕС) № 1303/2013 по отношение на промените в средствата за икономическо, социално и териториално сближаване, както и в средствата по цел „Инвестиции за растеж и работни места“ и по цел „Европейско териториално сътрудничество“ (ОВ L 291, 16.11.2018 г., стр. 5).</w:t>
      </w:r>
    </w:p>
  </w:footnote>
  <w:footnote w:id="2">
    <w:p>
      <w:pPr>
        <w:pStyle w:val="FootnoteText"/>
      </w:pPr>
      <w:r>
        <w:rPr>
          <w:rStyle w:val="FootnoteReference"/>
        </w:rPr>
        <w:footnoteRef/>
      </w:r>
      <w:r>
        <w:tab/>
        <w:t>Регламент (ЕС) № 1304/2013 на Европейския парламент и на Съвета от 17 декември 2013 г. относно Европейския социален фонд и за отмяна на Регламент (ЕО) № 1081/2006 на Съвета (ОВ L 347, 20.12.2013 г., стр. 470).</w:t>
      </w:r>
    </w:p>
  </w:footnote>
  <w:footnote w:id="3">
    <w:p>
      <w:pPr>
        <w:pStyle w:val="FootnoteText"/>
      </w:pPr>
      <w:r>
        <w:rPr>
          <w:rStyle w:val="FootnoteReference"/>
        </w:rPr>
        <w:footnoteRef/>
      </w:r>
      <w:r>
        <w:tab/>
        <w:t>ОВ С [...], [...] г., стр. [...].</w:t>
      </w:r>
    </w:p>
  </w:footnote>
  <w:footnote w:id="4">
    <w:p>
      <w:pPr>
        <w:pStyle w:val="FootnoteText"/>
      </w:pPr>
      <w:r>
        <w:rPr>
          <w:rStyle w:val="FootnoteReference"/>
        </w:rPr>
        <w:footnoteRef/>
      </w:r>
      <w:r>
        <w:tab/>
        <w:t>ОВ С [...], [...] г., стр. [...].</w:t>
      </w:r>
    </w:p>
  </w:footnote>
  <w:footnote w:id="5">
    <w:p>
      <w:pPr>
        <w:pStyle w:val="FootnoteText"/>
      </w:pPr>
      <w:r>
        <w:rPr>
          <w:rStyle w:val="FootnoteReference"/>
        </w:rPr>
        <w:footnoteRef/>
      </w:r>
      <w:r>
        <w:tab/>
        <w:t>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(OB L 347, 20.12.2013 г., стр. 320).</w:t>
      </w:r>
    </w:p>
  </w:footnote>
  <w:footnote w:id="6">
    <w:p>
      <w:pPr>
        <w:pStyle w:val="FootnoteText"/>
      </w:pPr>
      <w:r>
        <w:rPr>
          <w:rStyle w:val="FootnoteReference"/>
        </w:rPr>
        <w:footnoteRef/>
      </w:r>
      <w:r>
        <w:tab/>
        <w:t>ОВ С [...], [...] г., стр. [...].</w:t>
      </w:r>
    </w:p>
  </w:footnote>
  <w:footnote w:id="7">
    <w:p>
      <w:pPr>
        <w:pStyle w:val="FootnoteText"/>
        <w:rPr>
          <w:szCs w:val="24"/>
        </w:rPr>
      </w:pPr>
      <w:r>
        <w:rPr>
          <w:rStyle w:val="FootnoteReference"/>
        </w:rPr>
        <w:footnoteRef/>
      </w:r>
      <w:r>
        <w:tab/>
        <w:t>УД: управление по дейности; БД: бюджетиране по дейности.</w:t>
      </w:r>
    </w:p>
  </w:footnote>
  <w:footnote w:id="8">
    <w:p>
      <w:pPr>
        <w:pStyle w:val="FootnoteText"/>
        <w:rPr>
          <w:szCs w:val="24"/>
        </w:rPr>
      </w:pPr>
      <w:r>
        <w:rPr>
          <w:rStyle w:val="FootnoteReference"/>
        </w:rPr>
        <w:footnoteRef/>
      </w:r>
      <w:r>
        <w:tab/>
        <w:t>Съгласно член 54, параграф 2, буква а) или б) от Финансовия регламент.</w:t>
      </w:r>
    </w:p>
  </w:footnote>
  <w:footnote w:id="9">
    <w:p>
      <w:pPr>
        <w:pStyle w:val="FootnoteText"/>
        <w:rPr>
          <w:szCs w:val="24"/>
        </w:rPr>
      </w:pPr>
      <w:r>
        <w:rPr>
          <w:rStyle w:val="FootnoteReference"/>
        </w:rPr>
        <w:footnoteRef/>
      </w:r>
      <w:r>
        <w:tab/>
        <w:t xml:space="preserve">Подробности във връзка с методите на управление и позоваванията на Финансовия регламент могат да бъдат намерени на уебсайта BudgWeb: </w:t>
      </w:r>
      <w:hyperlink r:id="rId1">
        <w:r>
          <w:rPr>
            <w:rStyle w:val="Hyperlink"/>
            <w:sz w:val="18"/>
          </w:rPr>
          <w:t>http://www.cc.cec/budg/man/budgmanag/budgmanag_bg.html</w:t>
        </w:r>
      </w:hyperlink>
    </w:p>
  </w:footnote>
  <w:footnote w:id="10">
    <w:p>
      <w:pPr>
        <w:pStyle w:val="FootnoteText"/>
        <w:rPr>
          <w:szCs w:val="24"/>
        </w:rPr>
      </w:pPr>
      <w:r>
        <w:rPr>
          <w:rStyle w:val="FootnoteReference"/>
        </w:rPr>
        <w:footnoteRef/>
      </w:r>
      <w:r>
        <w:tab/>
        <w:t>Многогод. = многогодишни бюджетни кредити / едногод. = едногодишни бюджетни кредити.</w:t>
      </w:r>
    </w:p>
  </w:footnote>
  <w:footnote w:id="11">
    <w:p>
      <w:pPr>
        <w:pStyle w:val="FootnoteText"/>
        <w:rPr>
          <w:szCs w:val="24"/>
        </w:rPr>
      </w:pPr>
      <w:r>
        <w:rPr>
          <w:rStyle w:val="FootnoteReference"/>
        </w:rPr>
        <w:footnoteRef/>
      </w:r>
      <w:r>
        <w:tab/>
        <w:t xml:space="preserve">ЕАСТ: Европейска асоциация за свободна търговия. </w:t>
      </w:r>
    </w:p>
  </w:footnote>
  <w:footnote w:id="12">
    <w:p>
      <w:pPr>
        <w:pStyle w:val="FootnoteText"/>
        <w:rPr>
          <w:szCs w:val="24"/>
        </w:rPr>
      </w:pPr>
      <w:r>
        <w:rPr>
          <w:rStyle w:val="FootnoteReference"/>
        </w:rPr>
        <w:footnoteRef/>
      </w:r>
      <w:r>
        <w:tab/>
        <w:t>Държави кандидатки и, ако е приложимо, държави потенциални кандидатки от Западните Балкани.</w:t>
      </w:r>
    </w:p>
  </w:footnote>
  <w:footnote w:id="13">
    <w:p>
      <w:pPr>
        <w:pStyle w:val="FootnoteText"/>
      </w:pPr>
      <w:r>
        <w:rPr>
          <w:rStyle w:val="FootnoteReference"/>
        </w:rPr>
        <w:footnoteRef/>
      </w:r>
      <w:r>
        <w:tab/>
        <w:t>Тези допълнителни средства са финансирани от общия марж за поетите задължения (ОМПЗ) в рамките на маржа на тавана на МФР за периода 2014—2020 г.</w:t>
      </w:r>
    </w:p>
  </w:footnote>
  <w:footnote w:id="14">
    <w:p>
      <w:pPr>
        <w:pStyle w:val="FootnoteText"/>
        <w:rPr>
          <w:szCs w:val="24"/>
        </w:rPr>
      </w:pPr>
      <w:r>
        <w:rPr>
          <w:rStyle w:val="FootnoteReference"/>
        </w:rPr>
        <w:footnoteRef/>
      </w:r>
      <w:r>
        <w:tab/>
        <w:t>Техническа и/или административна помощ и разходи в подкрепа на изпълнението на програми и/или действия на ЕС (предишни редове „BA“), непреки научни изследвания, преки научни изследвания.</w:t>
      </w:r>
    </w:p>
  </w:footnote>
  <w:footnote w:id="15">
    <w:p>
      <w:pPr>
        <w:pStyle w:val="FootnoteText"/>
        <w:rPr>
          <w:szCs w:val="24"/>
        </w:rPr>
      </w:pPr>
      <w:r>
        <w:rPr>
          <w:rStyle w:val="FootnoteReference"/>
        </w:rPr>
        <w:footnoteRef/>
      </w:r>
      <w:r>
        <w:tab/>
        <w:t>Година N е годината, през която започва да се осъществява предложението/инициативата.</w:t>
      </w:r>
    </w:p>
  </w:footnote>
  <w:footnote w:id="16">
    <w:p>
      <w:pPr>
        <w:pStyle w:val="FootnoteText"/>
        <w:rPr>
          <w:szCs w:val="24"/>
        </w:rPr>
      </w:pPr>
      <w:r>
        <w:rPr>
          <w:rStyle w:val="FootnoteReference"/>
        </w:rPr>
        <w:footnoteRef/>
      </w:r>
      <w:r>
        <w:tab/>
        <w:t>Резултатите са продуктите и услугите, които ще бъдат доставени (напр.: брой финансирани обмени на учащи се, дължина на построените пътища в километри и т.н.).</w:t>
      </w:r>
    </w:p>
  </w:footnote>
  <w:footnote w:id="17">
    <w:p>
      <w:pPr>
        <w:pStyle w:val="FootnoteText"/>
        <w:rPr>
          <w:szCs w:val="24"/>
        </w:rPr>
      </w:pPr>
      <w:r>
        <w:rPr>
          <w:rStyle w:val="FootnoteReference"/>
        </w:rPr>
        <w:footnoteRef/>
      </w:r>
      <w:r>
        <w:tab/>
        <w:t xml:space="preserve">Съгласно описанието в точка 1.4.2. „Конкретни цели …“. </w:t>
      </w:r>
    </w:p>
  </w:footnote>
  <w:footnote w:id="18">
    <w:p>
      <w:pPr>
        <w:pStyle w:val="FootnoteText"/>
        <w:rPr>
          <w:szCs w:val="24"/>
        </w:rPr>
      </w:pPr>
      <w:r>
        <w:rPr>
          <w:rStyle w:val="FootnoteReference"/>
        </w:rPr>
        <w:footnoteRef/>
      </w:r>
      <w:r>
        <w:tab/>
        <w:t>Година N е годината, през която започва да се осъществява предложението/инициативата.</w:t>
      </w:r>
    </w:p>
  </w:footnote>
  <w:footnote w:id="19">
    <w:p>
      <w:pPr>
        <w:pStyle w:val="FootnoteText"/>
        <w:rPr>
          <w:szCs w:val="24"/>
        </w:rPr>
      </w:pPr>
      <w:r>
        <w:rPr>
          <w:rStyle w:val="FootnoteReference"/>
        </w:rPr>
        <w:footnoteRef/>
      </w:r>
      <w:r>
        <w:tab/>
        <w:t>Техническа и/или административна помощ и разходи в подкрепа на изпълнението на програми и/или действия на ЕС (предишни редове „BA“), непреки научни изследвания, преки научни изследвания.</w:t>
      </w:r>
    </w:p>
  </w:footnote>
  <w:footnote w:id="20">
    <w:p>
      <w:pPr>
        <w:pStyle w:val="FootnoteText"/>
        <w:rPr>
          <w:szCs w:val="24"/>
        </w:rPr>
      </w:pPr>
      <w:r>
        <w:rPr>
          <w:rStyle w:val="FootnoteReference"/>
        </w:rPr>
        <w:footnoteRef/>
      </w:r>
      <w:r>
        <w:tab/>
        <w:t xml:space="preserve">ДНП = договорно нает персонал; МП = местен персонал; КНЕ = командирован национален експерт; ПНА = персонал, нает чрез агенции за временна заетост; МЕД = младши експерт в делегация. </w:t>
      </w:r>
    </w:p>
  </w:footnote>
  <w:footnote w:id="21">
    <w:p>
      <w:pPr>
        <w:pStyle w:val="FootnoteText"/>
        <w:rPr>
          <w:szCs w:val="24"/>
        </w:rPr>
      </w:pPr>
      <w:r>
        <w:rPr>
          <w:rStyle w:val="FootnoteReference"/>
        </w:rPr>
        <w:footnoteRef/>
      </w:r>
      <w:r>
        <w:tab/>
        <w:t>Подтаван за външния персонал, покрит с бюджетните кредити за оперативни разходи (предишни редове „BA“).</w:t>
      </w:r>
    </w:p>
  </w:footnote>
  <w:footnote w:id="22">
    <w:p>
      <w:pPr>
        <w:pStyle w:val="FootnoteText"/>
        <w:rPr>
          <w:szCs w:val="24"/>
        </w:rPr>
      </w:pPr>
      <w:r>
        <w:rPr>
          <w:rStyle w:val="FootnoteReference"/>
        </w:rPr>
        <w:footnoteRef/>
      </w:r>
      <w:r>
        <w:tab/>
        <w:t>Що се отнася до традиционните собствени ресурси (мита, налози върху захарта), посочените суми трябва да бъдат нетни, т.е. брутни суми, от които са приспаднати 25 % за разходи по събирането.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B608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A4FDC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7828F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86F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A2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5EE5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00D660"/>
    <w:lvl w:ilvl="0">
      <w:start w:val="1"/>
      <w:numFmt w:val="decimal"/>
      <w:pStyle w:val="ListNumber"/>
      <w:lvlText w:val="%1."/>
      <w:lvlJc w:val="left"/>
      <w:pPr>
        <w:tabs>
          <w:tab w:val="num" w:pos="360"/>
        </w:tabs>
        <w:ind w:left="360" w:hanging="360"/>
      </w:pPr>
    </w:lvl>
  </w:abstractNum>
  <w:abstractNum w:abstractNumId="7">
    <w:nsid w:val="FFFFFF89"/>
    <w:multiLevelType w:val="singleLevel"/>
    <w:tmpl w:val="6F6C06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8"/>
  </w:num>
  <w:num w:numId="11">
    <w:abstractNumId w:val="17"/>
  </w:num>
  <w:num w:numId="12">
    <w:abstractNumId w:val="13"/>
  </w:num>
  <w:num w:numId="13">
    <w:abstractNumId w:val="25"/>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14"/>
  </w:num>
  <w:num w:numId="18">
    <w:abstractNumId w:val="24"/>
  </w:num>
  <w:num w:numId="19">
    <w:abstractNumId w:val="12"/>
  </w:num>
  <w:num w:numId="20">
    <w:abstractNumId w:val="15"/>
  </w:num>
  <w:num w:numId="21">
    <w:abstractNumId w:val="10"/>
  </w:num>
  <w:num w:numId="22">
    <w:abstractNumId w:val="23"/>
  </w:num>
  <w:num w:numId="23">
    <w:abstractNumId w:val="9"/>
  </w:num>
  <w:num w:numId="24">
    <w:abstractNumId w:val="16"/>
  </w:num>
  <w:num w:numId="25">
    <w:abstractNumId w:val="20"/>
  </w:num>
  <w:num w:numId="26">
    <w:abstractNumId w:val="21"/>
  </w:num>
  <w:num w:numId="27">
    <w:abstractNumId w:val="11"/>
  </w:num>
  <w:num w:numId="28">
    <w:abstractNumId w:val="19"/>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6 09:37:3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DCBC126-3BE9-4DF5-B16C-C1B049C105A0"/>
    <w:docVar w:name="LW_COVERPAGE_TYPE" w:val="1"/>
    <w:docVar w:name="LW_CROSSREFERENCE" w:val="&lt;UNUSED&gt;"/>
    <w:docVar w:name="LW_DocType" w:val="COM"/>
    <w:docVar w:name="LW_EMISSION" w:val="1.2.2019"/>
    <w:docVar w:name="LW_EMISSION_ISODATE" w:val="2019-02-01"/>
    <w:docVar w:name="LW_EMISSION_LOCATION" w:val="BRX"/>
    <w:docVar w:name="LW_EMISSION_PREFIX" w:val="Брюксел,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27"/>
    <w:docVar w:name="LW_REF.II.NEW.CP_YEAR" w:val="2019"/>
    <w:docVar w:name="LW_REF.INST.NEW" w:val="COM"/>
    <w:docVar w:name="LW_REF.INST.NEW_ADOPTED" w:val="final"/>
    <w:docVar w:name="LW_REF.INST.NEW_TEXT" w:val="(2019) 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7?) \u8470? 1303/2013 \u1087?\u1086? \u1086?\u1090?\u1085?\u1086?\u1096?\u1077?\u1085?\u1080?\u1077? \u1085?\u1072? \u1089?\u1087?\u1077?\u1094?\u1080?\u1072?\u1083?\u1085?\u1086? \u1088?\u1072?\u1079?\u1087?\u1088?\u1077?\u1076?\u1077?\u1083?\u1077?\u1085?\u1080?\u1090?\u1077? \u1089?\u1088?\u1077?\u1076?\u1089?\u1090?\u1074?\u1072? \u1079?\u1072? \u1080?\u1085?\u1080?\u1094?\u1080?\u1072?\u1090?\u1080?\u1074?\u1072?\u1090?\u1072? \u1079?\u1072? \u1084?\u1083?\u1072?\u1076?\u1077?\u1078?\u1082?\u1072? \u1079?\u1072?\u1077?\u1090?\u1086?\u1089?\u1090?"/>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bg-BG"/>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bg-BG"/>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0" w:after="150"/>
      <w:jc w:val="left"/>
    </w:pPr>
    <w:rPr>
      <w:rFonts w:eastAsia="Times New Roman"/>
      <w:szCs w:val="24"/>
    </w:rPr>
  </w:style>
  <w:style w:type="paragraph" w:customStyle="1" w:styleId="hidden">
    <w:name w:val="hidden"/>
    <w:basedOn w:val="Normal"/>
    <w:pPr>
      <w:spacing w:before="0" w:after="150"/>
      <w:jc w:val="left"/>
    </w:pPr>
    <w:rPr>
      <w:rFonts w:eastAsia="Times New Roman"/>
      <w:vanish/>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bg-BG"/>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bg-BG"/>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0" w:after="150"/>
      <w:jc w:val="left"/>
    </w:pPr>
    <w:rPr>
      <w:rFonts w:eastAsia="Times New Roman"/>
      <w:szCs w:val="24"/>
    </w:rPr>
  </w:style>
  <w:style w:type="paragraph" w:customStyle="1" w:styleId="hidden">
    <w:name w:val="hidden"/>
    <w:basedOn w:val="Normal"/>
    <w:pPr>
      <w:spacing w:before="0" w:after="150"/>
      <w:jc w:val="left"/>
    </w:pPr>
    <w:rPr>
      <w:rFonts w:eastAsia="Times New Roman"/>
      <w:vanish/>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953">
      <w:bodyDiv w:val="1"/>
      <w:marLeft w:val="0"/>
      <w:marRight w:val="0"/>
      <w:marTop w:val="0"/>
      <w:marBottom w:val="0"/>
      <w:divBdr>
        <w:top w:val="none" w:sz="0" w:space="0" w:color="auto"/>
        <w:left w:val="none" w:sz="0" w:space="0" w:color="auto"/>
        <w:bottom w:val="none" w:sz="0" w:space="0" w:color="auto"/>
        <w:right w:val="none" w:sz="0" w:space="0" w:color="auto"/>
      </w:divBdr>
    </w:div>
    <w:div w:id="293368241">
      <w:bodyDiv w:val="1"/>
      <w:marLeft w:val="0"/>
      <w:marRight w:val="0"/>
      <w:marTop w:val="0"/>
      <w:marBottom w:val="0"/>
      <w:divBdr>
        <w:top w:val="none" w:sz="0" w:space="0" w:color="auto"/>
        <w:left w:val="none" w:sz="0" w:space="0" w:color="auto"/>
        <w:bottom w:val="none" w:sz="0" w:space="0" w:color="auto"/>
        <w:right w:val="none" w:sz="0" w:space="0" w:color="auto"/>
      </w:divBdr>
    </w:div>
    <w:div w:id="1094934940">
      <w:bodyDiv w:val="1"/>
      <w:marLeft w:val="0"/>
      <w:marRight w:val="0"/>
      <w:marTop w:val="0"/>
      <w:marBottom w:val="0"/>
      <w:divBdr>
        <w:top w:val="none" w:sz="0" w:space="0" w:color="auto"/>
        <w:left w:val="none" w:sz="0" w:space="0" w:color="auto"/>
        <w:bottom w:val="none" w:sz="0" w:space="0" w:color="auto"/>
        <w:right w:val="none" w:sz="0" w:space="0" w:color="auto"/>
      </w:divBdr>
    </w:div>
    <w:div w:id="1175340573">
      <w:bodyDiv w:val="1"/>
      <w:marLeft w:val="0"/>
      <w:marRight w:val="0"/>
      <w:marTop w:val="0"/>
      <w:marBottom w:val="0"/>
      <w:divBdr>
        <w:top w:val="none" w:sz="0" w:space="0" w:color="auto"/>
        <w:left w:val="none" w:sz="0" w:space="0" w:color="auto"/>
        <w:bottom w:val="none" w:sz="0" w:space="0" w:color="auto"/>
        <w:right w:val="none" w:sz="0" w:space="0" w:color="auto"/>
      </w:divBdr>
    </w:div>
    <w:div w:id="1204438961">
      <w:bodyDiv w:val="1"/>
      <w:marLeft w:val="0"/>
      <w:marRight w:val="0"/>
      <w:marTop w:val="0"/>
      <w:marBottom w:val="0"/>
      <w:divBdr>
        <w:top w:val="none" w:sz="0" w:space="0" w:color="auto"/>
        <w:left w:val="none" w:sz="0" w:space="0" w:color="auto"/>
        <w:bottom w:val="none" w:sz="0" w:space="0" w:color="auto"/>
        <w:right w:val="none" w:sz="0" w:space="0" w:color="auto"/>
      </w:divBdr>
      <w:divsChild>
        <w:div w:id="912544142">
          <w:marLeft w:val="0"/>
          <w:marRight w:val="0"/>
          <w:marTop w:val="0"/>
          <w:marBottom w:val="0"/>
          <w:divBdr>
            <w:top w:val="none" w:sz="0" w:space="0" w:color="auto"/>
            <w:left w:val="none" w:sz="0" w:space="0" w:color="auto"/>
            <w:bottom w:val="none" w:sz="0" w:space="0" w:color="auto"/>
            <w:right w:val="none" w:sz="0" w:space="0" w:color="auto"/>
          </w:divBdr>
          <w:divsChild>
            <w:div w:id="1370688718">
              <w:marLeft w:val="0"/>
              <w:marRight w:val="0"/>
              <w:marTop w:val="0"/>
              <w:marBottom w:val="0"/>
              <w:divBdr>
                <w:top w:val="none" w:sz="0" w:space="0" w:color="auto"/>
                <w:left w:val="none" w:sz="0" w:space="0" w:color="auto"/>
                <w:bottom w:val="none" w:sz="0" w:space="0" w:color="auto"/>
                <w:right w:val="none" w:sz="0" w:space="0" w:color="auto"/>
              </w:divBdr>
              <w:divsChild>
                <w:div w:id="1549755144">
                  <w:marLeft w:val="0"/>
                  <w:marRight w:val="0"/>
                  <w:marTop w:val="0"/>
                  <w:marBottom w:val="0"/>
                  <w:divBdr>
                    <w:top w:val="none" w:sz="0" w:space="0" w:color="auto"/>
                    <w:left w:val="none" w:sz="0" w:space="0" w:color="auto"/>
                    <w:bottom w:val="none" w:sz="0" w:space="0" w:color="auto"/>
                    <w:right w:val="none" w:sz="0" w:space="0" w:color="auto"/>
                  </w:divBdr>
                  <w:divsChild>
                    <w:div w:id="1016152875">
                      <w:marLeft w:val="-150"/>
                      <w:marRight w:val="-150"/>
                      <w:marTop w:val="0"/>
                      <w:marBottom w:val="0"/>
                      <w:divBdr>
                        <w:top w:val="none" w:sz="0" w:space="0" w:color="auto"/>
                        <w:left w:val="none" w:sz="0" w:space="0" w:color="auto"/>
                        <w:bottom w:val="none" w:sz="0" w:space="0" w:color="auto"/>
                        <w:right w:val="none" w:sz="0" w:space="0" w:color="auto"/>
                      </w:divBdr>
                      <w:divsChild>
                        <w:div w:id="1481651345">
                          <w:marLeft w:val="0"/>
                          <w:marRight w:val="0"/>
                          <w:marTop w:val="0"/>
                          <w:marBottom w:val="0"/>
                          <w:divBdr>
                            <w:top w:val="none" w:sz="0" w:space="0" w:color="auto"/>
                            <w:left w:val="none" w:sz="0" w:space="0" w:color="auto"/>
                            <w:bottom w:val="none" w:sz="0" w:space="0" w:color="auto"/>
                            <w:right w:val="none" w:sz="0" w:space="0" w:color="auto"/>
                          </w:divBdr>
                          <w:divsChild>
                            <w:div w:id="887644923">
                              <w:marLeft w:val="0"/>
                              <w:marRight w:val="0"/>
                              <w:marTop w:val="0"/>
                              <w:marBottom w:val="0"/>
                              <w:divBdr>
                                <w:top w:val="none" w:sz="0" w:space="0" w:color="auto"/>
                                <w:left w:val="none" w:sz="0" w:space="0" w:color="auto"/>
                                <w:bottom w:val="none" w:sz="0" w:space="0" w:color="auto"/>
                                <w:right w:val="none" w:sz="0" w:space="0" w:color="auto"/>
                              </w:divBdr>
                              <w:divsChild>
                                <w:div w:id="668337294">
                                  <w:marLeft w:val="0"/>
                                  <w:marRight w:val="0"/>
                                  <w:marTop w:val="0"/>
                                  <w:marBottom w:val="300"/>
                                  <w:divBdr>
                                    <w:top w:val="none" w:sz="0" w:space="0" w:color="auto"/>
                                    <w:left w:val="none" w:sz="0" w:space="0" w:color="auto"/>
                                    <w:bottom w:val="none" w:sz="0" w:space="0" w:color="auto"/>
                                    <w:right w:val="none" w:sz="0" w:space="0" w:color="auto"/>
                                  </w:divBdr>
                                  <w:divsChild>
                                    <w:div w:id="2065831939">
                                      <w:marLeft w:val="0"/>
                                      <w:marRight w:val="0"/>
                                      <w:marTop w:val="0"/>
                                      <w:marBottom w:val="0"/>
                                      <w:divBdr>
                                        <w:top w:val="none" w:sz="0" w:space="0" w:color="auto"/>
                                        <w:left w:val="none" w:sz="0" w:space="0" w:color="auto"/>
                                        <w:bottom w:val="none" w:sz="0" w:space="0" w:color="auto"/>
                                        <w:right w:val="none" w:sz="0" w:space="0" w:color="auto"/>
                                      </w:divBdr>
                                      <w:divsChild>
                                        <w:div w:id="832111539">
                                          <w:marLeft w:val="0"/>
                                          <w:marRight w:val="0"/>
                                          <w:marTop w:val="0"/>
                                          <w:marBottom w:val="0"/>
                                          <w:divBdr>
                                            <w:top w:val="none" w:sz="0" w:space="0" w:color="auto"/>
                                            <w:left w:val="none" w:sz="0" w:space="0" w:color="auto"/>
                                            <w:bottom w:val="none" w:sz="0" w:space="0" w:color="auto"/>
                                            <w:right w:val="none" w:sz="0" w:space="0" w:color="auto"/>
                                          </w:divBdr>
                                          <w:divsChild>
                                            <w:div w:id="165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115141">
      <w:bodyDiv w:val="1"/>
      <w:marLeft w:val="0"/>
      <w:marRight w:val="0"/>
      <w:marTop w:val="0"/>
      <w:marBottom w:val="0"/>
      <w:divBdr>
        <w:top w:val="none" w:sz="0" w:space="0" w:color="auto"/>
        <w:left w:val="none" w:sz="0" w:space="0" w:color="auto"/>
        <w:bottom w:val="none" w:sz="0" w:space="0" w:color="auto"/>
        <w:right w:val="none" w:sz="0" w:space="0" w:color="auto"/>
      </w:divBdr>
    </w:div>
    <w:div w:id="176313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b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47FAB-B268-4A07-BDFF-CF391F23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23</Pages>
  <Words>3839</Words>
  <Characters>22728</Characters>
  <Application>Microsoft Office Word</Application>
  <DocSecurity>0</DocSecurity>
  <Lines>1515</Lines>
  <Paragraphs>542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2019-01-15T13:07:00Z</cp:lastPrinted>
  <dcterms:created xsi:type="dcterms:W3CDTF">2019-02-05T16:11:00Z</dcterms:created>
  <dcterms:modified xsi:type="dcterms:W3CDTF">2019-02-06T08:37:00Z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