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3B9F9D6-9D16-4C81-8C0F-B20B678AF535"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rPr>
          <w:b/>
          <w:noProof/>
        </w:rPr>
      </w:pPr>
      <w:r>
        <w:rPr>
          <w:noProof/>
        </w:rPr>
        <w:t>L'obiettivo della proposta è adeguare gli importi delle risorse disponibili per la coesione economica, sociale e territoriale fissati all'articolo 91, paragrafo 1, del regolamento (UE) n. 1303/2013</w:t>
      </w:r>
      <w:r>
        <w:rPr>
          <w:rStyle w:val="FootnoteReference"/>
          <w:noProof/>
        </w:rPr>
        <w:footnoteReference w:id="1"/>
      </w:r>
      <w:r>
        <w:rPr>
          <w:noProof/>
        </w:rPr>
        <w:t xml:space="preserve">, l'importo delle risorse per la dotazione specifica per l'Iniziativa a favore dell'occupazione giovanile ("IOG") fissato all'articolo 92, paragrafo 5, di tale regolamento e la ripartizione annuale degli stanziamenti d'impegno stabilita nell'allegato VI di detto regolamento, al fine di tenere conto dell'aumento delle risorse dell'IOG, in linea con il bilancio adottato per il 2019. Più precisamente, gli stanziamenti d'impegno per la dotazione specifica destinata all'IOG dovrebbero essere aumentati di 116,7 milioni di EUR, a prezzi correnti, il che porta l'importo complessivo per il 2019 a 350 milioni di EUR. </w:t>
      </w:r>
    </w:p>
    <w:p>
      <w:pPr>
        <w:rPr>
          <w:b/>
          <w:noProof/>
        </w:rPr>
      </w:pPr>
      <w:r>
        <w:rPr>
          <w:noProof/>
        </w:rPr>
        <w:t>Inoltre, vista l'esperienza acquisita nel contesto dell'aumento delle risorse della dotazione specifica per l'IOG, che ha dato luogo a consistenti modifiche dei programmi al fine di fornire importi provenienti dal Fondo sociale europeo ("FSE") pari al sostegno a titolo della dotazione specifica per l'IOG, i colegislatori dell'UE hanno chiesto alla Commissione di proporre misure di facilitazione volte a garantire la rapida di programmazione delle risorse aggiuntive dell'IOG nel 2019, in modo da non ostacolare il progresso dell'attuazione generale dei programmi operativi per il periodo 2014-2020. La proposta introduce pertanto disposizioni pertinenti per soddisfare tale richiesta.</w:t>
      </w:r>
    </w:p>
    <w:p>
      <w:pPr>
        <w:pStyle w:val="ManualHeading2"/>
        <w:rPr>
          <w:rFonts w:eastAsia="Arial Unicode MS"/>
          <w:noProof/>
          <w:color w:val="000000"/>
          <w:u w:color="000000"/>
          <w:bdr w:val="nil"/>
        </w:rPr>
      </w:pPr>
      <w:r>
        <w:rPr>
          <w:noProof/>
          <w:color w:val="000000"/>
          <w:u w:color="000000"/>
          <w:bdr w:val="nil"/>
        </w:rPr>
        <w:t>•</w:t>
      </w:r>
      <w:r>
        <w:rPr>
          <w:noProof/>
        </w:rPr>
        <w:tab/>
        <w:t>Coerenza con le disposizioni vigenti nel settore normativo interessato</w:t>
      </w:r>
    </w:p>
    <w:p>
      <w:pPr>
        <w:pBdr>
          <w:top w:val="nil"/>
          <w:left w:val="nil"/>
          <w:bottom w:val="nil"/>
          <w:right w:val="nil"/>
          <w:between w:val="nil"/>
          <w:bar w:val="nil"/>
        </w:pBdr>
        <w:spacing w:before="0" w:after="240"/>
        <w:rPr>
          <w:noProof/>
        </w:rPr>
      </w:pPr>
      <w:r>
        <w:rPr>
          <w:noProof/>
        </w:rPr>
        <w:t xml:space="preserve">La presente proposta risulta dal bilancio dell'Unione per il 2019. </w:t>
      </w:r>
    </w:p>
    <w:p>
      <w:pPr>
        <w:pStyle w:val="ManualHeading2"/>
        <w:rPr>
          <w:rFonts w:eastAsia="Arial Unicode MS"/>
          <w:noProof/>
        </w:rPr>
      </w:pPr>
      <w:r>
        <w:rPr>
          <w:noProof/>
          <w:color w:val="000000"/>
          <w:u w:color="000000"/>
          <w:bdr w:val="nil"/>
        </w:rPr>
        <w:t>•</w:t>
      </w:r>
      <w:r>
        <w:rPr>
          <w:noProof/>
        </w:rPr>
        <w:tab/>
        <w:t>Coerenza con le altre normative dell'Unione</w:t>
      </w:r>
    </w:p>
    <w:p>
      <w:pPr>
        <w:pBdr>
          <w:top w:val="nil"/>
          <w:left w:val="nil"/>
          <w:bottom w:val="nil"/>
          <w:right w:val="nil"/>
          <w:between w:val="nil"/>
          <w:bar w:val="nil"/>
        </w:pBdr>
        <w:spacing w:before="0" w:after="240"/>
        <w:rPr>
          <w:rFonts w:eastAsia="Arial Unicode MS"/>
          <w:noProof/>
        </w:rPr>
      </w:pPr>
      <w:r>
        <w:rPr>
          <w:noProof/>
        </w:rPr>
        <w:t xml:space="preserve">La proposta è coerente con le altre proposte ed iniziative adottate dalla Commissione europea. </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pBdr>
          <w:top w:val="nil"/>
          <w:left w:val="nil"/>
          <w:bottom w:val="nil"/>
          <w:right w:val="nil"/>
          <w:between w:val="nil"/>
          <w:bar w:val="nil"/>
        </w:pBdr>
        <w:spacing w:before="0" w:after="240"/>
        <w:rPr>
          <w:noProof/>
        </w:rPr>
      </w:pPr>
      <w:r>
        <w:rPr>
          <w:noProof/>
        </w:rPr>
        <w:t xml:space="preserve">Il riesame tiene conto dell'aumento delle risorse destinate alla dotazione specifica per l'IOG nel bilancio dell'Unione per il 2019. </w:t>
      </w:r>
    </w:p>
    <w:p>
      <w:pPr>
        <w:pStyle w:val="ManualHeading2"/>
        <w:rPr>
          <w:rFonts w:eastAsia="Arial Unicode MS"/>
          <w:noProof/>
          <w:u w:color="000000"/>
          <w:bdr w:val="nil"/>
        </w:rPr>
      </w:pPr>
      <w:r>
        <w:rPr>
          <w:noProof/>
        </w:rPr>
        <w:t>•</w:t>
      </w:r>
      <w:r>
        <w:rPr>
          <w:noProof/>
        </w:rPr>
        <w:tab/>
        <w:t xml:space="preserve">Sussidiarietà (per la competenza non esclusiva) </w:t>
      </w:r>
    </w:p>
    <w:p>
      <w:pPr>
        <w:pBdr>
          <w:top w:val="nil"/>
          <w:left w:val="nil"/>
          <w:bottom w:val="nil"/>
          <w:right w:val="nil"/>
          <w:between w:val="nil"/>
          <w:bar w:val="nil"/>
        </w:pBdr>
        <w:spacing w:before="0" w:after="240"/>
        <w:rPr>
          <w:noProof/>
        </w:rPr>
      </w:pPr>
      <w:r>
        <w:rPr>
          <w:noProof/>
        </w:rPr>
        <w:t xml:space="preserve">La proposta rispetta il principio di sussidiarietà. </w:t>
      </w:r>
    </w:p>
    <w:p>
      <w:pPr>
        <w:pStyle w:val="ManualHeading2"/>
        <w:rPr>
          <w:rFonts w:eastAsia="Arial Unicode MS"/>
          <w:noProof/>
          <w:u w:color="000000"/>
          <w:bdr w:val="nil"/>
        </w:rPr>
      </w:pPr>
      <w:r>
        <w:rPr>
          <w:noProof/>
        </w:rPr>
        <w:t>•</w:t>
      </w:r>
      <w:r>
        <w:rPr>
          <w:noProof/>
        </w:rPr>
        <w:tab/>
        <w:t>Proporzionalità</w:t>
      </w:r>
    </w:p>
    <w:p>
      <w:pPr>
        <w:rPr>
          <w:noProof/>
        </w:rPr>
      </w:pPr>
      <w:r>
        <w:rPr>
          <w:noProof/>
        </w:rPr>
        <w:t>La proposta è proporzionata. Essa comprende le modifiche tecniche necessarie dopo l'adozione del bilancio 2019, che aumenta le risorse della dotazione specifica dell'IOG. Inoltre, data la richiesta dell'autorità di bilancio di facilitare la programmazione e garantire una buona attuazione delle maggiori risorse, essa introduce la possibilità per gli Stati membri di trasferire una parte delle risorse aggiuntive per la costituzione del corrispondente sostegno del FSE.</w:t>
      </w:r>
    </w:p>
    <w:p>
      <w:pPr>
        <w:pStyle w:val="ManualHeading2"/>
        <w:rPr>
          <w:rFonts w:eastAsia="Arial Unicode MS"/>
          <w:noProof/>
          <w:u w:color="000000"/>
          <w:bdr w:val="nil"/>
        </w:rPr>
      </w:pPr>
      <w:r>
        <w:rPr>
          <w:noProof/>
        </w:rPr>
        <w:t>•</w:t>
      </w:r>
      <w:r>
        <w:rPr>
          <w:noProof/>
        </w:rPr>
        <w:tab/>
        <w:t>Scelta dell'atto giuridico</w:t>
      </w:r>
    </w:p>
    <w:p>
      <w:pPr>
        <w:pBdr>
          <w:top w:val="nil"/>
          <w:left w:val="nil"/>
          <w:bottom w:val="nil"/>
          <w:right w:val="nil"/>
          <w:between w:val="nil"/>
          <w:bar w:val="nil"/>
        </w:pBdr>
        <w:spacing w:before="0" w:after="240"/>
        <w:rPr>
          <w:noProof/>
        </w:rPr>
      </w:pPr>
      <w:r>
        <w:rPr>
          <w:noProof/>
        </w:rPr>
        <w:t>Strumento proposto: modifica dell'attuale regolamento.</w:t>
      </w:r>
    </w:p>
    <w:p>
      <w:pPr>
        <w:pBdr>
          <w:top w:val="nil"/>
          <w:left w:val="nil"/>
          <w:bottom w:val="nil"/>
          <w:right w:val="nil"/>
          <w:between w:val="nil"/>
          <w:bar w:val="nil"/>
        </w:pBdr>
        <w:spacing w:before="0" w:after="240"/>
        <w:rPr>
          <w:rFonts w:eastAsia="Arial Unicode MS"/>
          <w:noProof/>
        </w:rPr>
      </w:pPr>
      <w:r>
        <w:rPr>
          <w:noProof/>
        </w:rPr>
        <w:t>La Commissione ha esaminato il margine di manovra previsto dal quadro giuridico e ritiene necessario proporre modifiche del regolamento (UE) n. 1303/2013.</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rPr>
        <w:t>•</w:t>
      </w:r>
      <w:r>
        <w:rPr>
          <w:noProof/>
        </w:rPr>
        <w:tab/>
        <w:t>Valutazioni ex post/vaglio di adeguatezza della legislazione vigente</w:t>
      </w:r>
    </w:p>
    <w:p>
      <w:pPr>
        <w:pBdr>
          <w:top w:val="nil"/>
          <w:left w:val="nil"/>
          <w:bottom w:val="nil"/>
          <w:right w:val="nil"/>
          <w:between w:val="nil"/>
          <w:bar w:val="nil"/>
        </w:pBdr>
        <w:spacing w:before="0" w:after="240"/>
        <w:rPr>
          <w:rFonts w:eastAsia="Arial Unicode MS"/>
          <w:noProof/>
        </w:rPr>
      </w:pPr>
      <w:r>
        <w:rPr>
          <w:noProof/>
        </w:rPr>
        <w:t>Date le circostanze specifiche della presente proposta, non sono stati effettuatati né una valutazione ex post né controlli di adeguatezza della legislazione vigente.</w:t>
      </w:r>
    </w:p>
    <w:p>
      <w:pPr>
        <w:pStyle w:val="ManualHeading2"/>
        <w:rPr>
          <w:rFonts w:eastAsia="Arial Unicode MS"/>
          <w:noProof/>
          <w:u w:color="000000"/>
          <w:bdr w:val="nil"/>
        </w:rPr>
      </w:pPr>
      <w:r>
        <w:rPr>
          <w:noProof/>
        </w:rPr>
        <w:t>•</w:t>
      </w:r>
      <w:r>
        <w:rPr>
          <w:noProof/>
        </w:rPr>
        <w:tab/>
        <w:t>Consultazione dei portatori di interessi</w:t>
      </w:r>
    </w:p>
    <w:p>
      <w:pPr>
        <w:pBdr>
          <w:top w:val="nil"/>
          <w:left w:val="nil"/>
          <w:bottom w:val="nil"/>
          <w:right w:val="nil"/>
          <w:between w:val="nil"/>
          <w:bar w:val="nil"/>
        </w:pBdr>
        <w:spacing w:before="0" w:after="240"/>
        <w:rPr>
          <w:rFonts w:eastAsia="Arial Unicode MS"/>
          <w:noProof/>
        </w:rPr>
      </w:pPr>
      <w:r>
        <w:rPr>
          <w:noProof/>
        </w:rPr>
        <w:t>Date le circostanze specifiche della presente proposta, non è stata effettuata alcuna consultazione dei portatori di interessi esterni.</w:t>
      </w:r>
    </w:p>
    <w:p>
      <w:pPr>
        <w:pStyle w:val="ManualHeading2"/>
        <w:rPr>
          <w:rFonts w:eastAsia="Arial Unicode MS"/>
          <w:noProof/>
          <w:u w:color="000000"/>
          <w:bdr w:val="nil"/>
        </w:rPr>
      </w:pPr>
      <w:r>
        <w:rPr>
          <w:noProof/>
        </w:rPr>
        <w:t>•</w:t>
      </w:r>
      <w:r>
        <w:rPr>
          <w:noProof/>
        </w:rPr>
        <w:tab/>
        <w:t>Assunzione e uso di perizie</w:t>
      </w:r>
    </w:p>
    <w:p>
      <w:pPr>
        <w:pBdr>
          <w:top w:val="nil"/>
          <w:left w:val="nil"/>
          <w:bottom w:val="nil"/>
          <w:right w:val="nil"/>
          <w:between w:val="nil"/>
          <w:bar w:val="nil"/>
        </w:pBdr>
        <w:spacing w:before="0" w:after="240"/>
        <w:rPr>
          <w:rFonts w:eastAsia="Arial Unicode MS"/>
          <w:noProof/>
        </w:rPr>
      </w:pPr>
      <w:r>
        <w:rPr>
          <w:noProof/>
        </w:rPr>
        <w:t>Non sono state necessarie perizie esterne.</w:t>
      </w:r>
    </w:p>
    <w:p>
      <w:pPr>
        <w:pStyle w:val="ManualHeading2"/>
        <w:rPr>
          <w:rFonts w:eastAsia="Arial Unicode MS"/>
          <w:noProof/>
          <w:u w:color="000000"/>
          <w:bdr w:val="nil"/>
        </w:rPr>
      </w:pPr>
      <w:r>
        <w:rPr>
          <w:noProof/>
        </w:rPr>
        <w:t>•</w:t>
      </w:r>
      <w:r>
        <w:rPr>
          <w:noProof/>
        </w:rPr>
        <w:tab/>
        <w:t>Valutazione d'impatto</w:t>
      </w:r>
    </w:p>
    <w:p>
      <w:pPr>
        <w:pBdr>
          <w:top w:val="nil"/>
          <w:left w:val="nil"/>
          <w:bottom w:val="nil"/>
          <w:right w:val="nil"/>
          <w:between w:val="nil"/>
          <w:bar w:val="nil"/>
        </w:pBdr>
        <w:spacing w:before="0" w:after="240"/>
        <w:rPr>
          <w:rFonts w:eastAsia="Arial Unicode MS"/>
          <w:noProof/>
        </w:rPr>
      </w:pPr>
      <w:r>
        <w:rPr>
          <w:noProof/>
        </w:rPr>
        <w:t>Non applicabile.</w:t>
      </w:r>
    </w:p>
    <w:p>
      <w:pPr>
        <w:pStyle w:val="ManualHeading2"/>
        <w:rPr>
          <w:rFonts w:eastAsia="Arial Unicode MS"/>
          <w:noProof/>
          <w:u w:color="000000"/>
          <w:bdr w:val="nil"/>
        </w:rPr>
      </w:pPr>
      <w:r>
        <w:rPr>
          <w:noProof/>
        </w:rPr>
        <w:t>•</w:t>
      </w:r>
      <w:r>
        <w:rPr>
          <w:noProof/>
        </w:rPr>
        <w:tab/>
        <w:t>Efficienza normativa e semplificazione</w:t>
      </w:r>
    </w:p>
    <w:p>
      <w:pPr>
        <w:pBdr>
          <w:top w:val="nil"/>
          <w:left w:val="nil"/>
          <w:bottom w:val="nil"/>
          <w:right w:val="nil"/>
          <w:between w:val="nil"/>
          <w:bar w:val="nil"/>
        </w:pBdr>
        <w:spacing w:before="0" w:after="240"/>
        <w:rPr>
          <w:noProof/>
        </w:rPr>
      </w:pPr>
      <w:r>
        <w:rPr>
          <w:noProof/>
        </w:rPr>
        <w:t>Non si tratta di un'iniziativa che rientra nel programma di controllo dell'adeguatezza e dell'efficacia della regolamentazione (REFIT).</w:t>
      </w:r>
    </w:p>
    <w:p>
      <w:pPr>
        <w:pStyle w:val="ManualHeading2"/>
        <w:rPr>
          <w:rFonts w:eastAsia="Arial Unicode MS"/>
          <w:noProof/>
          <w:u w:color="000000"/>
          <w:bdr w:val="nil"/>
        </w:rPr>
      </w:pPr>
      <w:r>
        <w:rPr>
          <w:noProof/>
        </w:rPr>
        <w:t>•</w:t>
      </w:r>
      <w:r>
        <w:rPr>
          <w:noProof/>
        </w:rPr>
        <w:tab/>
        <w:t>Diritti fondamentali</w:t>
      </w:r>
    </w:p>
    <w:p>
      <w:pPr>
        <w:pBdr>
          <w:top w:val="nil"/>
          <w:left w:val="nil"/>
          <w:bottom w:val="nil"/>
          <w:right w:val="nil"/>
          <w:between w:val="nil"/>
          <w:bar w:val="nil"/>
        </w:pBdr>
        <w:spacing w:before="0" w:after="240"/>
        <w:rPr>
          <w:rFonts w:eastAsia="Arial Unicode MS"/>
          <w:noProof/>
        </w:rPr>
      </w:pPr>
      <w:r>
        <w:rPr>
          <w:noProof/>
        </w:rPr>
        <w:t>La proposta non ha conseguenze per la tutela dei diritti fondamentali.</w:t>
      </w:r>
    </w:p>
    <w:p>
      <w:pPr>
        <w:pStyle w:val="ManualHeading1"/>
        <w:rPr>
          <w:noProof/>
        </w:rPr>
      </w:pPr>
      <w:r>
        <w:rPr>
          <w:noProof/>
        </w:rPr>
        <w:t>4.</w:t>
      </w:r>
      <w:r>
        <w:rPr>
          <w:noProof/>
        </w:rPr>
        <w:tab/>
        <w:t>INCIDENZA SUL BILANCIO</w:t>
      </w:r>
    </w:p>
    <w:p>
      <w:pPr>
        <w:pBdr>
          <w:top w:val="nil"/>
          <w:left w:val="nil"/>
          <w:bottom w:val="nil"/>
          <w:right w:val="nil"/>
          <w:between w:val="nil"/>
          <w:bar w:val="nil"/>
        </w:pBdr>
        <w:spacing w:before="0" w:after="240"/>
        <w:rPr>
          <w:noProof/>
        </w:rPr>
      </w:pPr>
      <w:r>
        <w:rPr>
          <w:noProof/>
        </w:rPr>
        <w:t xml:space="preserve">Gli stanziamenti d'impegno per il 2019 della dotazione specifica per l'IOG dovrebbero essere aumentati di 116,7 milioni di EUR fino a 350 milioni di EUR a prezzi correnti. </w:t>
      </w:r>
    </w:p>
    <w:p>
      <w:pPr>
        <w:pBdr>
          <w:top w:val="nil"/>
          <w:left w:val="nil"/>
          <w:bottom w:val="nil"/>
          <w:right w:val="nil"/>
          <w:between w:val="nil"/>
          <w:bar w:val="nil"/>
        </w:pBdr>
        <w:spacing w:before="0" w:after="240"/>
        <w:rPr>
          <w:noProof/>
        </w:rPr>
      </w:pPr>
      <w:r>
        <w:rPr>
          <w:noProof/>
        </w:rPr>
        <w:t xml:space="preserve">La modifica proposta non dovrebbe rendere necessari stanziamenti di pagamento aggiuntivi nel 2019. Per il 2020 l'incidenza sul bilancio dovrebbe limitarsi solo agli stanziamenti di pagamento aggiuntivi per coprire il prefinanziamento annuale dovuto per le maggiori risorse dell'IOG. </w:t>
      </w:r>
    </w:p>
    <w:p>
      <w:pPr>
        <w:pStyle w:val="ManualHeading1"/>
        <w:rPr>
          <w:noProof/>
        </w:rPr>
      </w:pPr>
      <w:r>
        <w:rPr>
          <w:noProof/>
        </w:rPr>
        <w:t>5.</w:t>
      </w:r>
      <w:r>
        <w:rPr>
          <w:noProof/>
        </w:rPr>
        <w:tab/>
        <w:t>ALTRI ELEMENTI</w:t>
      </w:r>
    </w:p>
    <w:p>
      <w:pPr>
        <w:pStyle w:val="ManualHeading2"/>
        <w:rPr>
          <w:rFonts w:eastAsia="Arial Unicode MS"/>
          <w:noProof/>
          <w:u w:color="000000"/>
          <w:bdr w:val="nil"/>
        </w:rPr>
      </w:pPr>
      <w:r>
        <w:rPr>
          <w:noProof/>
        </w:rPr>
        <w:t>•</w:t>
      </w:r>
      <w:r>
        <w:rPr>
          <w:noProof/>
        </w:rPr>
        <w:tab/>
        <w:t>Piani attuativi e modalità di monitoraggio, valutazione e informazione</w:t>
      </w:r>
    </w:p>
    <w:p>
      <w:pPr>
        <w:pBdr>
          <w:top w:val="nil"/>
          <w:left w:val="nil"/>
          <w:bottom w:val="nil"/>
          <w:right w:val="nil"/>
          <w:between w:val="nil"/>
          <w:bar w:val="nil"/>
        </w:pBdr>
        <w:spacing w:before="0" w:after="240"/>
        <w:rPr>
          <w:rFonts w:eastAsia="Arial Unicode MS"/>
          <w:noProof/>
        </w:rPr>
      </w:pPr>
      <w:r>
        <w:rPr>
          <w:noProof/>
        </w:rPr>
        <w:t>Non applicabile.</w:t>
      </w:r>
    </w:p>
    <w:p>
      <w:pPr>
        <w:pStyle w:val="ManualHeading2"/>
        <w:rPr>
          <w:rFonts w:eastAsia="Arial Unicode MS"/>
          <w:noProof/>
          <w:u w:color="000000"/>
          <w:bdr w:val="nil"/>
        </w:rPr>
      </w:pPr>
      <w:r>
        <w:rPr>
          <w:noProof/>
        </w:rPr>
        <w:t>•</w:t>
      </w:r>
      <w:r>
        <w:rPr>
          <w:noProof/>
        </w:rPr>
        <w:tab/>
        <w:t>Documenti esplicativi (per le direttive)</w:t>
      </w:r>
    </w:p>
    <w:p>
      <w:pPr>
        <w:pBdr>
          <w:top w:val="nil"/>
          <w:left w:val="nil"/>
          <w:bottom w:val="nil"/>
          <w:right w:val="nil"/>
          <w:between w:val="nil"/>
          <w:bar w:val="nil"/>
        </w:pBdr>
        <w:spacing w:before="0" w:after="240"/>
        <w:rPr>
          <w:noProof/>
        </w:rPr>
      </w:pPr>
      <w:r>
        <w:rPr>
          <w:noProof/>
        </w:rPr>
        <w:t>Non applicabile.</w:t>
      </w:r>
    </w:p>
    <w:p>
      <w:pPr>
        <w:pStyle w:val="ManualHeading2"/>
        <w:rPr>
          <w:rFonts w:eastAsia="Arial Unicode MS"/>
          <w:noProof/>
          <w:u w:color="000000"/>
          <w:bdr w:val="nil"/>
        </w:rPr>
      </w:pPr>
      <w:r>
        <w:rPr>
          <w:noProof/>
        </w:rPr>
        <w:t>•</w:t>
      </w:r>
      <w:r>
        <w:rPr>
          <w:noProof/>
        </w:rPr>
        <w:tab/>
        <w:t>Illustrazione dettagliata delle singole disposizioni della proposta</w:t>
      </w:r>
    </w:p>
    <w:p>
      <w:pPr>
        <w:pBdr>
          <w:top w:val="nil"/>
          <w:left w:val="nil"/>
          <w:bottom w:val="nil"/>
          <w:right w:val="nil"/>
          <w:between w:val="nil"/>
          <w:bar w:val="nil"/>
        </w:pBdr>
        <w:spacing w:before="0" w:after="240"/>
        <w:rPr>
          <w:noProof/>
        </w:rPr>
      </w:pPr>
      <w:r>
        <w:rPr>
          <w:noProof/>
        </w:rPr>
        <w:t xml:space="preserve">La proposta mira ad adeguare gli importi delle risorse disponibili per la coesione economica, sociale e territoriale e per l'IOG fissati all'articolo 91, paragrafo 1, e all'articolo 92, paragrafo 5, del regolamento (UE) n. 1303/2013 e la ripartizione annuale degli stanziamenti d'impegno stabilita nell'allegato VI, al fine di includere risorse aggiuntive per la dotazione specifica dell'IOG. Pertanto, in linea con il bilancio adottato per il 2019, gli stanziamenti d'impegno per la dotazione specifica dell'IOG dovrebbero essere aumentati di 116,7 milioni di EUR a prezzi correnti, portando l'importo complessivo per il 2019 a 350 milioni di EUR a prezzi correnti. </w:t>
      </w:r>
    </w:p>
    <w:p>
      <w:pPr>
        <w:pBdr>
          <w:top w:val="nil"/>
          <w:left w:val="nil"/>
          <w:bottom w:val="nil"/>
          <w:right w:val="nil"/>
          <w:between w:val="nil"/>
          <w:bar w:val="nil"/>
        </w:pBdr>
        <w:spacing w:before="0" w:after="240"/>
        <w:rPr>
          <w:noProof/>
        </w:rPr>
      </w:pPr>
      <w:r>
        <w:rPr>
          <w:noProof/>
        </w:rPr>
        <w:t>La proposta introduce anche disposizioni per facilitare la programmazione delle risorse aggiuntive da parte degli Stati membri. Dato l'avanzato stato di attuazione dei programmi operativi per il periodo 2014-2020 e visto l'obbligo giuridico che la dotazione specifica dell'IOG sia pari a un corrispondente sostegno del FSE, sorge la necessità di impedire la possibile riduzione del sostegno del FSE fornito ad altri settori di intervento e a misure non rientranti nell'IOG. La proposta introduce quindi nell'articolo 92, paragrafo 5, un secondo comma che consente agli Stati membri di trasferire al FSE fino al 50 % delle risorse aggiuntive per la dotazione specifica dell'IOG, al fine di costituire i corrispondenti investimenti mirati del FSE, come prescritto all'articolo 22 del regolamento (UE) n. 1304/2013</w:t>
      </w:r>
      <w:r>
        <w:rPr>
          <w:rStyle w:val="FootnoteReference"/>
          <w:noProof/>
        </w:rPr>
        <w:footnoteReference w:id="2"/>
      </w:r>
      <w:r>
        <w:rPr>
          <w:noProof/>
        </w:rPr>
        <w:t xml:space="preserve">. </w:t>
      </w:r>
    </w:p>
    <w:p>
      <w:pPr>
        <w:pBdr>
          <w:top w:val="nil"/>
          <w:left w:val="nil"/>
          <w:bottom w:val="nil"/>
          <w:right w:val="nil"/>
          <w:between w:val="nil"/>
          <w:bar w:val="nil"/>
        </w:pBdr>
        <w:spacing w:before="0" w:after="240"/>
        <w:rPr>
          <w:rFonts w:eastAsia="Arial Unicode MS"/>
          <w:noProof/>
        </w:rPr>
        <w:sectPr>
          <w:footerReference w:type="default" r:id="rId16"/>
          <w:footerReference w:type="first" r:id="rId17"/>
          <w:pgSz w:w="11907" w:h="16839"/>
          <w:pgMar w:top="1134" w:right="1417" w:bottom="1134" w:left="1417" w:header="709" w:footer="709" w:gutter="0"/>
          <w:cols w:space="720"/>
          <w:docGrid w:linePitch="360"/>
        </w:sectPr>
      </w:pPr>
    </w:p>
    <w:p>
      <w:pPr>
        <w:pStyle w:val="Rfrenceinterinstitutionnelle"/>
        <w:rPr>
          <w:noProof/>
        </w:rPr>
      </w:pPr>
      <w:r>
        <w:rPr>
          <w:noProof/>
        </w:rPr>
        <w:t>2019/0027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che modifica il regolamento (UE) n. 1303/2013 per quanto riguarda le risorse destinate alla dotazione specifica per l'Iniziativa a favore dell'occupazione giovanile</w:t>
      </w:r>
    </w:p>
    <w:p>
      <w:pPr>
        <w:pStyle w:val="Institutionquiagit"/>
        <w:rPr>
          <w:noProof/>
          <w:szCs w:val="24"/>
        </w:rPr>
      </w:pPr>
      <w:r>
        <w:rPr>
          <w:noProof/>
        </w:rPr>
        <w:t>IL PARLAMENTO EUROPEO E IL CONSIGLIO DELL'UNIONE EUROPEA,</w:t>
      </w:r>
    </w:p>
    <w:p>
      <w:pPr>
        <w:rPr>
          <w:noProof/>
          <w:szCs w:val="24"/>
        </w:rPr>
      </w:pPr>
      <w:r>
        <w:rPr>
          <w:noProof/>
        </w:rPr>
        <w:t xml:space="preserve">visto il trattato sul funzionamento dell'Unione europea, in particolare l'articolo 177, </w:t>
      </w:r>
    </w:p>
    <w:p>
      <w:pPr>
        <w:rPr>
          <w:noProof/>
          <w:szCs w:val="24"/>
        </w:rPr>
      </w:pPr>
      <w:r>
        <w:rPr>
          <w:noProof/>
        </w:rPr>
        <w:t>vista la proposta della Commissione europea,</w:t>
      </w:r>
    </w:p>
    <w:p>
      <w:pPr>
        <w:rPr>
          <w:noProof/>
          <w:szCs w:val="24"/>
        </w:rPr>
      </w:pPr>
      <w:r>
        <w:rPr>
          <w:noProof/>
        </w:rPr>
        <w:t>previa trasmissione del progetto di atto legislativo ai parlamenti nazionali,</w:t>
      </w:r>
    </w:p>
    <w:p>
      <w:pPr>
        <w:rPr>
          <w:noProof/>
          <w:szCs w:val="24"/>
        </w:rPr>
      </w:pPr>
      <w:r>
        <w:rPr>
          <w:noProof/>
        </w:rPr>
        <w:t>visto il parere del Comitato economico e sociale europeo</w:t>
      </w:r>
      <w:r>
        <w:rPr>
          <w:rStyle w:val="FootnoteReference"/>
          <w:noProof/>
        </w:rPr>
        <w:footnoteReference w:id="3"/>
      </w:r>
      <w:r>
        <w:rPr>
          <w:noProof/>
        </w:rPr>
        <w:t>,</w:t>
      </w:r>
    </w:p>
    <w:p>
      <w:pPr>
        <w:rPr>
          <w:noProof/>
          <w:szCs w:val="24"/>
        </w:rPr>
      </w:pPr>
      <w:r>
        <w:rPr>
          <w:noProof/>
        </w:rPr>
        <w:t>visto il parere del Comitato delle regioni</w:t>
      </w:r>
      <w:r>
        <w:rPr>
          <w:rStyle w:val="FootnoteReference"/>
          <w:noProof/>
        </w:rPr>
        <w:footnoteReference w:id="4"/>
      </w:r>
      <w:r>
        <w:rPr>
          <w:noProof/>
        </w:rPr>
        <w:t xml:space="preserve">, </w:t>
      </w:r>
    </w:p>
    <w:p>
      <w:pPr>
        <w:rPr>
          <w:noProof/>
          <w:szCs w:val="24"/>
        </w:rPr>
      </w:pPr>
      <w:r>
        <w:rPr>
          <w:noProof/>
        </w:rPr>
        <w:t>deliberando secondo la procedura legislativa ordinaria,</w:t>
      </w:r>
    </w:p>
    <w:p>
      <w:pPr>
        <w:rPr>
          <w:noProof/>
          <w:szCs w:val="24"/>
        </w:rPr>
      </w:pPr>
      <w:r>
        <w:rPr>
          <w:noProof/>
        </w:rPr>
        <w:t>considerando quanto segue:</w:t>
      </w:r>
    </w:p>
    <w:p>
      <w:pPr>
        <w:pStyle w:val="ManualConsidrant"/>
        <w:rPr>
          <w:noProof/>
          <w:szCs w:val="24"/>
        </w:rPr>
      </w:pPr>
      <w:r>
        <w:t>(1)</w:t>
      </w:r>
      <w:r>
        <w:tab/>
      </w:r>
      <w:r>
        <w:rPr>
          <w:noProof/>
        </w:rPr>
        <w:t>Il regolamento (UE) n. 1303/2013 del Parlamento europeo e del Consiglio</w:t>
      </w:r>
      <w:r>
        <w:rPr>
          <w:rStyle w:val="FootnoteReference"/>
          <w:noProof/>
        </w:rPr>
        <w:footnoteReference w:id="5"/>
      </w:r>
      <w:r>
        <w:rPr>
          <w:noProof/>
        </w:rPr>
        <w:t xml:space="preserve"> stabilisce disposizioni comuni e generali applicabili ai Fondi strutturali e d'investimento europei. </w:t>
      </w:r>
    </w:p>
    <w:p>
      <w:pPr>
        <w:pStyle w:val="ManualConsidrant"/>
        <w:rPr>
          <w:noProof/>
          <w:szCs w:val="24"/>
        </w:rPr>
      </w:pPr>
      <w:r>
        <w:t>(2)</w:t>
      </w:r>
      <w:r>
        <w:tab/>
      </w:r>
      <w:r>
        <w:rPr>
          <w:noProof/>
        </w:rPr>
        <w:t>Il bilancio generale dell'Unione per l'esercizio 2019</w:t>
      </w:r>
      <w:r>
        <w:rPr>
          <w:rStyle w:val="FootnoteReference"/>
          <w:noProof/>
        </w:rPr>
        <w:footnoteReference w:id="6"/>
      </w:r>
      <w:r>
        <w:rPr>
          <w:noProof/>
        </w:rPr>
        <w:t xml:space="preserve"> ha modificato l'importo totale delle risorse per l'Iniziativa a favore dell'occupazione giovanile ("IOG") aumentando gli stanziamenti d'impegno per la dotazione specifica dell'IOG nel 2019 di 116,7 milioni di EUR a prezzi correnti e portando l'importo globale degli stanziamenti d'impegno per la dotazione specifica dell'IOG per tutto il periodo di programmazione a 4 527 882 072 EUR a prezzi correnti. </w:t>
      </w:r>
    </w:p>
    <w:p>
      <w:pPr>
        <w:pStyle w:val="ManualConsidrant"/>
        <w:rPr>
          <w:noProof/>
          <w:szCs w:val="24"/>
        </w:rPr>
      </w:pPr>
      <w:r>
        <w:t>(3)</w:t>
      </w:r>
      <w:r>
        <w:tab/>
      </w:r>
      <w:r>
        <w:rPr>
          <w:noProof/>
        </w:rPr>
        <w:t>Per il 2019 le risorse aggiuntive di 99 573 877 EUR, a prezzi del 2011, sono finanziate dal margine globale per gli impegni, nei limiti del quadro finanziario pluriennale per il periodo 2014-2020.</w:t>
      </w:r>
    </w:p>
    <w:p>
      <w:pPr>
        <w:pStyle w:val="ManualConsidrant"/>
        <w:rPr>
          <w:noProof/>
          <w:szCs w:val="24"/>
        </w:rPr>
      </w:pPr>
      <w:r>
        <w:t>(4)</w:t>
      </w:r>
      <w:r>
        <w:tab/>
      </w:r>
      <w:r>
        <w:rPr>
          <w:noProof/>
        </w:rPr>
        <w:t>È opportuno prevedere misure specifiche per facilitare l'attuazione dell'IOG, dato l'avanzato stato di attuazione dei programmi operativi per il periodo di programmazione 2014-2020.</w:t>
      </w:r>
    </w:p>
    <w:p>
      <w:pPr>
        <w:pStyle w:val="ManualConsidrant"/>
        <w:rPr>
          <w:noProof/>
        </w:rPr>
      </w:pPr>
      <w:r>
        <w:t>(5)</w:t>
      </w:r>
      <w:r>
        <w:tab/>
      </w:r>
      <w:r>
        <w:rPr>
          <w:noProof/>
        </w:rPr>
        <w:t xml:space="preserve">In considerazione dell'urgenza di una modifica dei programmi a sostegno dell'IOG al fine di includere risorse aggiuntive per la dotazione specifica dell'IOG entro la fine del 2019, il presente regolamento dovrebbe entrare in vigore il giorno successivo alla pubblicazione nella </w:t>
      </w:r>
      <w:r>
        <w:rPr>
          <w:i/>
          <w:noProof/>
        </w:rPr>
        <w:t>Gazzetta ufficiale dell'Unione europea</w:t>
      </w:r>
      <w:r>
        <w:rPr>
          <w:noProof/>
        </w:rPr>
        <w:t>.</w:t>
      </w:r>
    </w:p>
    <w:p>
      <w:pPr>
        <w:pStyle w:val="ManualConsidrant"/>
        <w:rPr>
          <w:noProof/>
        </w:rPr>
      </w:pPr>
      <w:r>
        <w:t>(6)</w:t>
      </w:r>
      <w:r>
        <w:tab/>
      </w:r>
      <w:r>
        <w:rPr>
          <w:noProof/>
        </w:rPr>
        <w:t>È pertanto opportuno modificare di conseguenza il regolamento (UE) n. 1303/2013,</w:t>
      </w:r>
    </w:p>
    <w:p>
      <w:pPr>
        <w:pStyle w:val="Formuledadoption"/>
        <w:rPr>
          <w:noProof/>
        </w:rPr>
      </w:pPr>
      <w:r>
        <w:rPr>
          <w:noProof/>
        </w:rPr>
        <w:t>HANNO ADOTTATO IL PRESENTE REGOLAMENTO:</w:t>
      </w:r>
    </w:p>
    <w:p>
      <w:pPr>
        <w:pStyle w:val="Titrearticle"/>
        <w:rPr>
          <w:noProof/>
        </w:rPr>
      </w:pPr>
      <w:r>
        <w:rPr>
          <w:noProof/>
        </w:rPr>
        <w:t>Articolo 1</w:t>
      </w:r>
    </w:p>
    <w:p>
      <w:pPr>
        <w:rPr>
          <w:noProof/>
        </w:rPr>
      </w:pPr>
      <w:r>
        <w:rPr>
          <w:noProof/>
        </w:rPr>
        <w:t>Il regolamento (UE) n. 1303/2013 è così modificato:</w:t>
      </w:r>
    </w:p>
    <w:p>
      <w:pPr>
        <w:pStyle w:val="Point0"/>
        <w:rPr>
          <w:noProof/>
        </w:rPr>
      </w:pPr>
      <w:r>
        <w:rPr>
          <w:noProof/>
        </w:rPr>
        <w:t>1)</w:t>
      </w:r>
      <w:r>
        <w:rPr>
          <w:noProof/>
        </w:rPr>
        <w:tab/>
        <w:t>all'articolo 91, il paragrafo 1 è sostituito dal seguente:</w:t>
      </w:r>
    </w:p>
    <w:p>
      <w:pPr>
        <w:pStyle w:val="Text1"/>
        <w:rPr>
          <w:noProof/>
        </w:rPr>
      </w:pPr>
      <w:r>
        <w:rPr>
          <w:noProof/>
        </w:rPr>
        <w:t>"1. Le risorse per la coesione economica, sociale e territoriale disponibili per gli impegni di bilancio per il periodo 2014-2020, espresse in prezzi del 2011, ammontano a 330 081 919 243 EUR, conformemente alla ripartizione annuale stabilita nell'allegato VI, di cui 325 938 694 233 EUR rappresentano le risorse globali assegnate al FESR, al FSE e al Fondo di coesione, e 4 143 225 010 EUR costituiscono una dotazione specifica per l'IOG. Ai fini della programmazione e della successiva inclusione nel bilancio dell'Unione, l'importo delle risorse assegnate alla coesione economica, sociale e territoriale è indicizzato del 2 % all'anno.";</w:t>
      </w:r>
    </w:p>
    <w:p>
      <w:pPr>
        <w:pStyle w:val="Point0"/>
        <w:rPr>
          <w:noProof/>
        </w:rPr>
      </w:pPr>
      <w:r>
        <w:rPr>
          <w:noProof/>
        </w:rPr>
        <w:t>2)</w:t>
      </w:r>
      <w:r>
        <w:rPr>
          <w:noProof/>
        </w:rPr>
        <w:tab/>
        <w:t>all'articolo 92, il paragrafo 5 è sostituito dal seguente:</w:t>
      </w:r>
    </w:p>
    <w:p>
      <w:pPr>
        <w:pStyle w:val="Text1"/>
        <w:rPr>
          <w:noProof/>
        </w:rPr>
      </w:pPr>
      <w:r>
        <w:rPr>
          <w:noProof/>
        </w:rPr>
        <w:t xml:space="preserve">"5. Le risorse destinate all'IOG ammontano a 4 143 225 010 EUR provenienti dalla dotazione specifica per l'IOG, di cui 99 573 877 EUR costituiscono le risorse aggiuntive per il 2019. Esse sono integrate da investimenti mirati del FSE in conformità all'articolo 22 del regolamento (UE) n. 1304/2013. </w:t>
      </w:r>
    </w:p>
    <w:p>
      <w:pPr>
        <w:pStyle w:val="Text1"/>
        <w:rPr>
          <w:noProof/>
        </w:rPr>
      </w:pPr>
      <w:r>
        <w:rPr>
          <w:noProof/>
        </w:rPr>
        <w:t>Gli Stati membri che beneficiano delle risorse aggiuntive per la dotazione specifica dell'IOG per il 2019 di cui al primo comma, possono chiedere di trasferire al FSE fino al 50 % delle risorse aggiuntive per la dotazione specifica dell'IOG, al fine di costituire i corrispondenti investimenti mirati del FSE, come prescritto all'articolo 22 del regolamento (UE) n. 1304/2013. Tale trasferimento è effettuato alle rispettive categorie di regioni corrispondenti alla classificazione delle regioni ammissibili per l'aumento della dotazione specifica per l'IOG. Gli Stati membri devono chiedere il trasferimento nella richiesta di modifica del programma in conformità all'articolo 30, paragrafo 1, del presente regolamento. Le risorse assegnate ad anni precedenti non sono trasferibili.</w:t>
      </w:r>
    </w:p>
    <w:p>
      <w:pPr>
        <w:pStyle w:val="Text1"/>
        <w:rPr>
          <w:noProof/>
        </w:rPr>
      </w:pPr>
      <w:r>
        <w:rPr>
          <w:noProof/>
        </w:rPr>
        <w:t>Il secondo comma si applica a tutte risorse aggiuntive per la dotazione specifica dell'IOG che aumentano le risorse a più di 4 043 651 133 EUR.";</w:t>
      </w:r>
    </w:p>
    <w:p>
      <w:pPr>
        <w:pStyle w:val="Point0"/>
        <w:rPr>
          <w:noProof/>
        </w:rPr>
      </w:pPr>
      <w:r>
        <w:rPr>
          <w:noProof/>
        </w:rPr>
        <w:t>3)</w:t>
      </w:r>
      <w:r>
        <w:rPr>
          <w:noProof/>
        </w:rPr>
        <w:tab/>
        <w:t>l'allegato VI è sostituito dal testo figurante nell'allegato del presente regolamento.</w:t>
      </w:r>
    </w:p>
    <w:p>
      <w:pPr>
        <w:pStyle w:val="Titrearticle"/>
        <w:rPr>
          <w:noProof/>
        </w:rPr>
      </w:pPr>
      <w:r>
        <w:rPr>
          <w:noProof/>
        </w:rPr>
        <w:t>Articolo 2</w:t>
      </w:r>
    </w:p>
    <w:p>
      <w:pPr>
        <w:rPr>
          <w:noProof/>
        </w:rPr>
      </w:pPr>
      <w:r>
        <w:rPr>
          <w:noProof/>
        </w:rPr>
        <w:t xml:space="preserve">Il presente regolamento entra in vigore il giorno successivo alla pubblicazione nella </w:t>
      </w:r>
      <w:r>
        <w:rPr>
          <w:i/>
          <w:noProof/>
        </w:rPr>
        <w:t>Gazzetta ufficiale dell'Unione europea</w:t>
      </w:r>
      <w:r>
        <w:rPr>
          <w:noProof/>
        </w:rPr>
        <w:t>.</w:t>
      </w:r>
    </w:p>
    <w:p>
      <w:pPr>
        <w:pStyle w:val="Applicationdirecte"/>
        <w:rPr>
          <w:noProof/>
        </w:rPr>
      </w:pPr>
      <w:r>
        <w:rPr>
          <w:noProof/>
        </w:rPr>
        <w:t>Il presente regolamento è obbligatorio in tutti i suoi elementi e direttamente applicabile in ciascuno degli Stati membri.</w:t>
      </w:r>
    </w:p>
    <w:p>
      <w:pPr>
        <w:pStyle w:val="Fait"/>
        <w:rPr>
          <w:noProof/>
        </w:rPr>
      </w:pPr>
      <w: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p>
      <w:pPr>
        <w:pStyle w:val="Fichefinanciretitre"/>
        <w:rPr>
          <w:noProof/>
        </w:rPr>
      </w:pPr>
      <w:r>
        <w:rPr>
          <w:noProof/>
        </w:rPr>
        <w:br w:type="page"/>
        <w:t xml:space="preserve">SCHEDA FINANZIARIA LEGISLATIVA </w:t>
      </w:r>
    </w:p>
    <w:p>
      <w:pPr>
        <w:pStyle w:val="ManualHeading1"/>
        <w:rPr>
          <w:noProof/>
        </w:rPr>
      </w:pPr>
      <w:r>
        <w:rPr>
          <w:noProof/>
        </w:rPr>
        <w:t>1.</w:t>
      </w:r>
      <w:r>
        <w:rPr>
          <w:noProof/>
        </w:rPr>
        <w:tab/>
        <w:t xml:space="preserve">CONTESTO DELLA PROPOSTA/INIZIATIVA </w:t>
      </w:r>
    </w:p>
    <w:p>
      <w:pPr>
        <w:pStyle w:val="ManualHeading2"/>
        <w:rPr>
          <w:b w:val="0"/>
          <w:noProof/>
        </w:rPr>
      </w:pPr>
      <w:r>
        <w:rPr>
          <w:noProof/>
        </w:rPr>
        <w:tab/>
      </w:r>
      <w:r>
        <w:rPr>
          <w:b w:val="0"/>
          <w:noProof/>
        </w:rPr>
        <w:t>1.1.</w:t>
      </w:r>
      <w:r>
        <w:rPr>
          <w:noProof/>
        </w:rPr>
        <w:tab/>
      </w:r>
      <w:r>
        <w:rPr>
          <w:b w:val="0"/>
          <w:noProof/>
        </w:rPr>
        <w:t xml:space="preserve">Titolo della proposta/iniziativa </w:t>
      </w:r>
    </w:p>
    <w:p>
      <w:pPr>
        <w:pStyle w:val="ManualHeading2"/>
        <w:rPr>
          <w:b w:val="0"/>
          <w:noProof/>
        </w:rPr>
      </w:pPr>
      <w:r>
        <w:rPr>
          <w:noProof/>
        </w:rPr>
        <w:tab/>
      </w:r>
      <w:r>
        <w:rPr>
          <w:b w:val="0"/>
          <w:noProof/>
        </w:rPr>
        <w:t>1.2.</w:t>
      </w:r>
      <w:r>
        <w:rPr>
          <w:noProof/>
        </w:rPr>
        <w:tab/>
      </w:r>
      <w:r>
        <w:rPr>
          <w:b w:val="0"/>
          <w:noProof/>
        </w:rPr>
        <w:t>Settore/settori interessati nella struttura ABM/ABB</w:t>
      </w:r>
    </w:p>
    <w:p>
      <w:pPr>
        <w:pStyle w:val="ManualHeading2"/>
        <w:rPr>
          <w:b w:val="0"/>
          <w:noProof/>
        </w:rPr>
      </w:pPr>
      <w:r>
        <w:rPr>
          <w:noProof/>
        </w:rPr>
        <w:tab/>
      </w:r>
      <w:r>
        <w:rPr>
          <w:b w:val="0"/>
          <w:noProof/>
        </w:rPr>
        <w:t>1.3.</w:t>
      </w:r>
      <w:r>
        <w:rPr>
          <w:noProof/>
        </w:rPr>
        <w:tab/>
      </w:r>
      <w:r>
        <w:rPr>
          <w:b w:val="0"/>
          <w:noProof/>
        </w:rPr>
        <w:t xml:space="preserve">Natura della proposta/iniziativa </w:t>
      </w:r>
    </w:p>
    <w:p>
      <w:pPr>
        <w:pStyle w:val="ManualHeading2"/>
        <w:rPr>
          <w:b w:val="0"/>
          <w:noProof/>
        </w:rPr>
      </w:pPr>
      <w:r>
        <w:rPr>
          <w:noProof/>
        </w:rPr>
        <w:tab/>
      </w:r>
      <w:r>
        <w:rPr>
          <w:b w:val="0"/>
          <w:noProof/>
        </w:rPr>
        <w:t>1.4.</w:t>
      </w:r>
      <w:r>
        <w:rPr>
          <w:noProof/>
        </w:rPr>
        <w:tab/>
      </w:r>
      <w:r>
        <w:rPr>
          <w:b w:val="0"/>
          <w:noProof/>
        </w:rPr>
        <w:t xml:space="preserve">Obiettivi </w:t>
      </w:r>
    </w:p>
    <w:p>
      <w:pPr>
        <w:pStyle w:val="ManualHeading2"/>
        <w:rPr>
          <w:b w:val="0"/>
          <w:noProof/>
        </w:rPr>
      </w:pPr>
      <w:r>
        <w:rPr>
          <w:noProof/>
        </w:rPr>
        <w:tab/>
      </w:r>
      <w:r>
        <w:rPr>
          <w:b w:val="0"/>
          <w:noProof/>
        </w:rPr>
        <w:t>1.5.</w:t>
      </w:r>
      <w:r>
        <w:rPr>
          <w:noProof/>
        </w:rPr>
        <w:tab/>
      </w:r>
      <w:r>
        <w:rPr>
          <w:b w:val="0"/>
          <w:noProof/>
        </w:rPr>
        <w:t xml:space="preserve">Motivazione della proposta/iniziativa </w:t>
      </w:r>
    </w:p>
    <w:p>
      <w:pPr>
        <w:pStyle w:val="ManualHeading2"/>
        <w:rPr>
          <w:b w:val="0"/>
          <w:noProof/>
        </w:rPr>
      </w:pPr>
      <w:r>
        <w:rPr>
          <w:noProof/>
        </w:rPr>
        <w:tab/>
      </w:r>
      <w:r>
        <w:rPr>
          <w:b w:val="0"/>
          <w:noProof/>
        </w:rPr>
        <w:t>1.6.</w:t>
      </w:r>
      <w:r>
        <w:rPr>
          <w:noProof/>
        </w:rPr>
        <w:tab/>
      </w:r>
      <w:r>
        <w:rPr>
          <w:b w:val="0"/>
          <w:noProof/>
        </w:rPr>
        <w:t xml:space="preserve">Durata e incidenza finanziaria </w:t>
      </w:r>
    </w:p>
    <w:p>
      <w:pPr>
        <w:pStyle w:val="ManualHeading2"/>
        <w:rPr>
          <w:b w:val="0"/>
          <w:noProof/>
        </w:rPr>
      </w:pPr>
      <w:r>
        <w:rPr>
          <w:noProof/>
        </w:rPr>
        <w:tab/>
      </w:r>
      <w:r>
        <w:rPr>
          <w:b w:val="0"/>
          <w:noProof/>
        </w:rPr>
        <w:t>1.7.</w:t>
      </w:r>
      <w:r>
        <w:rPr>
          <w:noProof/>
        </w:rPr>
        <w:tab/>
      </w:r>
      <w:r>
        <w:rPr>
          <w:b w:val="0"/>
          <w:noProof/>
        </w:rPr>
        <w:t xml:space="preserve">Modalità di gestione previste </w:t>
      </w:r>
    </w:p>
    <w:p>
      <w:pPr>
        <w:pStyle w:val="ManualHeading1"/>
        <w:rPr>
          <w:noProof/>
        </w:rPr>
      </w:pPr>
      <w:r>
        <w:rPr>
          <w:noProof/>
        </w:rPr>
        <w:t>2.</w:t>
      </w:r>
      <w:r>
        <w:rPr>
          <w:noProof/>
        </w:rPr>
        <w:tab/>
        <w:t xml:space="preserve">MISURE DI GESTIONE </w:t>
      </w:r>
    </w:p>
    <w:p>
      <w:pPr>
        <w:pStyle w:val="ManualHeading2"/>
        <w:rPr>
          <w:b w:val="0"/>
          <w:noProof/>
        </w:rPr>
      </w:pPr>
      <w:r>
        <w:rPr>
          <w:noProof/>
        </w:rPr>
        <w:tab/>
      </w:r>
      <w:r>
        <w:rPr>
          <w:b w:val="0"/>
          <w:noProof/>
        </w:rPr>
        <w:t>2.1.</w:t>
      </w:r>
      <w:r>
        <w:rPr>
          <w:noProof/>
        </w:rPr>
        <w:tab/>
      </w:r>
      <w:r>
        <w:rPr>
          <w:b w:val="0"/>
          <w:noProof/>
        </w:rPr>
        <w:t xml:space="preserve">Disposizioni in materia di monitoraggio e di relazioni </w:t>
      </w:r>
    </w:p>
    <w:p>
      <w:pPr>
        <w:pStyle w:val="ManualHeading2"/>
        <w:rPr>
          <w:b w:val="0"/>
          <w:noProof/>
        </w:rPr>
      </w:pPr>
      <w:r>
        <w:rPr>
          <w:noProof/>
        </w:rPr>
        <w:tab/>
      </w:r>
      <w:r>
        <w:rPr>
          <w:b w:val="0"/>
          <w:noProof/>
        </w:rPr>
        <w:t>2.2.</w:t>
      </w:r>
      <w:r>
        <w:rPr>
          <w:noProof/>
        </w:rPr>
        <w:tab/>
      </w:r>
      <w:r>
        <w:rPr>
          <w:b w:val="0"/>
          <w:noProof/>
        </w:rPr>
        <w:t xml:space="preserve">Sistema di gestione e di controllo </w:t>
      </w:r>
    </w:p>
    <w:p>
      <w:pPr>
        <w:pStyle w:val="ManualHeading2"/>
        <w:rPr>
          <w:b w:val="0"/>
          <w:noProof/>
        </w:rPr>
      </w:pPr>
      <w:r>
        <w:rPr>
          <w:noProof/>
        </w:rPr>
        <w:tab/>
      </w:r>
      <w:r>
        <w:rPr>
          <w:b w:val="0"/>
          <w:noProof/>
        </w:rPr>
        <w:t>2.3.</w:t>
      </w:r>
      <w:r>
        <w:rPr>
          <w:noProof/>
        </w:rPr>
        <w:tab/>
      </w:r>
      <w:r>
        <w:rPr>
          <w:b w:val="0"/>
          <w:noProof/>
        </w:rPr>
        <w:t xml:space="preserve">Misure di prevenzione delle frodi e delle irregolarità </w:t>
      </w:r>
    </w:p>
    <w:p>
      <w:pPr>
        <w:pStyle w:val="ManualHeading1"/>
        <w:rPr>
          <w:noProof/>
        </w:rPr>
      </w:pPr>
      <w:r>
        <w:rPr>
          <w:noProof/>
        </w:rPr>
        <w:t>3.</w:t>
      </w:r>
      <w:r>
        <w:rPr>
          <w:noProof/>
        </w:rPr>
        <w:tab/>
        <w:t xml:space="preserve">INCIDENZA FINANZIARIA PREVISTA DELLA PROPOSTA/INIZIATIVA </w:t>
      </w:r>
    </w:p>
    <w:p>
      <w:pPr>
        <w:pStyle w:val="ManualHeading2"/>
        <w:rPr>
          <w:b w:val="0"/>
          <w:noProof/>
        </w:rPr>
      </w:pPr>
      <w:r>
        <w:rPr>
          <w:noProof/>
        </w:rPr>
        <w:tab/>
      </w:r>
      <w:r>
        <w:rPr>
          <w:b w:val="0"/>
          <w:noProof/>
        </w:rPr>
        <w:t>3.1.</w:t>
      </w:r>
      <w:r>
        <w:rPr>
          <w:noProof/>
        </w:rPr>
        <w:tab/>
      </w:r>
      <w:r>
        <w:rPr>
          <w:b w:val="0"/>
          <w:noProof/>
        </w:rPr>
        <w:t xml:space="preserve">Rubrica/rubriche del quadro finanziario pluriennale e linea/linee di bilancio di spesa interessate </w:t>
      </w:r>
    </w:p>
    <w:p>
      <w:pPr>
        <w:pStyle w:val="ManualHeading2"/>
        <w:rPr>
          <w:noProof/>
        </w:rPr>
      </w:pPr>
      <w:r>
        <w:rPr>
          <w:noProof/>
        </w:rPr>
        <w:tab/>
      </w:r>
      <w:r>
        <w:rPr>
          <w:b w:val="0"/>
          <w:noProof/>
        </w:rPr>
        <w:t>3.2.</w:t>
      </w:r>
      <w:r>
        <w:rPr>
          <w:noProof/>
        </w:rPr>
        <w:tab/>
      </w:r>
      <w:r>
        <w:rPr>
          <w:b w:val="0"/>
          <w:noProof/>
        </w:rPr>
        <w:t>Incidenza prevista sulle spese</w:t>
      </w:r>
      <w:r>
        <w:rPr>
          <w:noProof/>
        </w:rPr>
        <w:t xml:space="preserve"> </w:t>
      </w:r>
    </w:p>
    <w:p>
      <w:pPr>
        <w:pStyle w:val="ManualHeading3"/>
        <w:rPr>
          <w:noProof/>
        </w:rPr>
      </w:pPr>
      <w:r>
        <w:rPr>
          <w:noProof/>
        </w:rPr>
        <w:tab/>
        <w:t>3.2.1.</w:t>
      </w:r>
      <w:r>
        <w:rPr>
          <w:noProof/>
        </w:rPr>
        <w:tab/>
        <w:t xml:space="preserve">Sintesi dell'incidenza prevista sulle spese </w:t>
      </w:r>
    </w:p>
    <w:p>
      <w:pPr>
        <w:pStyle w:val="ManualHeading3"/>
        <w:rPr>
          <w:noProof/>
        </w:rPr>
      </w:pPr>
      <w:r>
        <w:rPr>
          <w:noProof/>
        </w:rPr>
        <w:tab/>
        <w:t>3.2.2.</w:t>
      </w:r>
      <w:r>
        <w:rPr>
          <w:noProof/>
        </w:rPr>
        <w:tab/>
        <w:t xml:space="preserve">Incidenza prevista sugli stanziamenti operativi </w:t>
      </w:r>
    </w:p>
    <w:p>
      <w:pPr>
        <w:pStyle w:val="ManualHeading3"/>
        <w:rPr>
          <w:noProof/>
        </w:rPr>
      </w:pPr>
      <w:r>
        <w:rPr>
          <w:noProof/>
        </w:rPr>
        <w:tab/>
        <w:t>3.2.3.</w:t>
      </w:r>
      <w:r>
        <w:rPr>
          <w:noProof/>
        </w:rPr>
        <w:tab/>
        <w:t>Incidenza prevista sugli stanziamenti di natura amministrativa</w:t>
      </w:r>
    </w:p>
    <w:p>
      <w:pPr>
        <w:pStyle w:val="ManualHeading3"/>
        <w:rPr>
          <w:noProof/>
        </w:rPr>
      </w:pPr>
      <w:r>
        <w:rPr>
          <w:noProof/>
        </w:rPr>
        <w:tab/>
        <w:t>3.2.4.</w:t>
      </w:r>
      <w:r>
        <w:rPr>
          <w:noProof/>
        </w:rPr>
        <w:tab/>
        <w:t>Compatibilità con il quadro finanziario pluriennale attuale</w:t>
      </w:r>
    </w:p>
    <w:p>
      <w:pPr>
        <w:pStyle w:val="ManualHeading3"/>
        <w:rPr>
          <w:noProof/>
        </w:rPr>
      </w:pPr>
      <w:r>
        <w:rPr>
          <w:noProof/>
        </w:rPr>
        <w:tab/>
        <w:t>3.2.5.</w:t>
      </w:r>
      <w:r>
        <w:rPr>
          <w:noProof/>
        </w:rPr>
        <w:tab/>
        <w:t xml:space="preserve">Partecipazione di terzi al finanziamento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Incidenza prevista sulle entrate</w:t>
      </w:r>
    </w:p>
    <w:p>
      <w:pPr>
        <w:jc w:val="center"/>
        <w:rPr>
          <w:b/>
          <w:noProof/>
          <w:u w:val="single"/>
        </w:rPr>
      </w:pPr>
      <w:r>
        <w:rPr>
          <w:b/>
          <w:noProof/>
          <w:u w:val="single"/>
        </w:rPr>
        <w:t>SCHEDA FINANZIARIA LEGISLATIVA</w:t>
      </w:r>
    </w:p>
    <w:p>
      <w:pPr>
        <w:pStyle w:val="ManualHeading1"/>
        <w:rPr>
          <w:noProof/>
        </w:rPr>
      </w:pPr>
      <w:r>
        <w:rPr>
          <w:noProof/>
        </w:rPr>
        <w:t>1.</w:t>
      </w:r>
      <w:r>
        <w:rPr>
          <w:noProof/>
        </w:rPr>
        <w:tab/>
        <w:t xml:space="preserve">CONTESTO DELLA PROPOSTA/INIZIATIVA </w:t>
      </w:r>
    </w:p>
    <w:p>
      <w:pPr>
        <w:pStyle w:val="ManualHeading2"/>
        <w:rPr>
          <w:noProof/>
        </w:rPr>
      </w:pPr>
      <w:r>
        <w:rPr>
          <w:noProof/>
        </w:rPr>
        <w:t>1.1.</w:t>
      </w:r>
      <w:r>
        <w:rPr>
          <w:noProof/>
        </w:rPr>
        <w:tab/>
        <w:t xml:space="preserve">Titolo della proposta/iniziativa </w:t>
      </w:r>
    </w:p>
    <w:p>
      <w:pPr>
        <w:pStyle w:val="Text1"/>
        <w:pBdr>
          <w:top w:val="single" w:sz="4" w:space="1" w:color="auto"/>
          <w:left w:val="single" w:sz="4" w:space="4" w:color="auto"/>
          <w:bottom w:val="single" w:sz="4" w:space="1" w:color="auto"/>
          <w:right w:val="single" w:sz="4" w:space="4" w:color="auto"/>
        </w:pBdr>
        <w:rPr>
          <w:noProof/>
        </w:rPr>
      </w:pPr>
      <w:r>
        <w:rPr>
          <w:noProof/>
        </w:rPr>
        <w:t>Proposta di regolamento del Parlamento europeo e del Consiglio che modifica il regolamento (UE) n. 1303/2013 per quanto riguarda le risorse destinate alla dotazione specifica per l'Iniziativa a favore dell'occupazione giovanile</w:t>
      </w:r>
    </w:p>
    <w:p>
      <w:pPr>
        <w:pStyle w:val="ManualHeading2"/>
        <w:rPr>
          <w:noProof/>
          <w:szCs w:val="24"/>
        </w:rPr>
      </w:pPr>
      <w:r>
        <w:rPr>
          <w:noProof/>
        </w:rPr>
        <w:t>1.2.</w:t>
      </w:r>
      <w:r>
        <w:rPr>
          <w:noProof/>
        </w:rPr>
        <w:tab/>
        <w:t>Settore/settori interessati nella struttura ABM/ABB</w:t>
      </w:r>
      <w:r>
        <w:rPr>
          <w:rStyle w:val="FootnoteReference"/>
          <w:noProof/>
        </w:rPr>
        <w:footnoteReference w:id="7"/>
      </w:r>
      <w:r>
        <w:rPr>
          <w:i/>
          <w:noProof/>
        </w:rPr>
        <w:t xml:space="preserve"> </w:t>
      </w:r>
    </w:p>
    <w:p>
      <w:pPr>
        <w:pStyle w:val="Text1"/>
        <w:pBdr>
          <w:top w:val="single" w:sz="4" w:space="1" w:color="auto"/>
          <w:left w:val="single" w:sz="4" w:space="4" w:color="auto"/>
          <w:bottom w:val="single" w:sz="4" w:space="1" w:color="auto"/>
          <w:right w:val="single" w:sz="4" w:space="4" w:color="auto"/>
        </w:pBdr>
        <w:rPr>
          <w:noProof/>
          <w:sz w:val="22"/>
        </w:rPr>
      </w:pPr>
      <w:r>
        <w:rPr>
          <w:noProof/>
          <w:sz w:val="22"/>
        </w:rPr>
        <w:t>4 Occupazione, affari sociali e inclusione</w:t>
      </w:r>
    </w:p>
    <w:p>
      <w:pPr>
        <w:pStyle w:val="Text1"/>
        <w:pBdr>
          <w:top w:val="single" w:sz="4" w:space="1" w:color="auto"/>
          <w:left w:val="single" w:sz="4" w:space="4" w:color="auto"/>
          <w:bottom w:val="single" w:sz="4" w:space="1" w:color="auto"/>
          <w:right w:val="single" w:sz="4" w:space="4" w:color="auto"/>
        </w:pBdr>
        <w:rPr>
          <w:noProof/>
          <w:sz w:val="22"/>
        </w:rPr>
      </w:pPr>
      <w:r>
        <w:rPr>
          <w:noProof/>
          <w:sz w:val="22"/>
        </w:rPr>
        <w:t>04 02 64 – Iniziativa a favore dell'occupazione giovanile (IOG)</w:t>
      </w:r>
    </w:p>
    <w:p>
      <w:pPr>
        <w:pStyle w:val="ManualHeading2"/>
        <w:rPr>
          <w:bCs/>
          <w:noProof/>
          <w:szCs w:val="24"/>
        </w:rPr>
      </w:pPr>
      <w:r>
        <w:rPr>
          <w:noProof/>
        </w:rPr>
        <w:t>1.3.</w:t>
      </w:r>
      <w:r>
        <w:rPr>
          <w:noProof/>
        </w:rPr>
        <w:tab/>
        <w:t xml:space="preserve">Natura della proposta/iniziativa </w:t>
      </w:r>
    </w:p>
    <w:p>
      <w:pPr>
        <w:pStyle w:val="Text1"/>
        <w:rPr>
          <w:b/>
          <w:noProof/>
          <w:sz w:val="22"/>
        </w:rPr>
      </w:pPr>
      <w:r>
        <w:rPr>
          <w:noProof/>
          <w:sz w:val="22"/>
        </w:rPr>
        <w:sym w:font="Wingdings" w:char="F0A8"/>
      </w:r>
      <w:r>
        <w:rPr>
          <w:b/>
          <w:i/>
          <w:noProof/>
          <w:sz w:val="22"/>
        </w:rPr>
        <w:t xml:space="preserve"> </w:t>
      </w:r>
      <w:r>
        <w:rPr>
          <w:noProof/>
        </w:rPr>
        <w:t xml:space="preserve">La proposta/iniziativa riguarda </w:t>
      </w:r>
      <w:r>
        <w:rPr>
          <w:b/>
          <w:noProof/>
        </w:rPr>
        <w:t>una nuova azione</w:t>
      </w:r>
      <w:r>
        <w:rPr>
          <w:b/>
          <w:noProof/>
          <w:sz w:val="22"/>
        </w:rPr>
        <w:t xml:space="preserve"> </w:t>
      </w:r>
    </w:p>
    <w:p>
      <w:pPr>
        <w:pStyle w:val="Text1"/>
        <w:rPr>
          <w:noProof/>
          <w:sz w:val="22"/>
        </w:rPr>
      </w:pPr>
      <w:r>
        <w:rPr>
          <w:noProof/>
          <w:sz w:val="22"/>
        </w:rPr>
        <w:sym w:font="Wingdings" w:char="F0A8"/>
      </w:r>
      <w:r>
        <w:rPr>
          <w:noProof/>
        </w:rPr>
        <w:t xml:space="preserve"> La proposta/iniziativa riguarda </w:t>
      </w:r>
      <w:r>
        <w:rPr>
          <w:b/>
          <w:noProof/>
        </w:rPr>
        <w:t>una nuova azione a seguito di un progetto pilota/un'azione preparatoria</w:t>
      </w:r>
      <w:r>
        <w:rPr>
          <w:rStyle w:val="FootnoteReference"/>
          <w:b/>
          <w:noProof/>
        </w:rPr>
        <w:footnoteReference w:id="8"/>
      </w:r>
      <w:r>
        <w:rPr>
          <w:noProof/>
          <w:sz w:val="22"/>
        </w:rPr>
        <w:t xml:space="preserve"> </w:t>
      </w:r>
    </w:p>
    <w:p>
      <w:pPr>
        <w:pStyle w:val="Text1"/>
        <w:rPr>
          <w:noProof/>
          <w:sz w:val="22"/>
        </w:rPr>
      </w:pPr>
      <w:r>
        <w:rPr>
          <w:noProof/>
          <w:sz w:val="22"/>
        </w:rPr>
        <w:sym w:font="Wingdings" w:char="F078"/>
      </w:r>
      <w:r>
        <w:rPr>
          <w:i/>
          <w:noProof/>
          <w:sz w:val="22"/>
        </w:rPr>
        <w:t xml:space="preserve"> </w:t>
      </w:r>
      <w:r>
        <w:rPr>
          <w:noProof/>
        </w:rPr>
        <w:t xml:space="preserve">La proposta/iniziativa riguarda </w:t>
      </w:r>
      <w:r>
        <w:rPr>
          <w:b/>
          <w:noProof/>
        </w:rPr>
        <w:t>la proroga di un'azione esistente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La proposta/iniziativa riguarda </w:t>
      </w:r>
      <w:r>
        <w:rPr>
          <w:b/>
          <w:noProof/>
        </w:rPr>
        <w:t>un'azione riorientata verso una nuova azione</w:t>
      </w:r>
      <w:r>
        <w:rPr>
          <w:noProof/>
        </w:rPr>
        <w:t xml:space="preserve"> </w:t>
      </w:r>
    </w:p>
    <w:p>
      <w:pPr>
        <w:pStyle w:val="ManualHeading2"/>
        <w:rPr>
          <w:bCs/>
          <w:noProof/>
          <w:szCs w:val="24"/>
        </w:rPr>
      </w:pPr>
      <w:r>
        <w:rPr>
          <w:noProof/>
        </w:rPr>
        <w:t>1.4.</w:t>
      </w:r>
      <w:r>
        <w:rPr>
          <w:noProof/>
        </w:rPr>
        <w:tab/>
        <w:t>Obiettivi</w:t>
      </w:r>
    </w:p>
    <w:p>
      <w:pPr>
        <w:pStyle w:val="ManualHeading3"/>
        <w:rPr>
          <w:noProof/>
        </w:rPr>
      </w:pPr>
      <w:r>
        <w:rPr>
          <w:noProof/>
        </w:rPr>
        <w:t>1.4.1.</w:t>
      </w:r>
      <w:r>
        <w:rPr>
          <w:noProof/>
        </w:rPr>
        <w:tab/>
        <w:t xml:space="preserve">Obiettivi strategici pluriennali della Commissione oggetto della proposta/iniziativa </w:t>
      </w:r>
    </w:p>
    <w:p>
      <w:pPr>
        <w:pStyle w:val="Text1"/>
        <w:pBdr>
          <w:top w:val="single" w:sz="4" w:space="1" w:color="auto"/>
          <w:left w:val="single" w:sz="4" w:space="4" w:color="auto"/>
          <w:bottom w:val="single" w:sz="4" w:space="1" w:color="auto"/>
          <w:right w:val="single" w:sz="4" w:space="4" w:color="auto"/>
        </w:pBdr>
        <w:rPr>
          <w:noProof/>
        </w:rPr>
      </w:pPr>
      <w:r>
        <w:rPr>
          <w:noProof/>
        </w:rPr>
        <w:t>N/P</w:t>
      </w:r>
    </w:p>
    <w:p>
      <w:pPr>
        <w:pStyle w:val="ManualHeading3"/>
        <w:rPr>
          <w:bCs/>
          <w:noProof/>
          <w:szCs w:val="24"/>
        </w:rPr>
      </w:pPr>
      <w:r>
        <w:rPr>
          <w:noProof/>
        </w:rPr>
        <w:t>1.4.2.</w:t>
      </w:r>
      <w:r>
        <w:rPr>
          <w:noProof/>
        </w:rPr>
        <w:tab/>
        <w:t xml:space="preserve">Obiettivi specifici e attività ABM/ABB interessate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Obiettivo specifico [indicare il numero]</w:t>
      </w:r>
    </w:p>
    <w:p>
      <w:pPr>
        <w:pStyle w:val="Text1"/>
        <w:pBdr>
          <w:top w:val="single" w:sz="4" w:space="1" w:color="auto"/>
          <w:left w:val="single" w:sz="4" w:space="4" w:color="auto"/>
          <w:bottom w:val="single" w:sz="4" w:space="1" w:color="auto"/>
          <w:right w:val="single" w:sz="4" w:space="4" w:color="auto"/>
        </w:pBdr>
        <w:rPr>
          <w:noProof/>
        </w:rPr>
      </w:pPr>
      <w:r>
        <w:rPr>
          <w:noProof/>
        </w:rPr>
        <w:t>N/P</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Attività ABM/ABB interessate</w:t>
      </w:r>
    </w:p>
    <w:p>
      <w:pPr>
        <w:pStyle w:val="Text1"/>
        <w:pBdr>
          <w:top w:val="single" w:sz="4" w:space="1" w:color="auto"/>
          <w:left w:val="single" w:sz="4" w:space="4" w:color="auto"/>
          <w:bottom w:val="single" w:sz="4" w:space="1" w:color="auto"/>
          <w:right w:val="single" w:sz="4" w:space="4" w:color="auto"/>
        </w:pBdr>
        <w:rPr>
          <w:noProof/>
        </w:rPr>
      </w:pPr>
      <w:r>
        <w:rPr>
          <w:noProof/>
        </w:rPr>
        <w:t>N/P</w:t>
      </w:r>
    </w:p>
    <w:p>
      <w:pPr>
        <w:pStyle w:val="ManualHeading3"/>
        <w:rPr>
          <w:bCs/>
          <w:noProof/>
          <w:szCs w:val="24"/>
        </w:rPr>
      </w:pPr>
      <w:r>
        <w:rPr>
          <w:noProof/>
        </w:rPr>
        <w:t>1.4.3.</w:t>
      </w:r>
      <w:r>
        <w:rPr>
          <w:noProof/>
        </w:rPr>
        <w:tab/>
        <w:t>Risultati e incidenza previsti</w:t>
      </w:r>
    </w:p>
    <w:p>
      <w:pPr>
        <w:pStyle w:val="Text1"/>
        <w:rPr>
          <w:i/>
          <w:noProof/>
          <w:sz w:val="20"/>
        </w:rPr>
      </w:pPr>
      <w:r>
        <w:rPr>
          <w:i/>
          <w:noProof/>
          <w:sz w:val="20"/>
        </w:rPr>
        <w:t>Precisare gli effetti che la proposta/iniziativa dovrebbe avere sui beneficiari/gruppi interessati.</w:t>
      </w:r>
    </w:p>
    <w:p>
      <w:pPr>
        <w:pStyle w:val="Text1"/>
        <w:pBdr>
          <w:top w:val="single" w:sz="4" w:space="1" w:color="auto"/>
          <w:left w:val="single" w:sz="4" w:space="4" w:color="auto"/>
          <w:bottom w:val="single" w:sz="4" w:space="1" w:color="auto"/>
          <w:right w:val="single" w:sz="4" w:space="4" w:color="auto"/>
        </w:pBdr>
        <w:rPr>
          <w:noProof/>
        </w:rPr>
      </w:pPr>
      <w:r>
        <w:rPr>
          <w:noProof/>
        </w:rPr>
        <w:t>N/P</w:t>
      </w:r>
    </w:p>
    <w:p>
      <w:pPr>
        <w:pStyle w:val="ManualHeading3"/>
        <w:rPr>
          <w:bCs/>
          <w:noProof/>
          <w:szCs w:val="24"/>
        </w:rPr>
      </w:pPr>
      <w:r>
        <w:rPr>
          <w:noProof/>
        </w:rPr>
        <w:t>1.4.4.</w:t>
      </w:r>
      <w:r>
        <w:rPr>
          <w:noProof/>
        </w:rPr>
        <w:tab/>
        <w:t xml:space="preserve">Indicatori di risultato e di incidenza </w:t>
      </w:r>
    </w:p>
    <w:p>
      <w:pPr>
        <w:pStyle w:val="Text1"/>
        <w:rPr>
          <w:i/>
          <w:noProof/>
          <w:sz w:val="20"/>
        </w:rPr>
      </w:pPr>
      <w:r>
        <w:rPr>
          <w:i/>
          <w:noProof/>
          <w:sz w:val="20"/>
        </w:rPr>
        <w:t>Precisare gli indicatori che permettono di seguire l'attuazione della proposta/iniziativa.</w:t>
      </w:r>
    </w:p>
    <w:p>
      <w:pPr>
        <w:pStyle w:val="Text1"/>
        <w:pBdr>
          <w:top w:val="single" w:sz="4" w:space="1" w:color="auto"/>
          <w:left w:val="single" w:sz="4" w:space="4" w:color="auto"/>
          <w:bottom w:val="single" w:sz="4" w:space="1" w:color="auto"/>
          <w:right w:val="single" w:sz="4" w:space="4" w:color="auto"/>
        </w:pBdr>
        <w:rPr>
          <w:noProof/>
        </w:rPr>
      </w:pPr>
      <w:r>
        <w:rPr>
          <w:noProof/>
        </w:rPr>
        <w:t>N/P</w:t>
      </w:r>
    </w:p>
    <w:p>
      <w:pPr>
        <w:pStyle w:val="ManualHeading2"/>
        <w:rPr>
          <w:bCs/>
          <w:noProof/>
          <w:szCs w:val="24"/>
        </w:rPr>
      </w:pPr>
      <w:r>
        <w:rPr>
          <w:noProof/>
        </w:rPr>
        <w:t>1.5.</w:t>
      </w:r>
      <w:r>
        <w:rPr>
          <w:noProof/>
        </w:rPr>
        <w:tab/>
        <w:t xml:space="preserve">Motivazione della proposta/iniziativa </w:t>
      </w:r>
    </w:p>
    <w:p>
      <w:pPr>
        <w:pStyle w:val="ManualHeading3"/>
        <w:rPr>
          <w:noProof/>
        </w:rPr>
      </w:pPr>
      <w:r>
        <w:rPr>
          <w:noProof/>
        </w:rPr>
        <w:t>1.5.1.</w:t>
      </w:r>
      <w:r>
        <w:rPr>
          <w:noProof/>
        </w:rPr>
        <w:tab/>
        <w:t xml:space="preserve">Necessità nel breve e lungo termine </w:t>
      </w:r>
    </w:p>
    <w:p>
      <w:pPr>
        <w:pStyle w:val="Text1"/>
        <w:pBdr>
          <w:top w:val="single" w:sz="4" w:space="1" w:color="auto"/>
          <w:left w:val="single" w:sz="4" w:space="4" w:color="auto"/>
          <w:bottom w:val="single" w:sz="4" w:space="1" w:color="auto"/>
          <w:right w:val="single" w:sz="4" w:space="4" w:color="auto"/>
        </w:pBdr>
        <w:rPr>
          <w:noProof/>
        </w:rPr>
      </w:pPr>
      <w:r>
        <w:rPr>
          <w:noProof/>
        </w:rPr>
        <w:t>N/P</w:t>
      </w:r>
    </w:p>
    <w:p>
      <w:pPr>
        <w:pStyle w:val="ManualHeading3"/>
        <w:rPr>
          <w:bCs/>
          <w:noProof/>
          <w:szCs w:val="24"/>
        </w:rPr>
      </w:pPr>
      <w:r>
        <w:rPr>
          <w:noProof/>
        </w:rPr>
        <w:t>1.5.2.</w:t>
      </w:r>
      <w:r>
        <w:rPr>
          <w:noProof/>
        </w:rPr>
        <w:tab/>
        <w:t>Valore aggiunto dell'intervento dell'Unione europea</w:t>
      </w:r>
    </w:p>
    <w:p>
      <w:pPr>
        <w:pStyle w:val="Text1"/>
        <w:pBdr>
          <w:top w:val="single" w:sz="4" w:space="1" w:color="auto"/>
          <w:left w:val="single" w:sz="4" w:space="4" w:color="auto"/>
          <w:bottom w:val="single" w:sz="4" w:space="1" w:color="auto"/>
          <w:right w:val="single" w:sz="4" w:space="4" w:color="auto"/>
        </w:pBdr>
        <w:rPr>
          <w:noProof/>
        </w:rPr>
      </w:pPr>
      <w:r>
        <w:rPr>
          <w:noProof/>
        </w:rPr>
        <w:t>N/P</w:t>
      </w:r>
    </w:p>
    <w:p>
      <w:pPr>
        <w:pStyle w:val="ManualHeading3"/>
        <w:rPr>
          <w:bCs/>
          <w:noProof/>
          <w:szCs w:val="24"/>
        </w:rPr>
      </w:pPr>
      <w:r>
        <w:rPr>
          <w:noProof/>
        </w:rPr>
        <w:t>1.5.3.</w:t>
      </w:r>
      <w:r>
        <w:rPr>
          <w:noProof/>
        </w:rPr>
        <w:tab/>
        <w:t>Insegnamenti tratti da esperienze analoghe</w:t>
      </w:r>
    </w:p>
    <w:p>
      <w:pPr>
        <w:pStyle w:val="Text1"/>
        <w:pBdr>
          <w:top w:val="single" w:sz="4" w:space="1" w:color="auto"/>
          <w:left w:val="single" w:sz="4" w:space="4" w:color="auto"/>
          <w:bottom w:val="single" w:sz="4" w:space="1" w:color="auto"/>
          <w:right w:val="single" w:sz="4" w:space="4" w:color="auto"/>
        </w:pBdr>
        <w:rPr>
          <w:noProof/>
        </w:rPr>
      </w:pPr>
      <w:r>
        <w:rPr>
          <w:noProof/>
        </w:rPr>
        <w:t>N/P</w:t>
      </w:r>
    </w:p>
    <w:p>
      <w:pPr>
        <w:pStyle w:val="ManualHeading3"/>
        <w:rPr>
          <w:bCs/>
          <w:noProof/>
          <w:szCs w:val="24"/>
        </w:rPr>
      </w:pPr>
      <w:r>
        <w:rPr>
          <w:noProof/>
        </w:rPr>
        <w:t>1.5.4.</w:t>
      </w:r>
      <w:r>
        <w:rPr>
          <w:noProof/>
        </w:rPr>
        <w:tab/>
        <w:t>Compatibilità ed eventuale sinergia con altri strumenti pertinenti</w:t>
      </w:r>
    </w:p>
    <w:p>
      <w:pPr>
        <w:pStyle w:val="Text1"/>
        <w:pBdr>
          <w:top w:val="single" w:sz="4" w:space="1" w:color="auto"/>
          <w:left w:val="single" w:sz="4" w:space="4" w:color="auto"/>
          <w:bottom w:val="single" w:sz="4" w:space="1" w:color="auto"/>
          <w:right w:val="single" w:sz="4" w:space="4" w:color="auto"/>
        </w:pBdr>
        <w:rPr>
          <w:noProof/>
        </w:rPr>
      </w:pPr>
      <w:r>
        <w:rPr>
          <w:noProof/>
        </w:rPr>
        <w:t>N/P</w:t>
      </w:r>
    </w:p>
    <w:p>
      <w:pPr>
        <w:pStyle w:val="ManualHeading2"/>
        <w:rPr>
          <w:bCs/>
          <w:noProof/>
          <w:szCs w:val="24"/>
        </w:rPr>
      </w:pPr>
      <w:r>
        <w:rPr>
          <w:noProof/>
        </w:rPr>
        <w:t>1.6.</w:t>
      </w:r>
      <w:r>
        <w:rPr>
          <w:noProof/>
        </w:rPr>
        <w:tab/>
        <w:t xml:space="preserve">Durata e incidenza finanziaria </w:t>
      </w:r>
    </w:p>
    <w:p>
      <w:pPr>
        <w:pStyle w:val="Text1"/>
        <w:rPr>
          <w:noProof/>
        </w:rPr>
      </w:pPr>
      <w:r>
        <w:rPr>
          <w:noProof/>
        </w:rPr>
        <w:sym w:font="Wingdings" w:char="F0A8"/>
      </w:r>
      <w:r>
        <w:rPr>
          <w:b/>
          <w:i/>
          <w:noProof/>
        </w:rPr>
        <w:t xml:space="preserve"> </w:t>
      </w:r>
      <w:r>
        <w:rPr>
          <w:noProof/>
        </w:rPr>
        <w:t xml:space="preserve">Proposta/iniziativa di </w:t>
      </w:r>
      <w:r>
        <w:rPr>
          <w:b/>
          <w:noProof/>
        </w:rPr>
        <w:t xml:space="preserve">durata limitata </w:t>
      </w:r>
    </w:p>
    <w:p>
      <w:pPr>
        <w:pStyle w:val="ListDash2"/>
        <w:rPr>
          <w:noProof/>
        </w:rPr>
      </w:pPr>
      <w:r>
        <w:rPr>
          <w:noProof/>
        </w:rPr>
        <w:sym w:font="Wingdings" w:char="F078"/>
      </w:r>
      <w:r>
        <w:rPr>
          <w:noProof/>
        </w:rPr>
        <w:tab/>
        <w:t>Proposta/iniziativa in vigore dal 1° gennaio 2017 al 31 dicembre 2023</w:t>
      </w:r>
    </w:p>
    <w:p>
      <w:pPr>
        <w:pStyle w:val="ListDash2"/>
        <w:rPr>
          <w:noProof/>
        </w:rPr>
      </w:pPr>
      <w:r>
        <w:rPr>
          <w:noProof/>
        </w:rPr>
        <w:sym w:font="Wingdings" w:char="F078"/>
      </w:r>
      <w:r>
        <w:rPr>
          <w:noProof/>
        </w:rPr>
        <w:tab/>
        <w:t>Incidenza finanziaria dal 2017 al 2020</w:t>
      </w:r>
    </w:p>
    <w:p>
      <w:pPr>
        <w:pStyle w:val="Text1"/>
        <w:rPr>
          <w:noProof/>
        </w:rPr>
      </w:pPr>
      <w:r>
        <w:rPr>
          <w:noProof/>
        </w:rPr>
        <w:sym w:font="Wingdings" w:char="F0A8"/>
      </w:r>
      <w:r>
        <w:rPr>
          <w:b/>
          <w:i/>
          <w:noProof/>
        </w:rPr>
        <w:t xml:space="preserve"> </w:t>
      </w:r>
      <w:r>
        <w:rPr>
          <w:noProof/>
        </w:rPr>
        <w:t xml:space="preserve">Proposta/iniziativa di </w:t>
      </w:r>
      <w:r>
        <w:rPr>
          <w:b/>
          <w:noProof/>
        </w:rPr>
        <w:t>durata illimitata</w:t>
      </w:r>
    </w:p>
    <w:p>
      <w:pPr>
        <w:pStyle w:val="ListDash1"/>
        <w:rPr>
          <w:noProof/>
        </w:rPr>
      </w:pPr>
      <w:r>
        <w:rPr>
          <w:noProof/>
        </w:rPr>
        <w:t>Attuazione con un periodo di avviamento dal AAAA al AAAA</w:t>
      </w:r>
    </w:p>
    <w:p>
      <w:pPr>
        <w:pStyle w:val="ListDash1"/>
        <w:rPr>
          <w:noProof/>
        </w:rPr>
      </w:pPr>
      <w:r>
        <w:rPr>
          <w:noProof/>
        </w:rPr>
        <w:t>e successivo funzionamento a pieno ritmo.</w:t>
      </w:r>
    </w:p>
    <w:p>
      <w:pPr>
        <w:pStyle w:val="ManualHeading2"/>
        <w:rPr>
          <w:bCs/>
          <w:noProof/>
          <w:szCs w:val="24"/>
        </w:rPr>
      </w:pPr>
      <w:r>
        <w:rPr>
          <w:noProof/>
        </w:rPr>
        <w:t>1.7.</w:t>
      </w:r>
      <w:r>
        <w:rPr>
          <w:noProof/>
        </w:rPr>
        <w:tab/>
        <w:t>Modalità di gestione previste</w:t>
      </w:r>
      <w:r>
        <w:rPr>
          <w:rStyle w:val="FootnoteReference"/>
          <w:noProof/>
        </w:rPr>
        <w:footnoteReference w:id="9"/>
      </w:r>
      <w:r>
        <w:rPr>
          <w:rStyle w:val="FootnoteReference"/>
          <w:noProof/>
        </w:rPr>
        <w:t xml:space="preserve"> </w:t>
      </w:r>
    </w:p>
    <w:p>
      <w:pPr>
        <w:pStyle w:val="Text1"/>
        <w:rPr>
          <w:noProof/>
        </w:rPr>
      </w:pPr>
      <w:r>
        <w:rPr>
          <w:noProof/>
        </w:rPr>
        <w:sym w:font="Wingdings" w:char="F0A8"/>
      </w:r>
      <w:r>
        <w:rPr>
          <w:i/>
          <w:noProof/>
        </w:rPr>
        <w:t xml:space="preserve"> </w:t>
      </w:r>
      <w:r>
        <w:rPr>
          <w:b/>
          <w:noProof/>
        </w:rPr>
        <w:t>Gestione diretta</w:t>
      </w:r>
      <w:r>
        <w:rPr>
          <w:noProof/>
        </w:rPr>
        <w:t xml:space="preserve"> a opera della Commissione</w:t>
      </w:r>
    </w:p>
    <w:p>
      <w:pPr>
        <w:pStyle w:val="ListDash2"/>
        <w:rPr>
          <w:rFonts w:cs="EUAlbertina"/>
          <w:noProof/>
        </w:rPr>
      </w:pPr>
      <w:r>
        <w:rPr>
          <w:noProof/>
        </w:rPr>
        <w:sym w:font="Wingdings" w:char="F0A8"/>
      </w:r>
      <w:r>
        <w:rPr>
          <w:noProof/>
        </w:rPr>
        <w:t xml:space="preserve"> a opera dei suoi servizi, compreso il personale delle delegazioni dell'Unione; </w:t>
      </w:r>
    </w:p>
    <w:p>
      <w:pPr>
        <w:pStyle w:val="ListDash2"/>
        <w:rPr>
          <w:noProof/>
        </w:rPr>
      </w:pPr>
      <w:r>
        <w:rPr>
          <w:noProof/>
        </w:rPr>
        <w:sym w:font="Wingdings" w:char="F0A8"/>
      </w:r>
      <w:r>
        <w:rPr>
          <w:noProof/>
        </w:rPr>
        <w:tab/>
        <w:t xml:space="preserve">a opera delle agenzie esecutive. </w:t>
      </w:r>
    </w:p>
    <w:p>
      <w:pPr>
        <w:pStyle w:val="Text1"/>
        <w:rPr>
          <w:noProof/>
        </w:rPr>
      </w:pPr>
      <w:r>
        <w:rPr>
          <w:noProof/>
        </w:rPr>
        <w:sym w:font="Wingdings" w:char="F078"/>
      </w:r>
      <w:r>
        <w:rPr>
          <w:b/>
          <w:i/>
          <w:noProof/>
        </w:rPr>
        <w:t xml:space="preserve"> </w:t>
      </w:r>
      <w:r>
        <w:rPr>
          <w:b/>
          <w:noProof/>
        </w:rPr>
        <w:t>Gestione concorrente</w:t>
      </w:r>
      <w:r>
        <w:rPr>
          <w:noProof/>
        </w:rPr>
        <w:t xml:space="preserve"> con gli Stati membri </w:t>
      </w:r>
    </w:p>
    <w:p>
      <w:pPr>
        <w:pStyle w:val="Text1"/>
        <w:rPr>
          <w:noProof/>
        </w:rPr>
      </w:pPr>
      <w:r>
        <w:rPr>
          <w:noProof/>
        </w:rPr>
        <w:sym w:font="Wingdings" w:char="F0A8"/>
      </w:r>
      <w:r>
        <w:rPr>
          <w:i/>
          <w:noProof/>
        </w:rPr>
        <w:t xml:space="preserve"> </w:t>
      </w:r>
      <w:r>
        <w:rPr>
          <w:b/>
          <w:noProof/>
        </w:rPr>
        <w:t>Gestione indiretta</w:t>
      </w:r>
      <w:r>
        <w:rPr>
          <w:noProof/>
        </w:rPr>
        <w:t xml:space="preserve"> con compiti di esecuzione del bilancio affidati:</w:t>
      </w:r>
    </w:p>
    <w:p>
      <w:pPr>
        <w:pStyle w:val="ListDash2"/>
        <w:rPr>
          <w:noProof/>
        </w:rPr>
      </w:pPr>
      <w:r>
        <w:rPr>
          <w:noProof/>
        </w:rPr>
        <w:sym w:font="Wingdings" w:char="F0A8"/>
      </w:r>
      <w:r>
        <w:rPr>
          <w:noProof/>
        </w:rPr>
        <w:t xml:space="preserve"> a paesi terzi o organismi da questi designati;</w:t>
      </w:r>
    </w:p>
    <w:p>
      <w:pPr>
        <w:pStyle w:val="ListDash2"/>
        <w:rPr>
          <w:noProof/>
        </w:rPr>
      </w:pPr>
      <w:r>
        <w:rPr>
          <w:noProof/>
        </w:rPr>
        <w:sym w:font="Wingdings" w:char="F0A8"/>
      </w:r>
      <w:r>
        <w:rPr>
          <w:noProof/>
        </w:rPr>
        <w:t xml:space="preserve"> a organizzazioni internazionali e rispettive agenzie (specificare);</w:t>
      </w:r>
    </w:p>
    <w:p>
      <w:pPr>
        <w:pStyle w:val="ListDash2"/>
        <w:rPr>
          <w:noProof/>
        </w:rPr>
      </w:pPr>
      <w:r>
        <w:rPr>
          <w:noProof/>
        </w:rPr>
        <w:sym w:font="Wingdings" w:char="F0A8"/>
      </w:r>
      <w:r>
        <w:rPr>
          <w:noProof/>
        </w:rPr>
        <w:t xml:space="preserve"> alla BEI e al Fondo europeo per gli investimenti;</w:t>
      </w:r>
    </w:p>
    <w:p>
      <w:pPr>
        <w:pStyle w:val="ListDash2"/>
        <w:rPr>
          <w:noProof/>
        </w:rPr>
      </w:pPr>
      <w:r>
        <w:rPr>
          <w:noProof/>
        </w:rPr>
        <w:sym w:font="Wingdings" w:char="F0A8"/>
      </w:r>
      <w:r>
        <w:rPr>
          <w:noProof/>
        </w:rPr>
        <w:t xml:space="preserve"> agli organismi di cui agli articoli 208 e 209 del regolamento finanziario;</w:t>
      </w:r>
    </w:p>
    <w:p>
      <w:pPr>
        <w:pStyle w:val="ListDash2"/>
        <w:rPr>
          <w:noProof/>
        </w:rPr>
      </w:pPr>
      <w:r>
        <w:rPr>
          <w:noProof/>
        </w:rPr>
        <w:sym w:font="Wingdings" w:char="F0A8"/>
      </w:r>
      <w:r>
        <w:rPr>
          <w:noProof/>
        </w:rPr>
        <w:t xml:space="preserve"> a organismi di diritto pubblico;</w:t>
      </w:r>
    </w:p>
    <w:p>
      <w:pPr>
        <w:pStyle w:val="ListDash2"/>
        <w:rPr>
          <w:noProof/>
        </w:rPr>
      </w:pPr>
      <w:r>
        <w:rPr>
          <w:noProof/>
        </w:rPr>
        <w:sym w:font="Wingdings" w:char="F0A8"/>
      </w:r>
      <w:r>
        <w:rPr>
          <w:noProof/>
        </w:rPr>
        <w:t xml:space="preserve"> a organismi di diritto privato investiti di attribuzioni di servizio pubblico nella misura in cui presentano sufficienti garanzie finanziarie;</w:t>
      </w:r>
    </w:p>
    <w:p>
      <w:pPr>
        <w:pStyle w:val="ListDash2"/>
        <w:rPr>
          <w:noProof/>
        </w:rPr>
      </w:pPr>
      <w:r>
        <w:rPr>
          <w:noProof/>
        </w:rPr>
        <w:sym w:font="Wingdings" w:char="F0A8"/>
      </w:r>
      <w:r>
        <w:rPr>
          <w:noProof/>
        </w:rPr>
        <w:t xml:space="preserve"> a organismi di diritto privato di uno Stato membro preposti all'attuazione di un partenariato pubblico-privato e che presentano sufficienti garanzie finanziarie;</w:t>
      </w:r>
    </w:p>
    <w:p>
      <w:pPr>
        <w:pStyle w:val="ListDash2"/>
        <w:rPr>
          <w:noProof/>
        </w:rPr>
      </w:pPr>
      <w:r>
        <w:rPr>
          <w:noProof/>
        </w:rPr>
        <w:sym w:font="Wingdings" w:char="F0A8"/>
      </w:r>
      <w:r>
        <w:rPr>
          <w:noProof/>
        </w:rPr>
        <w:t xml:space="preserve"> a persone incaricate di attuare azioni specifiche nel settore della PESC a norma del titolo V del TUE, che devono essere indicate nel pertinente atto di base.</w:t>
      </w:r>
    </w:p>
    <w:p>
      <w:pPr>
        <w:pStyle w:val="ListDash2"/>
        <w:rPr>
          <w:i/>
          <w:noProof/>
          <w:sz w:val="18"/>
          <w:u w:val="single"/>
        </w:rPr>
      </w:pPr>
      <w:r>
        <w:rPr>
          <w:i/>
          <w:noProof/>
          <w:sz w:val="18"/>
        </w:rPr>
        <w:t>Se è indicata più di una modalità, fornire ulteriori informazioni alla voce "Osservazioni".</w:t>
      </w:r>
    </w:p>
    <w:p>
      <w:pPr>
        <w:rPr>
          <w:noProof/>
        </w:rPr>
      </w:pPr>
      <w:r>
        <w:rPr>
          <w:noProof/>
        </w:rPr>
        <w:t xml:space="preserve">Osservazioni </w:t>
      </w:r>
    </w:p>
    <w:p>
      <w:pPr>
        <w:pBdr>
          <w:top w:val="single" w:sz="4" w:space="1" w:color="auto"/>
          <w:left w:val="single" w:sz="4" w:space="4" w:color="auto"/>
          <w:bottom w:val="single" w:sz="4" w:space="1" w:color="auto"/>
          <w:right w:val="single" w:sz="4" w:space="4" w:color="auto"/>
        </w:pBdr>
        <w:rPr>
          <w:noProof/>
        </w:rPr>
      </w:pPr>
      <w:r>
        <w:rPr>
          <w:noProof/>
        </w:rPr>
        <w:t>N/P</w:t>
      </w:r>
    </w:p>
    <w:p>
      <w:pPr>
        <w:pStyle w:val="ManualHeading1"/>
        <w:rPr>
          <w:bCs/>
          <w:noProof/>
          <w:szCs w:val="24"/>
        </w:rPr>
      </w:pPr>
      <w:r>
        <w:rPr>
          <w:noProof/>
        </w:rPr>
        <w:t>2.</w:t>
      </w:r>
      <w:r>
        <w:rPr>
          <w:noProof/>
        </w:rPr>
        <w:tab/>
        <w:t xml:space="preserve">MISURE DI GESTIONE </w:t>
      </w:r>
    </w:p>
    <w:p>
      <w:pPr>
        <w:pStyle w:val="ManualHeading2"/>
        <w:rPr>
          <w:noProof/>
        </w:rPr>
      </w:pPr>
      <w:r>
        <w:rPr>
          <w:noProof/>
        </w:rPr>
        <w:t>2.1.</w:t>
      </w:r>
      <w:r>
        <w:rPr>
          <w:noProof/>
        </w:rPr>
        <w:tab/>
        <w:t xml:space="preserve">Disposizioni in materia di monitoraggio e di relazioni </w:t>
      </w:r>
    </w:p>
    <w:p>
      <w:pPr>
        <w:pStyle w:val="Text1"/>
        <w:rPr>
          <w:i/>
          <w:noProof/>
          <w:sz w:val="20"/>
          <w:u w:val="single"/>
        </w:rPr>
      </w:pPr>
      <w:r>
        <w:rPr>
          <w:i/>
          <w:noProof/>
          <w:sz w:val="20"/>
        </w:rPr>
        <w:t>Precisare frequenza e condizioni</w:t>
      </w:r>
    </w:p>
    <w:p>
      <w:pPr>
        <w:pStyle w:val="Text1"/>
        <w:pBdr>
          <w:top w:val="single" w:sz="4" w:space="1" w:color="auto"/>
          <w:left w:val="single" w:sz="4" w:space="4" w:color="auto"/>
          <w:bottom w:val="single" w:sz="4" w:space="1" w:color="auto"/>
          <w:right w:val="single" w:sz="4" w:space="4" w:color="auto"/>
        </w:pBdr>
        <w:rPr>
          <w:noProof/>
        </w:rPr>
      </w:pPr>
      <w:r>
        <w:rPr>
          <w:noProof/>
        </w:rPr>
        <w:t>N/P</w:t>
      </w:r>
    </w:p>
    <w:p>
      <w:pPr>
        <w:pStyle w:val="ManualHeading2"/>
        <w:rPr>
          <w:bCs/>
          <w:noProof/>
          <w:szCs w:val="24"/>
        </w:rPr>
      </w:pPr>
      <w:r>
        <w:rPr>
          <w:noProof/>
        </w:rPr>
        <w:t>2.2.</w:t>
      </w:r>
      <w:r>
        <w:rPr>
          <w:noProof/>
        </w:rPr>
        <w:tab/>
        <w:t xml:space="preserve">Sistema di gestione e di controllo </w:t>
      </w:r>
    </w:p>
    <w:p>
      <w:pPr>
        <w:pStyle w:val="ManualHeading3"/>
        <w:rPr>
          <w:noProof/>
        </w:rPr>
      </w:pPr>
      <w:r>
        <w:rPr>
          <w:noProof/>
        </w:rPr>
        <w:t>2.2.1.</w:t>
      </w:r>
      <w:r>
        <w:rPr>
          <w:noProof/>
        </w:rPr>
        <w:tab/>
        <w:t xml:space="preserve">Rischi individuati </w:t>
      </w:r>
    </w:p>
    <w:p>
      <w:pPr>
        <w:pStyle w:val="Text1"/>
        <w:pBdr>
          <w:top w:val="single" w:sz="4" w:space="1" w:color="auto"/>
          <w:left w:val="single" w:sz="4" w:space="4" w:color="auto"/>
          <w:bottom w:val="single" w:sz="4" w:space="1" w:color="auto"/>
          <w:right w:val="single" w:sz="4" w:space="4" w:color="auto"/>
        </w:pBdr>
        <w:rPr>
          <w:noProof/>
        </w:rPr>
      </w:pPr>
      <w:r>
        <w:rPr>
          <w:noProof/>
        </w:rPr>
        <w:t>N/P</w:t>
      </w:r>
    </w:p>
    <w:p>
      <w:pPr>
        <w:pStyle w:val="ManualHeading3"/>
        <w:rPr>
          <w:bCs/>
          <w:noProof/>
          <w:szCs w:val="24"/>
        </w:rPr>
      </w:pPr>
      <w:r>
        <w:rPr>
          <w:noProof/>
        </w:rPr>
        <w:t>2.2.2.</w:t>
      </w:r>
      <w:r>
        <w:rPr>
          <w:noProof/>
        </w:rPr>
        <w:tab/>
        <w:t>Informazioni riguardanti il sistema di controllo interno istituito</w:t>
      </w:r>
    </w:p>
    <w:p>
      <w:pPr>
        <w:pStyle w:val="Text1"/>
        <w:pBdr>
          <w:top w:val="single" w:sz="4" w:space="1" w:color="auto"/>
          <w:left w:val="single" w:sz="4" w:space="4" w:color="auto"/>
          <w:bottom w:val="single" w:sz="4" w:space="1" w:color="auto"/>
          <w:right w:val="single" w:sz="4" w:space="4" w:color="auto"/>
        </w:pBdr>
        <w:rPr>
          <w:noProof/>
        </w:rPr>
      </w:pPr>
      <w:r>
        <w:rPr>
          <w:noProof/>
        </w:rPr>
        <w:t>N/P</w:t>
      </w:r>
    </w:p>
    <w:p>
      <w:pPr>
        <w:pStyle w:val="ManualHeading3"/>
        <w:rPr>
          <w:noProof/>
        </w:rPr>
      </w:pPr>
      <w:r>
        <w:rPr>
          <w:noProof/>
        </w:rPr>
        <w:t>2.2.3.</w:t>
      </w:r>
      <w:r>
        <w:rPr>
          <w:noProof/>
        </w:rPr>
        <w:tab/>
        <w:t xml:space="preserve">Stima dei costi e dei benefici dei controlli e valutazione del previsto livello di rischio di errore </w:t>
      </w:r>
    </w:p>
    <w:p>
      <w:pPr>
        <w:pStyle w:val="Text1"/>
        <w:pBdr>
          <w:top w:val="single" w:sz="4" w:space="1" w:color="auto"/>
          <w:left w:val="single" w:sz="4" w:space="4" w:color="auto"/>
          <w:bottom w:val="single" w:sz="4" w:space="1" w:color="auto"/>
          <w:right w:val="single" w:sz="4" w:space="4" w:color="auto"/>
        </w:pBdr>
        <w:rPr>
          <w:noProof/>
        </w:rPr>
      </w:pPr>
      <w:r>
        <w:rPr>
          <w:noProof/>
        </w:rPr>
        <w:t>N/P</w:t>
      </w:r>
    </w:p>
    <w:p>
      <w:pPr>
        <w:pStyle w:val="ManualHeading2"/>
        <w:rPr>
          <w:bCs/>
          <w:noProof/>
          <w:szCs w:val="24"/>
        </w:rPr>
      </w:pPr>
      <w:r>
        <w:rPr>
          <w:noProof/>
        </w:rPr>
        <w:t>2.3.</w:t>
      </w:r>
      <w:r>
        <w:rPr>
          <w:noProof/>
        </w:rPr>
        <w:tab/>
        <w:t xml:space="preserve">Misure di prevenzione delle frodi e delle irregolarità </w:t>
      </w:r>
    </w:p>
    <w:p>
      <w:pPr>
        <w:pStyle w:val="Text1"/>
        <w:rPr>
          <w:i/>
          <w:noProof/>
          <w:sz w:val="20"/>
        </w:rPr>
      </w:pPr>
      <w:r>
        <w:rPr>
          <w:i/>
          <w:noProof/>
          <w:sz w:val="20"/>
        </w:rPr>
        <w:t>Precisare le misure di prevenzione e tutela in vigore o previste</w:t>
      </w:r>
    </w:p>
    <w:p>
      <w:pPr>
        <w:pStyle w:val="Text1"/>
        <w:pBdr>
          <w:top w:val="single" w:sz="4" w:space="1" w:color="auto"/>
          <w:left w:val="single" w:sz="4" w:space="4" w:color="auto"/>
          <w:bottom w:val="single" w:sz="4" w:space="1" w:color="auto"/>
          <w:right w:val="single" w:sz="4" w:space="4" w:color="auto"/>
        </w:pBdr>
        <w:rPr>
          <w:noProof/>
        </w:rPr>
      </w:pPr>
      <w:r>
        <w:rPr>
          <w:noProof/>
        </w:rPr>
        <w:t>N/P</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INCIDENZA FINANZIARIA PREVISTA DELLA PROPOSTA/INIZIATIVA </w:t>
      </w:r>
    </w:p>
    <w:p>
      <w:pPr>
        <w:pStyle w:val="ManualHeading2"/>
        <w:rPr>
          <w:noProof/>
        </w:rPr>
      </w:pPr>
      <w:r>
        <w:rPr>
          <w:noProof/>
        </w:rPr>
        <w:t>3.1.</w:t>
      </w:r>
      <w:r>
        <w:rPr>
          <w:noProof/>
        </w:rPr>
        <w:tab/>
        <w:t xml:space="preserve">Rubrica/rubriche del quadro finanziario pluriennale e linea/linee di bilancio di spesa interessate </w:t>
      </w:r>
    </w:p>
    <w:p>
      <w:pPr>
        <w:pStyle w:val="ListBullet1"/>
        <w:rPr>
          <w:noProof/>
        </w:rPr>
      </w:pPr>
      <w:r>
        <w:rPr>
          <w:noProof/>
        </w:rPr>
        <w:t xml:space="preserve">Linee di bilancio esistenti </w:t>
      </w:r>
    </w:p>
    <w:p>
      <w:pPr>
        <w:pStyle w:val="Text1"/>
        <w:rPr>
          <w:noProof/>
        </w:rPr>
      </w:pPr>
      <w:r>
        <w:rPr>
          <w:noProof/>
          <w:u w:val="single"/>
        </w:rPr>
        <w:t>Secondo l'ordine</w:t>
      </w:r>
      <w:r>
        <w:rPr>
          <w:noProof/>
        </w:rPr>
        <w:t xml:space="preserve"> 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58"/>
        <w:gridCol w:w="1082"/>
        <w:gridCol w:w="956"/>
        <w:gridCol w:w="1080"/>
        <w:gridCol w:w="956"/>
        <w:gridCol w:w="1448"/>
      </w:tblGrid>
      <w:tr>
        <w:tc>
          <w:tcPr>
            <w:tcW w:w="1080" w:type="dxa"/>
            <w:vMerge w:val="restart"/>
            <w:vAlign w:val="center"/>
          </w:tcPr>
          <w:p>
            <w:pPr>
              <w:spacing w:before="60" w:after="60"/>
              <w:jc w:val="center"/>
              <w:rPr>
                <w:noProof/>
              </w:rPr>
            </w:pPr>
            <w:r>
              <w:rPr>
                <w:noProof/>
                <w:sz w:val="18"/>
              </w:rPr>
              <w:t>Rubrica del quadro finanziario pluriennale</w:t>
            </w:r>
          </w:p>
        </w:tc>
        <w:tc>
          <w:tcPr>
            <w:tcW w:w="3958" w:type="dxa"/>
            <w:vAlign w:val="center"/>
          </w:tcPr>
          <w:p>
            <w:pPr>
              <w:spacing w:before="60" w:after="60"/>
              <w:jc w:val="center"/>
              <w:rPr>
                <w:noProof/>
              </w:rPr>
            </w:pPr>
            <w:r>
              <w:rPr>
                <w:noProof/>
                <w:sz w:val="20"/>
              </w:rPr>
              <w:t>Linea di bilancio</w:t>
            </w:r>
          </w:p>
        </w:tc>
        <w:tc>
          <w:tcPr>
            <w:tcW w:w="1082" w:type="dxa"/>
            <w:vAlign w:val="center"/>
          </w:tcPr>
          <w:p>
            <w:pPr>
              <w:spacing w:before="60" w:after="60"/>
              <w:jc w:val="center"/>
              <w:rPr>
                <w:noProof/>
              </w:rPr>
            </w:pPr>
            <w:r>
              <w:rPr>
                <w:noProof/>
                <w:sz w:val="18"/>
              </w:rPr>
              <w:t>Natura della</w:t>
            </w:r>
            <w:r>
              <w:rPr>
                <w:noProof/>
              </w:rPr>
              <w:br/>
            </w:r>
            <w:r>
              <w:rPr>
                <w:noProof/>
                <w:sz w:val="18"/>
              </w:rPr>
              <w:t>spesa</w:t>
            </w:r>
          </w:p>
        </w:tc>
        <w:tc>
          <w:tcPr>
            <w:tcW w:w="4440" w:type="dxa"/>
            <w:gridSpan w:val="4"/>
            <w:vAlign w:val="center"/>
          </w:tcPr>
          <w:p>
            <w:pPr>
              <w:spacing w:before="60" w:after="60"/>
              <w:jc w:val="center"/>
              <w:rPr>
                <w:noProof/>
              </w:rPr>
            </w:pPr>
            <w:r>
              <w:rPr>
                <w:noProof/>
                <w:sz w:val="20"/>
              </w:rPr>
              <w:t xml:space="preserve">Partecipazione </w:t>
            </w:r>
          </w:p>
        </w:tc>
      </w:tr>
      <w:tr>
        <w:tc>
          <w:tcPr>
            <w:tcW w:w="1080" w:type="dxa"/>
            <w:vMerge/>
            <w:vAlign w:val="center"/>
          </w:tcPr>
          <w:p>
            <w:pPr>
              <w:jc w:val="center"/>
              <w:rPr>
                <w:noProof/>
              </w:rPr>
            </w:pPr>
          </w:p>
        </w:tc>
        <w:tc>
          <w:tcPr>
            <w:tcW w:w="3958" w:type="dxa"/>
            <w:vAlign w:val="center"/>
          </w:tcPr>
          <w:p>
            <w:pPr>
              <w:rPr>
                <w:noProof/>
              </w:rPr>
            </w:pPr>
            <w:r>
              <w:rPr>
                <w:noProof/>
                <w:sz w:val="20"/>
              </w:rPr>
              <w:t>Numero</w:t>
            </w:r>
            <w:r>
              <w:rPr>
                <w:noProof/>
              </w:rPr>
              <w:br/>
            </w:r>
            <w:r>
              <w:rPr>
                <w:noProof/>
                <w:sz w:val="20"/>
              </w:rPr>
              <w:t>[Rubrica………………………...…………]</w:t>
            </w:r>
          </w:p>
        </w:tc>
        <w:tc>
          <w:tcPr>
            <w:tcW w:w="1082" w:type="dxa"/>
            <w:vAlign w:val="center"/>
          </w:tcPr>
          <w:p>
            <w:pPr>
              <w:jc w:val="center"/>
              <w:rPr>
                <w:noProof/>
              </w:rPr>
            </w:pPr>
            <w:r>
              <w:rPr>
                <w:noProof/>
              </w:rPr>
              <w:t>Diss./Non diss.</w:t>
            </w:r>
            <w:r>
              <w:rPr>
                <w:rStyle w:val="FootnoteReference"/>
                <w:noProof/>
              </w:rPr>
              <w:footnoteReference w:id="10"/>
            </w:r>
          </w:p>
        </w:tc>
        <w:tc>
          <w:tcPr>
            <w:tcW w:w="956" w:type="dxa"/>
            <w:vAlign w:val="center"/>
          </w:tcPr>
          <w:p>
            <w:pPr>
              <w:jc w:val="center"/>
              <w:rPr>
                <w:noProof/>
              </w:rPr>
            </w:pPr>
            <w:r>
              <w:rPr>
                <w:noProof/>
                <w:sz w:val="18"/>
              </w:rPr>
              <w:t>di paesi EFTA</w:t>
            </w:r>
            <w:r>
              <w:rPr>
                <w:rStyle w:val="FootnoteReference"/>
                <w:noProof/>
                <w:sz w:val="18"/>
              </w:rPr>
              <w:footnoteReference w:id="11"/>
            </w:r>
          </w:p>
          <w:p>
            <w:pPr>
              <w:spacing w:before="0" w:after="0"/>
              <w:jc w:val="center"/>
              <w:rPr>
                <w:b/>
                <w:noProof/>
                <w:sz w:val="18"/>
              </w:rPr>
            </w:pPr>
          </w:p>
        </w:tc>
        <w:tc>
          <w:tcPr>
            <w:tcW w:w="1080" w:type="dxa"/>
            <w:vAlign w:val="center"/>
          </w:tcPr>
          <w:p>
            <w:pPr>
              <w:jc w:val="center"/>
              <w:rPr>
                <w:noProof/>
              </w:rPr>
            </w:pPr>
            <w:r>
              <w:rPr>
                <w:noProof/>
                <w:sz w:val="18"/>
              </w:rPr>
              <w:t>di paesi candidati</w:t>
            </w:r>
            <w:r>
              <w:rPr>
                <w:rStyle w:val="FootnoteReference"/>
                <w:noProof/>
                <w:sz w:val="18"/>
              </w:rPr>
              <w:footnoteReference w:id="12"/>
            </w:r>
          </w:p>
          <w:p>
            <w:pPr>
              <w:spacing w:before="0" w:after="0"/>
              <w:jc w:val="center"/>
              <w:rPr>
                <w:noProof/>
                <w:sz w:val="18"/>
              </w:rPr>
            </w:pPr>
          </w:p>
        </w:tc>
        <w:tc>
          <w:tcPr>
            <w:tcW w:w="956" w:type="dxa"/>
            <w:vAlign w:val="center"/>
          </w:tcPr>
          <w:p>
            <w:pPr>
              <w:jc w:val="center"/>
              <w:rPr>
                <w:noProof/>
                <w:sz w:val="18"/>
              </w:rPr>
            </w:pPr>
            <w:r>
              <w:rPr>
                <w:noProof/>
                <w:sz w:val="18"/>
              </w:rPr>
              <w:t>di paesi terzi</w:t>
            </w:r>
          </w:p>
        </w:tc>
        <w:tc>
          <w:tcPr>
            <w:tcW w:w="1448" w:type="dxa"/>
            <w:vAlign w:val="center"/>
          </w:tcPr>
          <w:p>
            <w:pPr>
              <w:jc w:val="center"/>
              <w:rPr>
                <w:noProof/>
              </w:rPr>
            </w:pPr>
            <w:r>
              <w:rPr>
                <w:noProof/>
                <w:sz w:val="16"/>
              </w:rPr>
              <w:t xml:space="preserve">ai sensi dell'articolo 21, paragrafo 2, lettera b), del regolamento finanziario </w:t>
            </w:r>
          </w:p>
        </w:tc>
      </w:tr>
      <w:tr>
        <w:tc>
          <w:tcPr>
            <w:tcW w:w="1080" w:type="dxa"/>
            <w:shd w:val="clear" w:color="auto" w:fill="auto"/>
            <w:vAlign w:val="center"/>
          </w:tcPr>
          <w:p>
            <w:pPr>
              <w:jc w:val="center"/>
              <w:rPr>
                <w:noProof/>
                <w:color w:val="0000FF"/>
                <w:sz w:val="22"/>
              </w:rPr>
            </w:pPr>
            <w:r>
              <w:rPr>
                <w:noProof/>
                <w:sz w:val="22"/>
              </w:rPr>
              <w:t>1 Crescita intelligente e inclusiva</w:t>
            </w:r>
          </w:p>
        </w:tc>
        <w:tc>
          <w:tcPr>
            <w:tcW w:w="3958" w:type="dxa"/>
            <w:vAlign w:val="center"/>
          </w:tcPr>
          <w:p>
            <w:pPr>
              <w:spacing w:after="60"/>
              <w:rPr>
                <w:noProof/>
                <w:sz w:val="22"/>
              </w:rPr>
            </w:pPr>
            <w:r>
              <w:rPr>
                <w:noProof/>
                <w:sz w:val="22"/>
              </w:rPr>
              <w:t>04 02 60 - Fondo sociale europeo - Regioni meno sviluppate - Obiettivo "Investimenti a favore della crescita e dell'occupazione"</w:t>
            </w:r>
          </w:p>
          <w:p>
            <w:pPr>
              <w:spacing w:after="60"/>
              <w:rPr>
                <w:noProof/>
                <w:sz w:val="22"/>
              </w:rPr>
            </w:pPr>
            <w:r>
              <w:rPr>
                <w:noProof/>
                <w:sz w:val="22"/>
              </w:rPr>
              <w:t>04 02 61 - Fondo sociale europeo - Regioni in transizione - Obiettivo "Investimenti a favore della crescita e dell'occupazione"</w:t>
            </w:r>
          </w:p>
          <w:p>
            <w:pPr>
              <w:spacing w:after="60"/>
              <w:rPr>
                <w:noProof/>
                <w:sz w:val="22"/>
              </w:rPr>
            </w:pPr>
            <w:r>
              <w:rPr>
                <w:noProof/>
                <w:sz w:val="22"/>
              </w:rPr>
              <w:t>04 02 62 - Fondo sociale europeo - Regioni più sviluppate - Obiettivo "Investimenti a favore della crescita e dell'occupazione"</w:t>
            </w:r>
          </w:p>
          <w:p>
            <w:pPr>
              <w:spacing w:after="60"/>
              <w:rPr>
                <w:noProof/>
              </w:rPr>
            </w:pPr>
            <w:r>
              <w:rPr>
                <w:noProof/>
                <w:sz w:val="22"/>
              </w:rPr>
              <w:t>04 02 64 – Iniziativa a favore dell'occupazione giovanile (IOG)</w:t>
            </w:r>
          </w:p>
        </w:tc>
        <w:tc>
          <w:tcPr>
            <w:tcW w:w="1082" w:type="dxa"/>
            <w:vAlign w:val="center"/>
          </w:tcPr>
          <w:p>
            <w:pPr>
              <w:jc w:val="center"/>
              <w:rPr>
                <w:noProof/>
                <w:color w:val="0000FF"/>
                <w:sz w:val="22"/>
              </w:rPr>
            </w:pPr>
            <w:r>
              <w:rPr>
                <w:noProof/>
                <w:sz w:val="22"/>
              </w:rPr>
              <w:t>Diss.</w:t>
            </w:r>
          </w:p>
        </w:tc>
        <w:tc>
          <w:tcPr>
            <w:tcW w:w="956" w:type="dxa"/>
            <w:vAlign w:val="center"/>
          </w:tcPr>
          <w:p>
            <w:pPr>
              <w:jc w:val="center"/>
              <w:rPr>
                <w:noProof/>
                <w:sz w:val="22"/>
              </w:rPr>
            </w:pPr>
            <w:r>
              <w:rPr>
                <w:noProof/>
                <w:sz w:val="22"/>
              </w:rPr>
              <w:t>NO</w:t>
            </w:r>
          </w:p>
        </w:tc>
        <w:tc>
          <w:tcPr>
            <w:tcW w:w="1080" w:type="dxa"/>
            <w:vAlign w:val="center"/>
          </w:tcPr>
          <w:p>
            <w:pPr>
              <w:jc w:val="center"/>
              <w:rPr>
                <w:noProof/>
                <w:sz w:val="22"/>
              </w:rPr>
            </w:pPr>
            <w:r>
              <w:rPr>
                <w:noProof/>
                <w:sz w:val="22"/>
              </w:rPr>
              <w:t>NO</w:t>
            </w:r>
          </w:p>
        </w:tc>
        <w:tc>
          <w:tcPr>
            <w:tcW w:w="956" w:type="dxa"/>
            <w:vAlign w:val="center"/>
          </w:tcPr>
          <w:p>
            <w:pPr>
              <w:jc w:val="center"/>
              <w:rPr>
                <w:noProof/>
                <w:sz w:val="22"/>
              </w:rPr>
            </w:pPr>
            <w:r>
              <w:rPr>
                <w:noProof/>
                <w:sz w:val="22"/>
              </w:rPr>
              <w:t>NO</w:t>
            </w:r>
          </w:p>
        </w:tc>
        <w:tc>
          <w:tcPr>
            <w:tcW w:w="1448" w:type="dxa"/>
            <w:vAlign w:val="center"/>
          </w:tcPr>
          <w:p>
            <w:pPr>
              <w:jc w:val="center"/>
              <w:rPr>
                <w:noProof/>
                <w:sz w:val="22"/>
              </w:rPr>
            </w:pPr>
            <w:r>
              <w:rPr>
                <w:noProof/>
                <w:sz w:val="22"/>
              </w:rPr>
              <w:t>NO</w:t>
            </w:r>
          </w:p>
        </w:tc>
      </w:tr>
    </w:tbl>
    <w:p>
      <w:pPr>
        <w:rPr>
          <w:noProof/>
        </w:rPr>
      </w:pPr>
    </w:p>
    <w:p>
      <w:pPr>
        <w:pStyle w:val="ListBullet1"/>
        <w:rPr>
          <w:noProof/>
        </w:rPr>
      </w:pPr>
      <w:r>
        <w:rPr>
          <w:noProof/>
        </w:rPr>
        <w:t xml:space="preserve">Nuove linee di bilancio di cui è chiesta la creazione </w:t>
      </w:r>
    </w:p>
    <w:p>
      <w:pPr>
        <w:pStyle w:val="Text1"/>
        <w:rPr>
          <w:i/>
          <w:noProof/>
          <w:sz w:val="20"/>
        </w:rPr>
      </w:pPr>
      <w:r>
        <w:rPr>
          <w:i/>
          <w:noProof/>
          <w:u w:val="single"/>
        </w:rPr>
        <w:t>Secondo l'ordine</w:t>
      </w:r>
      <w:r>
        <w:rPr>
          <w:noProof/>
        </w:rPr>
        <w:t xml:space="preserve"> </w:t>
      </w:r>
      <w:r>
        <w:rPr>
          <w:i/>
          <w:noProof/>
        </w:rPr>
        <w:t>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Rubrica del quadro finanziario pluriennale</w:t>
            </w:r>
          </w:p>
        </w:tc>
        <w:tc>
          <w:tcPr>
            <w:tcW w:w="3960" w:type="dxa"/>
            <w:vAlign w:val="center"/>
          </w:tcPr>
          <w:p>
            <w:pPr>
              <w:spacing w:before="60" w:after="60"/>
              <w:jc w:val="center"/>
              <w:rPr>
                <w:noProof/>
              </w:rPr>
            </w:pPr>
            <w:r>
              <w:rPr>
                <w:noProof/>
                <w:sz w:val="20"/>
              </w:rPr>
              <w:t>Linea di bilancio</w:t>
            </w:r>
          </w:p>
        </w:tc>
        <w:tc>
          <w:tcPr>
            <w:tcW w:w="1080" w:type="dxa"/>
            <w:vAlign w:val="center"/>
          </w:tcPr>
          <w:p>
            <w:pPr>
              <w:spacing w:before="60" w:after="60"/>
              <w:jc w:val="center"/>
              <w:rPr>
                <w:noProof/>
              </w:rPr>
            </w:pPr>
            <w:r>
              <w:rPr>
                <w:noProof/>
                <w:sz w:val="18"/>
              </w:rPr>
              <w:t>Natura della</w:t>
            </w:r>
            <w:r>
              <w:rPr>
                <w:noProof/>
              </w:rPr>
              <w:br/>
            </w:r>
            <w:r>
              <w:rPr>
                <w:noProof/>
                <w:sz w:val="18"/>
              </w:rPr>
              <w:t>spesa</w:t>
            </w:r>
          </w:p>
        </w:tc>
        <w:tc>
          <w:tcPr>
            <w:tcW w:w="4440" w:type="dxa"/>
            <w:gridSpan w:val="4"/>
            <w:vAlign w:val="center"/>
          </w:tcPr>
          <w:p>
            <w:pPr>
              <w:spacing w:before="60" w:after="60"/>
              <w:jc w:val="center"/>
              <w:rPr>
                <w:noProof/>
              </w:rPr>
            </w:pPr>
            <w:r>
              <w:rPr>
                <w:noProof/>
                <w:sz w:val="20"/>
              </w:rPr>
              <w:t xml:space="preserve">Partecipazione </w:t>
            </w:r>
          </w:p>
        </w:tc>
      </w:tr>
      <w:tr>
        <w:tc>
          <w:tcPr>
            <w:tcW w:w="1080" w:type="dxa"/>
            <w:vMerge/>
            <w:vAlign w:val="center"/>
          </w:tcPr>
          <w:p>
            <w:pPr>
              <w:jc w:val="center"/>
              <w:rPr>
                <w:noProof/>
              </w:rPr>
            </w:pPr>
          </w:p>
        </w:tc>
        <w:tc>
          <w:tcPr>
            <w:tcW w:w="3960" w:type="dxa"/>
            <w:vAlign w:val="center"/>
          </w:tcPr>
          <w:p>
            <w:pPr>
              <w:rPr>
                <w:noProof/>
              </w:rPr>
            </w:pPr>
            <w:r>
              <w:rPr>
                <w:noProof/>
                <w:sz w:val="20"/>
              </w:rPr>
              <w:t>Numero</w:t>
            </w:r>
            <w:r>
              <w:rPr>
                <w:noProof/>
              </w:rPr>
              <w:br/>
            </w:r>
            <w:r>
              <w:rPr>
                <w:noProof/>
                <w:sz w:val="20"/>
              </w:rPr>
              <w:t>[Rubrica……………………………………]</w:t>
            </w:r>
          </w:p>
        </w:tc>
        <w:tc>
          <w:tcPr>
            <w:tcW w:w="1080" w:type="dxa"/>
            <w:vAlign w:val="center"/>
          </w:tcPr>
          <w:p>
            <w:pPr>
              <w:jc w:val="center"/>
              <w:rPr>
                <w:noProof/>
              </w:rPr>
            </w:pPr>
            <w:r>
              <w:rPr>
                <w:noProof/>
                <w:sz w:val="18"/>
              </w:rPr>
              <w:t>Diss./Non diss.</w:t>
            </w:r>
          </w:p>
        </w:tc>
        <w:tc>
          <w:tcPr>
            <w:tcW w:w="956" w:type="dxa"/>
            <w:vAlign w:val="center"/>
          </w:tcPr>
          <w:p>
            <w:pPr>
              <w:jc w:val="center"/>
              <w:rPr>
                <w:noProof/>
                <w:sz w:val="18"/>
              </w:rPr>
            </w:pPr>
            <w:r>
              <w:rPr>
                <w:noProof/>
                <w:sz w:val="18"/>
              </w:rPr>
              <w:t>di paesi EFTA</w:t>
            </w:r>
          </w:p>
        </w:tc>
        <w:tc>
          <w:tcPr>
            <w:tcW w:w="1080" w:type="dxa"/>
            <w:vAlign w:val="center"/>
          </w:tcPr>
          <w:p>
            <w:pPr>
              <w:jc w:val="center"/>
              <w:rPr>
                <w:noProof/>
                <w:sz w:val="18"/>
              </w:rPr>
            </w:pPr>
            <w:r>
              <w:rPr>
                <w:noProof/>
                <w:sz w:val="18"/>
              </w:rPr>
              <w:t>di paesi candidati</w:t>
            </w:r>
          </w:p>
        </w:tc>
        <w:tc>
          <w:tcPr>
            <w:tcW w:w="956" w:type="dxa"/>
            <w:vAlign w:val="center"/>
          </w:tcPr>
          <w:p>
            <w:pPr>
              <w:jc w:val="center"/>
              <w:rPr>
                <w:noProof/>
                <w:sz w:val="18"/>
              </w:rPr>
            </w:pPr>
            <w:r>
              <w:rPr>
                <w:noProof/>
                <w:sz w:val="18"/>
              </w:rPr>
              <w:t>di paesi terzi</w:t>
            </w:r>
          </w:p>
        </w:tc>
        <w:tc>
          <w:tcPr>
            <w:tcW w:w="1448" w:type="dxa"/>
            <w:vAlign w:val="center"/>
          </w:tcPr>
          <w:p>
            <w:pPr>
              <w:jc w:val="center"/>
              <w:rPr>
                <w:noProof/>
              </w:rPr>
            </w:pPr>
            <w:r>
              <w:rPr>
                <w:noProof/>
                <w:sz w:val="16"/>
              </w:rPr>
              <w:t xml:space="preserve">ai sensi dell'articolo 21, paragrafo 2, lettera b), del regolamento finanziario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[XX.YY.YY.YY]</w:t>
            </w:r>
          </w:p>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rPr>
            </w:pPr>
            <w:r>
              <w:rPr>
                <w:noProof/>
              </w:rPr>
              <w:t>SÌ/NO</w:t>
            </w:r>
          </w:p>
        </w:tc>
        <w:tc>
          <w:tcPr>
            <w:tcW w:w="1080" w:type="dxa"/>
            <w:vAlign w:val="center"/>
          </w:tcPr>
          <w:p>
            <w:pPr>
              <w:jc w:val="center"/>
              <w:rPr>
                <w:noProof/>
                <w:color w:val="0000FF"/>
                <w:sz w:val="18"/>
              </w:rPr>
            </w:pPr>
            <w:r>
              <w:rPr>
                <w:noProof/>
              </w:rPr>
              <w:t>SÌ/NO</w:t>
            </w:r>
          </w:p>
        </w:tc>
        <w:tc>
          <w:tcPr>
            <w:tcW w:w="956" w:type="dxa"/>
            <w:vAlign w:val="center"/>
          </w:tcPr>
          <w:p>
            <w:pPr>
              <w:jc w:val="center"/>
              <w:rPr>
                <w:noProof/>
                <w:color w:val="0000FF"/>
                <w:sz w:val="18"/>
              </w:rPr>
            </w:pPr>
            <w:r>
              <w:rPr>
                <w:noProof/>
              </w:rPr>
              <w:t>SÌ/NO</w:t>
            </w:r>
          </w:p>
        </w:tc>
        <w:tc>
          <w:tcPr>
            <w:tcW w:w="1448" w:type="dxa"/>
            <w:vAlign w:val="center"/>
          </w:tcPr>
          <w:p>
            <w:pPr>
              <w:jc w:val="center"/>
              <w:rPr>
                <w:noProof/>
              </w:rPr>
            </w:pPr>
            <w:r>
              <w:rPr>
                <w:noProof/>
              </w:rPr>
              <w:t>SÌ/NO</w:t>
            </w:r>
          </w:p>
        </w:tc>
      </w:tr>
    </w:tbl>
    <w:p>
      <w:pPr>
        <w:pStyle w:val="Institutionquisigne"/>
        <w:rPr>
          <w:noProof/>
        </w:rPr>
        <w:sectPr>
          <w:pgSz w:w="11907" w:h="16839"/>
          <w:pgMar w:top="1134" w:right="1417" w:bottom="1134" w:left="1417" w:header="709" w:footer="709" w:gutter="0"/>
          <w:cols w:space="708"/>
          <w:docGrid w:linePitch="360"/>
        </w:sectPr>
      </w:pPr>
    </w:p>
    <w:p>
      <w:pPr>
        <w:pStyle w:val="ManualHeading2"/>
        <w:rPr>
          <w:bCs/>
          <w:noProof/>
          <w:szCs w:val="24"/>
        </w:rPr>
      </w:pPr>
      <w:r>
        <w:rPr>
          <w:noProof/>
        </w:rPr>
        <w:t>3.2.</w:t>
      </w:r>
      <w:r>
        <w:rPr>
          <w:noProof/>
        </w:rPr>
        <w:tab/>
        <w:t xml:space="preserve">Incidenza prevista sulle spese </w:t>
      </w:r>
    </w:p>
    <w:p>
      <w:pPr>
        <w:pBdr>
          <w:top w:val="nil"/>
          <w:left w:val="nil"/>
          <w:bottom w:val="nil"/>
          <w:right w:val="nil"/>
          <w:between w:val="nil"/>
          <w:bar w:val="nil"/>
        </w:pBdr>
        <w:spacing w:before="0" w:after="240"/>
        <w:rPr>
          <w:noProof/>
        </w:rPr>
      </w:pPr>
      <w:r>
        <w:rPr>
          <w:noProof/>
        </w:rPr>
        <w:t>Gli stanziamenti d'impegno per la dotazione specifica dell'IOG per il 2019 dovrebbero essere aumentati di 116,7 milioni di EUR</w:t>
      </w:r>
      <w:r>
        <w:rPr>
          <w:rStyle w:val="FootnoteReference"/>
          <w:noProof/>
        </w:rPr>
        <w:footnoteReference w:id="13"/>
      </w:r>
      <w:r>
        <w:rPr>
          <w:noProof/>
        </w:rPr>
        <w:t xml:space="preserve"> a prezzi correnti. Gli stanziamenti di pagamento sono stati adeguati di conseguenza. </w:t>
      </w:r>
    </w:p>
    <w:p>
      <w:pPr>
        <w:pStyle w:val="ManualHeading3"/>
        <w:rPr>
          <w:noProof/>
        </w:rPr>
      </w:pPr>
    </w:p>
    <w:p>
      <w:pPr>
        <w:pStyle w:val="ManualHeading3"/>
        <w:rPr>
          <w:noProof/>
        </w:rPr>
      </w:pPr>
    </w:p>
    <w:p>
      <w:pPr>
        <w:pStyle w:val="ManualHeading3"/>
        <w:rPr>
          <w:noProof/>
          <w:u w:val="single"/>
        </w:rPr>
      </w:pPr>
      <w:r>
        <w:rPr>
          <w:noProof/>
        </w:rPr>
        <w:t>3.2.1.</w:t>
      </w:r>
      <w:r>
        <w:rPr>
          <w:noProof/>
        </w:rPr>
        <w:tab/>
        <w:t xml:space="preserve">Sintesi dell'incidenza prevista sulle spese </w:t>
      </w:r>
    </w:p>
    <w:p>
      <w:pPr>
        <w:spacing w:before="0" w:after="200" w:line="276" w:lineRule="auto"/>
        <w:jc w:val="left"/>
        <w:rPr>
          <w:noProof/>
          <w:sz w:val="20"/>
        </w:rPr>
      </w:pPr>
      <w:r>
        <w:rPr>
          <w:noProof/>
        </w:rPr>
        <w:br w:type="page"/>
      </w:r>
    </w:p>
    <w:p>
      <w:pPr>
        <w:jc w:val="right"/>
        <w:rPr>
          <w:noProof/>
          <w:sz w:val="20"/>
        </w:rPr>
      </w:pPr>
      <w:r>
        <w:rPr>
          <w:noProof/>
          <w:sz w:val="20"/>
        </w:rPr>
        <w:t>Milioni di EUR a prezzi correnti (al terzo decimale)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1"/>
        <w:gridCol w:w="1080"/>
        <w:gridCol w:w="7817"/>
      </w:tblGrid>
      <w:tr>
        <w:trPr>
          <w:jc w:val="center"/>
        </w:trPr>
        <w:tc>
          <w:tcPr>
            <w:tcW w:w="5351" w:type="dxa"/>
            <w:shd w:val="thinDiagStripe" w:color="C0C0C0" w:fill="auto"/>
            <w:vAlign w:val="center"/>
          </w:tcPr>
          <w:p>
            <w:pPr>
              <w:spacing w:before="60" w:after="60"/>
              <w:jc w:val="center"/>
              <w:rPr>
                <w:b/>
                <w:noProof/>
              </w:rPr>
            </w:pPr>
            <w:r>
              <w:rPr>
                <w:b/>
                <w:noProof/>
              </w:rPr>
              <w:t xml:space="preserve">Rubrica del </w:t>
            </w:r>
            <w:r>
              <w:rPr>
                <w:noProof/>
              </w:rPr>
              <w:br/>
            </w:r>
            <w:r>
              <w:rPr>
                <w:b/>
                <w:noProof/>
              </w:rPr>
              <w:t xml:space="preserve">quadro finanziario pluriennale </w:t>
            </w:r>
          </w:p>
        </w:tc>
        <w:tc>
          <w:tcPr>
            <w:tcW w:w="1080" w:type="dxa"/>
            <w:vAlign w:val="center"/>
          </w:tcPr>
          <w:p>
            <w:pPr>
              <w:spacing w:before="60" w:after="60"/>
              <w:jc w:val="center"/>
              <w:rPr>
                <w:noProof/>
              </w:rPr>
            </w:pPr>
            <w:r>
              <w:rPr>
                <w:noProof/>
                <w:sz w:val="22"/>
              </w:rPr>
              <w:t>Numero</w:t>
            </w:r>
          </w:p>
          <w:p>
            <w:pPr>
              <w:spacing w:before="60" w:after="60"/>
              <w:jc w:val="center"/>
              <w:rPr>
                <w:noProof/>
              </w:rPr>
            </w:pPr>
            <w:r>
              <w:rPr>
                <w:noProof/>
                <w:sz w:val="22"/>
              </w:rPr>
              <w:t>1b</w:t>
            </w:r>
          </w:p>
        </w:tc>
        <w:tc>
          <w:tcPr>
            <w:tcW w:w="7817" w:type="dxa"/>
            <w:vAlign w:val="center"/>
          </w:tcPr>
          <w:p>
            <w:pPr>
              <w:spacing w:before="60" w:after="60"/>
              <w:rPr>
                <w:noProof/>
              </w:rPr>
            </w:pPr>
            <w:r>
              <w:rPr>
                <w:noProof/>
              </w:rPr>
              <w:t>Crescita intelligente e inclusiva</w:t>
            </w:r>
          </w:p>
        </w:tc>
      </w:tr>
    </w:tbl>
    <w:p>
      <w:pPr>
        <w:rPr>
          <w:noProof/>
          <w:sz w:val="16"/>
        </w:rPr>
      </w:pPr>
    </w:p>
    <w:tbl>
      <w:tblPr>
        <w:tblW w:w="144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3119"/>
        <w:gridCol w:w="425"/>
        <w:gridCol w:w="709"/>
        <w:gridCol w:w="708"/>
        <w:gridCol w:w="709"/>
        <w:gridCol w:w="1276"/>
        <w:gridCol w:w="1276"/>
        <w:gridCol w:w="1275"/>
        <w:gridCol w:w="1276"/>
        <w:gridCol w:w="1518"/>
      </w:tblGrid>
      <w:tr>
        <w:tc>
          <w:tcPr>
            <w:tcW w:w="2203" w:type="dxa"/>
            <w:vAlign w:val="center"/>
          </w:tcPr>
          <w:p>
            <w:pPr>
              <w:jc w:val="center"/>
              <w:rPr>
                <w:noProof/>
              </w:rPr>
            </w:pPr>
            <w:r>
              <w:rPr>
                <w:noProof/>
                <w:sz w:val="22"/>
              </w:rPr>
              <w:t xml:space="preserve">DG: </w:t>
            </w:r>
            <w:r>
              <w:rPr>
                <w:noProof/>
              </w:rPr>
              <w:t xml:space="preserve">EMPL, REGIO </w:t>
            </w:r>
          </w:p>
        </w:tc>
        <w:tc>
          <w:tcPr>
            <w:tcW w:w="3119" w:type="dxa"/>
          </w:tcPr>
          <w:p>
            <w:pPr>
              <w:rPr>
                <w:noProof/>
                <w:sz w:val="20"/>
              </w:rPr>
            </w:pPr>
          </w:p>
        </w:tc>
        <w:tc>
          <w:tcPr>
            <w:tcW w:w="425" w:type="dxa"/>
          </w:tcPr>
          <w:p>
            <w:pPr>
              <w:jc w:val="center"/>
              <w:rPr>
                <w:noProof/>
                <w:sz w:val="20"/>
              </w:rPr>
            </w:pPr>
          </w:p>
        </w:tc>
        <w:tc>
          <w:tcPr>
            <w:tcW w:w="709" w:type="dxa"/>
          </w:tcPr>
          <w:p>
            <w:pPr>
              <w:rPr>
                <w:noProof/>
              </w:rPr>
            </w:pPr>
            <w:r>
              <w:rPr>
                <w:noProof/>
              </w:rPr>
              <w:t>2014</w:t>
            </w:r>
          </w:p>
        </w:tc>
        <w:tc>
          <w:tcPr>
            <w:tcW w:w="708" w:type="dxa"/>
          </w:tcPr>
          <w:p>
            <w:pPr>
              <w:rPr>
                <w:noProof/>
              </w:rPr>
            </w:pPr>
            <w:r>
              <w:rPr>
                <w:noProof/>
              </w:rPr>
              <w:t>2015</w:t>
            </w:r>
          </w:p>
        </w:tc>
        <w:tc>
          <w:tcPr>
            <w:tcW w:w="709" w:type="dxa"/>
          </w:tcPr>
          <w:p>
            <w:pPr>
              <w:rPr>
                <w:noProof/>
              </w:rPr>
            </w:pPr>
            <w:r>
              <w:rPr>
                <w:noProof/>
              </w:rPr>
              <w:t>2016</w:t>
            </w:r>
          </w:p>
        </w:tc>
        <w:tc>
          <w:tcPr>
            <w:tcW w:w="1276" w:type="dxa"/>
          </w:tcPr>
          <w:p>
            <w:pPr>
              <w:rPr>
                <w:noProof/>
              </w:rPr>
            </w:pPr>
            <w:r>
              <w:rPr>
                <w:noProof/>
              </w:rPr>
              <w:t>2017</w:t>
            </w:r>
          </w:p>
        </w:tc>
        <w:tc>
          <w:tcPr>
            <w:tcW w:w="1276" w:type="dxa"/>
          </w:tcPr>
          <w:p>
            <w:pPr>
              <w:rPr>
                <w:noProof/>
              </w:rPr>
            </w:pPr>
            <w:r>
              <w:rPr>
                <w:noProof/>
              </w:rPr>
              <w:t>2018</w:t>
            </w:r>
          </w:p>
        </w:tc>
        <w:tc>
          <w:tcPr>
            <w:tcW w:w="1275" w:type="dxa"/>
          </w:tcPr>
          <w:p>
            <w:pPr>
              <w:rPr>
                <w:noProof/>
              </w:rPr>
            </w:pPr>
            <w:r>
              <w:rPr>
                <w:noProof/>
              </w:rPr>
              <w:t>2019</w:t>
            </w:r>
          </w:p>
        </w:tc>
        <w:tc>
          <w:tcPr>
            <w:tcW w:w="1276" w:type="dxa"/>
          </w:tcPr>
          <w:p>
            <w:pPr>
              <w:rPr>
                <w:noProof/>
              </w:rPr>
            </w:pPr>
            <w:r>
              <w:rPr>
                <w:noProof/>
              </w:rPr>
              <w:t>2020</w:t>
            </w:r>
          </w:p>
        </w:tc>
        <w:tc>
          <w:tcPr>
            <w:tcW w:w="1518" w:type="dxa"/>
            <w:vAlign w:val="center"/>
          </w:tcPr>
          <w:p>
            <w:pPr>
              <w:jc w:val="center"/>
              <w:rPr>
                <w:b/>
                <w:noProof/>
                <w:sz w:val="20"/>
              </w:rPr>
            </w:pPr>
            <w:r>
              <w:rPr>
                <w:b/>
                <w:noProof/>
                <w:sz w:val="20"/>
              </w:rPr>
              <w:t>TOTALE</w:t>
            </w:r>
          </w:p>
        </w:tc>
      </w:tr>
      <w:tr>
        <w:trPr>
          <w:trHeight w:val="213"/>
        </w:trPr>
        <w:tc>
          <w:tcPr>
            <w:tcW w:w="5747" w:type="dxa"/>
            <w:gridSpan w:val="3"/>
            <w:vAlign w:val="center"/>
          </w:tcPr>
          <w:p>
            <w:pPr>
              <w:spacing w:before="20" w:after="20"/>
              <w:rPr>
                <w:noProof/>
                <w:sz w:val="21"/>
              </w:rPr>
            </w:pPr>
            <w:r>
              <w:rPr>
                <w:noProof/>
                <w:sz w:val="21"/>
              </w:rPr>
              <w:sym w:font="Wingdings" w:char="F09F"/>
            </w:r>
            <w:r>
              <w:rPr>
                <w:noProof/>
                <w:sz w:val="21"/>
              </w:rPr>
              <w:t>Stanziamenti operativi</w:t>
            </w:r>
          </w:p>
        </w:tc>
        <w:tc>
          <w:tcPr>
            <w:tcW w:w="709" w:type="dxa"/>
            <w:vAlign w:val="center"/>
          </w:tcPr>
          <w:p>
            <w:pPr>
              <w:rPr>
                <w:noProof/>
                <w:sz w:val="20"/>
              </w:rPr>
            </w:pPr>
          </w:p>
        </w:tc>
        <w:tc>
          <w:tcPr>
            <w:tcW w:w="708" w:type="dxa"/>
            <w:vAlign w:val="center"/>
          </w:tcPr>
          <w:p>
            <w:pPr>
              <w:rPr>
                <w:noProof/>
                <w:sz w:val="20"/>
              </w:rPr>
            </w:pPr>
          </w:p>
        </w:tc>
        <w:tc>
          <w:tcPr>
            <w:tcW w:w="709" w:type="dxa"/>
            <w:vAlign w:val="center"/>
          </w:tcPr>
          <w:p>
            <w:pPr>
              <w:rPr>
                <w:noProof/>
                <w:sz w:val="20"/>
              </w:rPr>
            </w:pPr>
          </w:p>
        </w:tc>
        <w:tc>
          <w:tcPr>
            <w:tcW w:w="1276" w:type="dxa"/>
            <w:vAlign w:val="center"/>
          </w:tcPr>
          <w:p>
            <w:pPr>
              <w:rPr>
                <w:noProof/>
                <w:sz w:val="20"/>
              </w:rPr>
            </w:pPr>
          </w:p>
        </w:tc>
        <w:tc>
          <w:tcPr>
            <w:tcW w:w="1276" w:type="dxa"/>
            <w:vAlign w:val="center"/>
          </w:tcPr>
          <w:p>
            <w:pPr>
              <w:rPr>
                <w:noProof/>
                <w:sz w:val="20"/>
              </w:rPr>
            </w:pPr>
          </w:p>
        </w:tc>
        <w:tc>
          <w:tcPr>
            <w:tcW w:w="1275" w:type="dxa"/>
            <w:vAlign w:val="center"/>
          </w:tcPr>
          <w:p>
            <w:pPr>
              <w:rPr>
                <w:noProof/>
                <w:sz w:val="20"/>
              </w:rPr>
            </w:pPr>
          </w:p>
        </w:tc>
        <w:tc>
          <w:tcPr>
            <w:tcW w:w="1276" w:type="dxa"/>
            <w:vAlign w:val="center"/>
          </w:tcPr>
          <w:p>
            <w:pPr>
              <w:rPr>
                <w:b/>
                <w:noProof/>
                <w:sz w:val="20"/>
              </w:rPr>
            </w:pPr>
          </w:p>
        </w:tc>
        <w:tc>
          <w:tcPr>
            <w:tcW w:w="1518" w:type="dxa"/>
            <w:vAlign w:val="center"/>
          </w:tcPr>
          <w:p>
            <w:pPr>
              <w:rPr>
                <w:b/>
                <w:noProof/>
                <w:sz w:val="20"/>
              </w:rPr>
            </w:pPr>
          </w:p>
        </w:tc>
      </w:tr>
      <w:tr>
        <w:trPr>
          <w:trHeight w:val="277"/>
        </w:trPr>
        <w:tc>
          <w:tcPr>
            <w:tcW w:w="2203" w:type="dxa"/>
            <w:vAlign w:val="center"/>
          </w:tcPr>
          <w:p>
            <w:pPr>
              <w:spacing w:before="60"/>
              <w:rPr>
                <w:noProof/>
                <w:sz w:val="21"/>
              </w:rPr>
            </w:pPr>
            <w:r>
              <w:rPr>
                <w:noProof/>
                <w:sz w:val="21"/>
              </w:rPr>
              <w:t>1b: Coesione economica, sociale e territoriale</w:t>
            </w:r>
          </w:p>
          <w:p>
            <w:pPr>
              <w:spacing w:before="60"/>
              <w:rPr>
                <w:noProof/>
              </w:rPr>
            </w:pPr>
            <w:r>
              <w:rPr>
                <w:noProof/>
                <w:sz w:val="21"/>
              </w:rPr>
              <w:t>Fondo europeo di sviluppo regionale, Fondo sociale europeo, Fondo di coesione</w:t>
            </w:r>
          </w:p>
        </w:tc>
        <w:tc>
          <w:tcPr>
            <w:tcW w:w="3119" w:type="dxa"/>
            <w:vAlign w:val="center"/>
          </w:tcPr>
          <w:p>
            <w:pPr>
              <w:spacing w:before="20" w:after="20"/>
              <w:rPr>
                <w:noProof/>
                <w:sz w:val="18"/>
              </w:rPr>
            </w:pPr>
            <w:r>
              <w:rPr>
                <w:noProof/>
                <w:sz w:val="18"/>
              </w:rPr>
              <w:t xml:space="preserve">Impegni </w:t>
            </w:r>
          </w:p>
          <w:p>
            <w:pPr>
              <w:spacing w:before="20" w:after="20"/>
              <w:rPr>
                <w:noProof/>
                <w:sz w:val="18"/>
              </w:rPr>
            </w:pPr>
          </w:p>
          <w:p>
            <w:pPr>
              <w:spacing w:before="20" w:after="20"/>
              <w:rPr>
                <w:noProof/>
                <w:sz w:val="18"/>
              </w:rPr>
            </w:pPr>
          </w:p>
          <w:p>
            <w:pPr>
              <w:spacing w:after="60"/>
              <w:rPr>
                <w:noProof/>
                <w:sz w:val="22"/>
              </w:rPr>
            </w:pPr>
            <w:r>
              <w:rPr>
                <w:noProof/>
                <w:sz w:val="22"/>
              </w:rPr>
              <w:t>04 02 64 – Iniziativa a favore dell'occupazione giovanile (IOG)</w:t>
            </w:r>
          </w:p>
          <w:p>
            <w:pPr>
              <w:spacing w:before="20" w:after="20"/>
              <w:rPr>
                <w:noProof/>
                <w:sz w:val="18"/>
              </w:rPr>
            </w:pPr>
          </w:p>
          <w:p>
            <w:pPr>
              <w:spacing w:before="20" w:after="20"/>
              <w:rPr>
                <w:noProof/>
                <w:sz w:val="18"/>
              </w:rPr>
            </w:pPr>
          </w:p>
          <w:p>
            <w:pPr>
              <w:spacing w:before="20" w:after="20"/>
              <w:rPr>
                <w:noProof/>
                <w:sz w:val="18"/>
              </w:rPr>
            </w:pPr>
          </w:p>
          <w:p>
            <w:pPr>
              <w:spacing w:before="20" w:after="20"/>
              <w:rPr>
                <w:noProof/>
                <w:sz w:val="18"/>
              </w:rPr>
            </w:pPr>
          </w:p>
        </w:tc>
        <w:tc>
          <w:tcPr>
            <w:tcW w:w="425" w:type="dxa"/>
            <w:vAlign w:val="center"/>
          </w:tcPr>
          <w:p>
            <w:pPr>
              <w:spacing w:before="20" w:after="20"/>
              <w:jc w:val="center"/>
              <w:rPr>
                <w:noProof/>
                <w:sz w:val="14"/>
              </w:rPr>
            </w:pPr>
            <w:r>
              <w:rPr>
                <w:noProof/>
                <w:sz w:val="14"/>
              </w:rPr>
              <w:t>(1)</w:t>
            </w:r>
          </w:p>
        </w:tc>
        <w:tc>
          <w:tcPr>
            <w:tcW w:w="709" w:type="dxa"/>
            <w:vAlign w:val="center"/>
          </w:tcPr>
          <w:p>
            <w:pPr>
              <w:spacing w:before="20" w:after="20"/>
              <w:jc w:val="right"/>
              <w:rPr>
                <w:noProof/>
                <w:sz w:val="20"/>
              </w:rPr>
            </w:pPr>
          </w:p>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rPr>
                <w:noProof/>
                <w:sz w:val="20"/>
              </w:rPr>
            </w:pPr>
          </w:p>
        </w:tc>
        <w:tc>
          <w:tcPr>
            <w:tcW w:w="1276" w:type="dxa"/>
            <w:vAlign w:val="center"/>
          </w:tcPr>
          <w:p>
            <w:pPr>
              <w:spacing w:before="20" w:after="20"/>
              <w:jc w:val="right"/>
              <w:rPr>
                <w:noProof/>
                <w:sz w:val="20"/>
              </w:rPr>
            </w:pPr>
          </w:p>
        </w:tc>
        <w:tc>
          <w:tcPr>
            <w:tcW w:w="1275" w:type="dxa"/>
            <w:vAlign w:val="center"/>
          </w:tcPr>
          <w:p>
            <w:pPr>
              <w:spacing w:before="20" w:after="20"/>
              <w:rPr>
                <w:noProof/>
                <w:sz w:val="20"/>
              </w:rPr>
            </w:pPr>
            <w:r>
              <w:rPr>
                <w:noProof/>
                <w:sz w:val="20"/>
              </w:rPr>
              <w:t xml:space="preserve">116 667 </w:t>
            </w:r>
          </w:p>
        </w:tc>
        <w:tc>
          <w:tcPr>
            <w:tcW w:w="1276" w:type="dxa"/>
            <w:vAlign w:val="center"/>
          </w:tcPr>
          <w:p>
            <w:pPr>
              <w:spacing w:before="20" w:after="20"/>
              <w:rPr>
                <w:noProof/>
                <w:sz w:val="20"/>
              </w:rPr>
            </w:pPr>
            <w:r>
              <w:rPr>
                <w:noProof/>
                <w:sz w:val="20"/>
              </w:rPr>
              <w:t>0,000</w:t>
            </w:r>
          </w:p>
        </w:tc>
        <w:tc>
          <w:tcPr>
            <w:tcW w:w="1518" w:type="dxa"/>
            <w:vAlign w:val="center"/>
          </w:tcPr>
          <w:p>
            <w:pPr>
              <w:spacing w:before="20" w:after="20"/>
              <w:rPr>
                <w:b/>
                <w:noProof/>
                <w:sz w:val="20"/>
              </w:rPr>
            </w:pPr>
            <w:r>
              <w:rPr>
                <w:noProof/>
                <w:sz w:val="20"/>
              </w:rPr>
              <w:t>116 667</w:t>
            </w:r>
          </w:p>
        </w:tc>
      </w:tr>
    </w:tbl>
    <w:p>
      <w:pPr>
        <w:rPr>
          <w:noProof/>
        </w:rPr>
      </w:pPr>
      <w:r>
        <w:rPr>
          <w:noProof/>
        </w:rPr>
        <w:br w:type="page"/>
      </w:r>
    </w:p>
    <w:p>
      <w:pPr>
        <w:rPr>
          <w:noProof/>
        </w:rPr>
      </w:pPr>
    </w:p>
    <w:p>
      <w:pPr>
        <w:rPr>
          <w:noProof/>
        </w:rPr>
      </w:pPr>
    </w:p>
    <w:tbl>
      <w:tblPr>
        <w:tblW w:w="144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3119"/>
        <w:gridCol w:w="78"/>
        <w:gridCol w:w="347"/>
        <w:gridCol w:w="709"/>
        <w:gridCol w:w="708"/>
        <w:gridCol w:w="709"/>
        <w:gridCol w:w="1276"/>
        <w:gridCol w:w="1276"/>
        <w:gridCol w:w="1275"/>
        <w:gridCol w:w="1276"/>
        <w:gridCol w:w="1518"/>
      </w:tblGrid>
      <w:tr>
        <w:trPr>
          <w:trHeight w:val="85"/>
        </w:trPr>
        <w:tc>
          <w:tcPr>
            <w:tcW w:w="2203" w:type="dxa"/>
          </w:tcPr>
          <w:p>
            <w:pPr>
              <w:jc w:val="center"/>
              <w:rPr>
                <w:noProof/>
                <w:sz w:val="20"/>
              </w:rPr>
            </w:pPr>
            <w:r>
              <w:rPr>
                <w:noProof/>
              </w:rPr>
              <w:br w:type="page"/>
            </w:r>
          </w:p>
        </w:tc>
        <w:tc>
          <w:tcPr>
            <w:tcW w:w="3119" w:type="dxa"/>
            <w:vAlign w:val="center"/>
          </w:tcPr>
          <w:p>
            <w:pPr>
              <w:spacing w:before="20" w:after="20"/>
              <w:rPr>
                <w:noProof/>
                <w:sz w:val="18"/>
              </w:rPr>
            </w:pPr>
            <w:r>
              <w:rPr>
                <w:noProof/>
                <w:sz w:val="18"/>
              </w:rPr>
              <w:t xml:space="preserve">Pagamenti </w:t>
            </w:r>
          </w:p>
          <w:p>
            <w:pPr>
              <w:spacing w:after="60"/>
              <w:rPr>
                <w:noProof/>
              </w:rPr>
            </w:pPr>
          </w:p>
          <w:p>
            <w:pPr>
              <w:spacing w:after="60"/>
              <w:rPr>
                <w:noProof/>
              </w:rPr>
            </w:pPr>
          </w:p>
          <w:p>
            <w:pPr>
              <w:spacing w:after="60"/>
              <w:rPr>
                <w:noProof/>
                <w:sz w:val="22"/>
              </w:rPr>
            </w:pPr>
            <w:r>
              <w:rPr>
                <w:noProof/>
                <w:sz w:val="22"/>
              </w:rPr>
              <w:t>04 02 64 – Iniziativa a favore dell'occupazione giovanile (IOG)</w:t>
            </w:r>
          </w:p>
          <w:p>
            <w:pPr>
              <w:spacing w:after="60"/>
              <w:rPr>
                <w:noProof/>
                <w:sz w:val="22"/>
              </w:rPr>
            </w:pPr>
          </w:p>
          <w:p>
            <w:pPr>
              <w:spacing w:after="60"/>
              <w:rPr>
                <w:noProof/>
                <w:sz w:val="18"/>
              </w:rPr>
            </w:pPr>
            <w:r>
              <w:rPr>
                <w:noProof/>
              </w:rPr>
              <w:t xml:space="preserve"> </w:t>
            </w:r>
          </w:p>
        </w:tc>
        <w:tc>
          <w:tcPr>
            <w:tcW w:w="425" w:type="dxa"/>
            <w:gridSpan w:val="2"/>
            <w:vAlign w:val="center"/>
          </w:tcPr>
          <w:p>
            <w:pPr>
              <w:spacing w:before="20" w:after="20"/>
              <w:jc w:val="center"/>
              <w:rPr>
                <w:noProof/>
                <w:sz w:val="14"/>
              </w:rPr>
            </w:pPr>
            <w:r>
              <w:rPr>
                <w:noProof/>
                <w:sz w:val="14"/>
              </w:rPr>
              <w:t>(2)</w:t>
            </w:r>
          </w:p>
        </w:tc>
        <w:tc>
          <w:tcPr>
            <w:tcW w:w="709" w:type="dxa"/>
            <w:vAlign w:val="center"/>
          </w:tcPr>
          <w:p>
            <w:pPr>
              <w:spacing w:before="20" w:after="20"/>
              <w:rPr>
                <w:noProof/>
                <w:sz w:val="20"/>
              </w:rPr>
            </w:pPr>
          </w:p>
        </w:tc>
        <w:tc>
          <w:tcPr>
            <w:tcW w:w="708" w:type="dxa"/>
            <w:vAlign w:val="center"/>
          </w:tcPr>
          <w:p>
            <w:pPr>
              <w:spacing w:before="20" w:after="20"/>
              <w:rPr>
                <w:noProof/>
                <w:sz w:val="20"/>
              </w:rPr>
            </w:pPr>
          </w:p>
        </w:tc>
        <w:tc>
          <w:tcPr>
            <w:tcW w:w="709" w:type="dxa"/>
            <w:vAlign w:val="center"/>
          </w:tcPr>
          <w:p>
            <w:pPr>
              <w:spacing w:before="20" w:after="20"/>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rPr>
                <w:noProof/>
                <w:sz w:val="20"/>
              </w:rPr>
            </w:pPr>
          </w:p>
        </w:tc>
        <w:tc>
          <w:tcPr>
            <w:tcW w:w="1275" w:type="dxa"/>
            <w:vAlign w:val="center"/>
          </w:tcPr>
          <w:p>
            <w:pPr>
              <w:spacing w:before="20" w:after="20"/>
              <w:jc w:val="right"/>
              <w:rPr>
                <w:noProof/>
                <w:sz w:val="20"/>
              </w:rPr>
            </w:pPr>
            <w:r>
              <w:rPr>
                <w:noProof/>
                <w:sz w:val="20"/>
              </w:rPr>
              <w:t>0,000</w:t>
            </w:r>
          </w:p>
        </w:tc>
        <w:tc>
          <w:tcPr>
            <w:tcW w:w="1276" w:type="dxa"/>
            <w:vAlign w:val="center"/>
          </w:tcPr>
          <w:p>
            <w:pPr>
              <w:spacing w:before="20" w:after="20"/>
              <w:rPr>
                <w:noProof/>
                <w:sz w:val="20"/>
              </w:rPr>
            </w:pPr>
            <w:r>
              <w:rPr>
                <w:noProof/>
                <w:sz w:val="20"/>
              </w:rPr>
              <w:t>3 500</w:t>
            </w:r>
          </w:p>
        </w:tc>
        <w:tc>
          <w:tcPr>
            <w:tcW w:w="1518" w:type="dxa"/>
            <w:vAlign w:val="center"/>
          </w:tcPr>
          <w:p>
            <w:pPr>
              <w:spacing w:before="20" w:after="20"/>
              <w:rPr>
                <w:b/>
                <w:noProof/>
                <w:sz w:val="20"/>
              </w:rPr>
            </w:pPr>
            <w:r>
              <w:rPr>
                <w:b/>
                <w:noProof/>
                <w:sz w:val="20"/>
              </w:rPr>
              <w:t>3 500</w:t>
            </w:r>
          </w:p>
        </w:tc>
      </w:tr>
      <w:tr>
        <w:trPr>
          <w:trHeight w:val="231"/>
        </w:trPr>
        <w:tc>
          <w:tcPr>
            <w:tcW w:w="5747" w:type="dxa"/>
            <w:gridSpan w:val="4"/>
            <w:vAlign w:val="center"/>
          </w:tcPr>
          <w:p>
            <w:pPr>
              <w:spacing w:before="20" w:after="20"/>
              <w:rPr>
                <w:noProof/>
              </w:rPr>
            </w:pPr>
            <w:r>
              <w:rPr>
                <w:noProof/>
                <w:sz w:val="21"/>
              </w:rPr>
              <w:t>Stanziamenti di natura amministrativa finanziati dalla dotazione di programmi specifici</w:t>
            </w:r>
            <w:r>
              <w:rPr>
                <w:rStyle w:val="FootnoteReference"/>
                <w:noProof/>
                <w:sz w:val="21"/>
              </w:rPr>
              <w:footnoteReference w:id="14"/>
            </w:r>
            <w:r>
              <w:rPr>
                <w:noProof/>
                <w:sz w:val="21"/>
              </w:rPr>
              <w:t xml:space="preserve"> </w:t>
            </w:r>
          </w:p>
          <w:p>
            <w:pPr>
              <w:spacing w:before="0" w:after="0"/>
              <w:rPr>
                <w:noProof/>
              </w:rPr>
            </w:pPr>
          </w:p>
        </w:tc>
        <w:tc>
          <w:tcPr>
            <w:tcW w:w="709" w:type="dxa"/>
            <w:vAlign w:val="center"/>
          </w:tcPr>
          <w:p>
            <w:pPr>
              <w:rPr>
                <w:b/>
                <w:noProof/>
                <w:sz w:val="20"/>
              </w:rPr>
            </w:pPr>
          </w:p>
        </w:tc>
        <w:tc>
          <w:tcPr>
            <w:tcW w:w="708" w:type="dxa"/>
            <w:vAlign w:val="center"/>
          </w:tcPr>
          <w:p>
            <w:pPr>
              <w:rPr>
                <w:b/>
                <w:noProof/>
                <w:sz w:val="20"/>
              </w:rPr>
            </w:pPr>
          </w:p>
        </w:tc>
        <w:tc>
          <w:tcPr>
            <w:tcW w:w="709" w:type="dxa"/>
            <w:vAlign w:val="center"/>
          </w:tcPr>
          <w:p>
            <w:pPr>
              <w:rPr>
                <w:b/>
                <w:noProof/>
                <w:sz w:val="20"/>
              </w:rPr>
            </w:pPr>
          </w:p>
        </w:tc>
        <w:tc>
          <w:tcPr>
            <w:tcW w:w="1276" w:type="dxa"/>
            <w:vAlign w:val="center"/>
          </w:tcPr>
          <w:p>
            <w:pPr>
              <w:rPr>
                <w:b/>
                <w:noProof/>
                <w:sz w:val="20"/>
              </w:rPr>
            </w:pPr>
          </w:p>
        </w:tc>
        <w:tc>
          <w:tcPr>
            <w:tcW w:w="1276" w:type="dxa"/>
            <w:vAlign w:val="center"/>
          </w:tcPr>
          <w:p>
            <w:pPr>
              <w:rPr>
                <w:b/>
                <w:noProof/>
                <w:sz w:val="20"/>
              </w:rPr>
            </w:pPr>
          </w:p>
        </w:tc>
        <w:tc>
          <w:tcPr>
            <w:tcW w:w="1275" w:type="dxa"/>
            <w:vAlign w:val="center"/>
          </w:tcPr>
          <w:p>
            <w:pPr>
              <w:rPr>
                <w:b/>
                <w:noProof/>
                <w:sz w:val="20"/>
              </w:rPr>
            </w:pPr>
          </w:p>
        </w:tc>
        <w:tc>
          <w:tcPr>
            <w:tcW w:w="1276" w:type="dxa"/>
            <w:vAlign w:val="center"/>
          </w:tcPr>
          <w:p>
            <w:pPr>
              <w:rPr>
                <w:b/>
                <w:noProof/>
                <w:sz w:val="20"/>
              </w:rPr>
            </w:pPr>
          </w:p>
        </w:tc>
        <w:tc>
          <w:tcPr>
            <w:tcW w:w="1518" w:type="dxa"/>
            <w:vAlign w:val="center"/>
          </w:tcPr>
          <w:p>
            <w:pPr>
              <w:rPr>
                <w:b/>
                <w:noProof/>
                <w:sz w:val="20"/>
              </w:rPr>
            </w:pPr>
          </w:p>
        </w:tc>
      </w:tr>
      <w:tr>
        <w:trPr>
          <w:trHeight w:val="319"/>
        </w:trPr>
        <w:tc>
          <w:tcPr>
            <w:tcW w:w="2203" w:type="dxa"/>
            <w:vAlign w:val="center"/>
          </w:tcPr>
          <w:p>
            <w:pPr>
              <w:spacing w:before="60" w:after="60"/>
              <w:rPr>
                <w:noProof/>
              </w:rPr>
            </w:pPr>
            <w:r>
              <w:rPr>
                <w:noProof/>
                <w:sz w:val="20"/>
              </w:rPr>
              <w:t>N/P</w:t>
            </w:r>
          </w:p>
        </w:tc>
        <w:tc>
          <w:tcPr>
            <w:tcW w:w="3197" w:type="dxa"/>
            <w:gridSpan w:val="2"/>
            <w:vAlign w:val="center"/>
          </w:tcPr>
          <w:p>
            <w:pPr>
              <w:spacing w:before="40" w:after="40"/>
              <w:jc w:val="right"/>
              <w:rPr>
                <w:noProof/>
                <w:sz w:val="18"/>
              </w:rPr>
            </w:pPr>
          </w:p>
        </w:tc>
        <w:tc>
          <w:tcPr>
            <w:tcW w:w="347" w:type="dxa"/>
            <w:vAlign w:val="center"/>
          </w:tcPr>
          <w:p>
            <w:pPr>
              <w:spacing w:before="40" w:after="40"/>
              <w:jc w:val="center"/>
              <w:rPr>
                <w:noProof/>
                <w:sz w:val="14"/>
              </w:rPr>
            </w:pPr>
            <w:r>
              <w:rPr>
                <w:noProof/>
                <w:sz w:val="14"/>
              </w:rPr>
              <w:t>(3)</w:t>
            </w:r>
          </w:p>
        </w:tc>
        <w:tc>
          <w:tcPr>
            <w:tcW w:w="709" w:type="dxa"/>
            <w:vAlign w:val="center"/>
          </w:tcPr>
          <w:p>
            <w:pPr>
              <w:spacing w:before="40" w:after="40"/>
              <w:jc w:val="right"/>
              <w:rPr>
                <w:b/>
                <w:noProof/>
                <w:sz w:val="20"/>
              </w:rPr>
            </w:pPr>
          </w:p>
        </w:tc>
        <w:tc>
          <w:tcPr>
            <w:tcW w:w="708" w:type="dxa"/>
            <w:vAlign w:val="center"/>
          </w:tcPr>
          <w:p>
            <w:pPr>
              <w:spacing w:before="40" w:after="40"/>
              <w:jc w:val="right"/>
              <w:rPr>
                <w:b/>
                <w:noProof/>
                <w:sz w:val="20"/>
              </w:rPr>
            </w:pPr>
          </w:p>
        </w:tc>
        <w:tc>
          <w:tcPr>
            <w:tcW w:w="709"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275"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518" w:type="dxa"/>
            <w:vAlign w:val="center"/>
          </w:tcPr>
          <w:p>
            <w:pPr>
              <w:spacing w:before="40" w:after="40"/>
              <w:jc w:val="right"/>
              <w:rPr>
                <w:b/>
                <w:noProof/>
                <w:sz w:val="20"/>
              </w:rPr>
            </w:pPr>
          </w:p>
        </w:tc>
      </w:tr>
      <w:tr>
        <w:tc>
          <w:tcPr>
            <w:tcW w:w="2203" w:type="dxa"/>
            <w:vMerge w:val="restart"/>
            <w:vAlign w:val="center"/>
          </w:tcPr>
          <w:p>
            <w:pPr>
              <w:jc w:val="center"/>
              <w:rPr>
                <w:b/>
                <w:noProof/>
              </w:rPr>
            </w:pPr>
            <w:r>
              <w:rPr>
                <w:b/>
                <w:noProof/>
                <w:sz w:val="22"/>
              </w:rPr>
              <w:t>TOTALE degli stanziamenti</w:t>
            </w:r>
            <w:r>
              <w:rPr>
                <w:noProof/>
              </w:rPr>
              <w:br/>
            </w:r>
            <w:r>
              <w:rPr>
                <w:b/>
                <w:noProof/>
                <w:sz w:val="22"/>
              </w:rPr>
              <w:t xml:space="preserve">per le DG </w:t>
            </w:r>
            <w:r>
              <w:rPr>
                <w:noProof/>
              </w:rPr>
              <w:t xml:space="preserve">EMPL, REGIO </w:t>
            </w:r>
          </w:p>
        </w:tc>
        <w:tc>
          <w:tcPr>
            <w:tcW w:w="3197" w:type="dxa"/>
            <w:gridSpan w:val="2"/>
            <w:vAlign w:val="center"/>
          </w:tcPr>
          <w:p>
            <w:pPr>
              <w:rPr>
                <w:noProof/>
                <w:sz w:val="18"/>
              </w:rPr>
            </w:pPr>
            <w:r>
              <w:rPr>
                <w:noProof/>
                <w:sz w:val="18"/>
              </w:rPr>
              <w:t>Impegni</w:t>
            </w:r>
          </w:p>
        </w:tc>
        <w:tc>
          <w:tcPr>
            <w:tcW w:w="347" w:type="dxa"/>
            <w:vAlign w:val="center"/>
          </w:tcPr>
          <w:p>
            <w:pPr>
              <w:jc w:val="center"/>
              <w:rPr>
                <w:noProof/>
                <w:sz w:val="14"/>
              </w:rPr>
            </w:pPr>
            <w:r>
              <w:rPr>
                <w:noProof/>
                <w:sz w:val="14"/>
              </w:rPr>
              <w:t>=1+1a +3</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tcPr>
          <w:p>
            <w:pPr>
              <w:spacing w:before="20" w:after="20"/>
              <w:jc w:val="right"/>
              <w:rPr>
                <w:noProof/>
                <w:sz w:val="20"/>
                <w:szCs w:val="20"/>
              </w:rPr>
            </w:pPr>
          </w:p>
          <w:p>
            <w:pPr>
              <w:spacing w:before="20" w:after="20"/>
              <w:jc w:val="right"/>
              <w:rPr>
                <w:noProof/>
                <w:sz w:val="20"/>
                <w:szCs w:val="20"/>
              </w:rPr>
            </w:pPr>
          </w:p>
          <w:p>
            <w:pPr>
              <w:spacing w:before="20" w:after="20"/>
              <w:jc w:val="right"/>
              <w:rPr>
                <w:noProof/>
                <w:sz w:val="20"/>
              </w:rPr>
            </w:pPr>
            <w:r>
              <w:rPr>
                <w:noProof/>
                <w:sz w:val="20"/>
              </w:rPr>
              <w:t xml:space="preserve">116 667 </w:t>
            </w:r>
          </w:p>
        </w:tc>
        <w:tc>
          <w:tcPr>
            <w:tcW w:w="1276" w:type="dxa"/>
          </w:tcPr>
          <w:p>
            <w:pPr>
              <w:spacing w:before="20" w:after="20"/>
              <w:jc w:val="right"/>
              <w:rPr>
                <w:noProof/>
                <w:sz w:val="20"/>
                <w:szCs w:val="20"/>
              </w:rPr>
            </w:pPr>
          </w:p>
          <w:p>
            <w:pPr>
              <w:spacing w:before="20" w:after="20"/>
              <w:jc w:val="right"/>
              <w:rPr>
                <w:noProof/>
                <w:sz w:val="20"/>
                <w:szCs w:val="20"/>
              </w:rPr>
            </w:pPr>
          </w:p>
          <w:p>
            <w:pPr>
              <w:spacing w:before="20" w:after="20"/>
              <w:jc w:val="right"/>
              <w:rPr>
                <w:b/>
                <w:noProof/>
                <w:sz w:val="20"/>
              </w:rPr>
            </w:pPr>
            <w:r>
              <w:rPr>
                <w:noProof/>
                <w:sz w:val="20"/>
              </w:rPr>
              <w:t>0,000</w:t>
            </w:r>
          </w:p>
        </w:tc>
        <w:tc>
          <w:tcPr>
            <w:tcW w:w="1518" w:type="dxa"/>
          </w:tcPr>
          <w:p>
            <w:pPr>
              <w:spacing w:before="20" w:after="20"/>
              <w:jc w:val="right"/>
              <w:rPr>
                <w:noProof/>
                <w:sz w:val="20"/>
                <w:szCs w:val="20"/>
              </w:rPr>
            </w:pPr>
          </w:p>
          <w:p>
            <w:pPr>
              <w:spacing w:before="20" w:after="20"/>
              <w:jc w:val="right"/>
              <w:rPr>
                <w:b/>
                <w:noProof/>
                <w:sz w:val="20"/>
                <w:szCs w:val="20"/>
              </w:rPr>
            </w:pPr>
          </w:p>
          <w:p>
            <w:pPr>
              <w:spacing w:before="20" w:after="20"/>
              <w:jc w:val="right"/>
              <w:rPr>
                <w:b/>
                <w:noProof/>
                <w:sz w:val="20"/>
              </w:rPr>
            </w:pPr>
            <w:r>
              <w:rPr>
                <w:b/>
                <w:noProof/>
                <w:sz w:val="20"/>
              </w:rPr>
              <w:t>116 667</w:t>
            </w:r>
          </w:p>
        </w:tc>
      </w:tr>
      <w:tr>
        <w:tc>
          <w:tcPr>
            <w:tcW w:w="2203" w:type="dxa"/>
            <w:vMerge/>
          </w:tcPr>
          <w:p>
            <w:pPr>
              <w:rPr>
                <w:noProof/>
                <w:sz w:val="20"/>
              </w:rPr>
            </w:pPr>
          </w:p>
        </w:tc>
        <w:tc>
          <w:tcPr>
            <w:tcW w:w="3197" w:type="dxa"/>
            <w:gridSpan w:val="2"/>
            <w:vAlign w:val="center"/>
          </w:tcPr>
          <w:p>
            <w:pPr>
              <w:rPr>
                <w:noProof/>
                <w:sz w:val="18"/>
              </w:rPr>
            </w:pPr>
            <w:r>
              <w:rPr>
                <w:noProof/>
                <w:sz w:val="18"/>
              </w:rPr>
              <w:t>Pagamenti</w:t>
            </w:r>
          </w:p>
        </w:tc>
        <w:tc>
          <w:tcPr>
            <w:tcW w:w="347" w:type="dxa"/>
            <w:vAlign w:val="center"/>
          </w:tcPr>
          <w:p>
            <w:pPr>
              <w:jc w:val="center"/>
              <w:rPr>
                <w:noProof/>
                <w:sz w:val="14"/>
              </w:rPr>
            </w:pPr>
            <w:r>
              <w:rPr>
                <w:noProof/>
                <w:sz w:val="14"/>
              </w:rPr>
              <w:t>=2+2a</w:t>
            </w:r>
          </w:p>
          <w:p>
            <w:pPr>
              <w:jc w:val="center"/>
              <w:rPr>
                <w:noProof/>
                <w:sz w:val="14"/>
              </w:rPr>
            </w:pPr>
            <w:r>
              <w:rPr>
                <w:noProof/>
                <w:sz w:val="14"/>
              </w:rPr>
              <w:t>+3</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tcPr>
          <w:p>
            <w:pPr>
              <w:spacing w:before="20" w:after="20"/>
              <w:jc w:val="right"/>
              <w:rPr>
                <w:noProof/>
                <w:sz w:val="20"/>
                <w:szCs w:val="20"/>
              </w:rPr>
            </w:pPr>
          </w:p>
          <w:p>
            <w:pPr>
              <w:spacing w:before="20" w:after="20"/>
              <w:jc w:val="right"/>
              <w:rPr>
                <w:noProof/>
                <w:sz w:val="20"/>
                <w:szCs w:val="20"/>
              </w:rPr>
            </w:pPr>
          </w:p>
          <w:p>
            <w:pPr>
              <w:spacing w:before="20" w:after="20"/>
              <w:jc w:val="right"/>
              <w:rPr>
                <w:noProof/>
                <w:sz w:val="20"/>
              </w:rPr>
            </w:pPr>
            <w:r>
              <w:rPr>
                <w:noProof/>
                <w:sz w:val="20"/>
              </w:rPr>
              <w:t>0,000</w:t>
            </w:r>
          </w:p>
        </w:tc>
        <w:tc>
          <w:tcPr>
            <w:tcW w:w="1276" w:type="dxa"/>
          </w:tcPr>
          <w:p>
            <w:pPr>
              <w:spacing w:before="20" w:after="20"/>
              <w:jc w:val="right"/>
              <w:rPr>
                <w:noProof/>
                <w:sz w:val="20"/>
                <w:szCs w:val="20"/>
              </w:rPr>
            </w:pPr>
          </w:p>
          <w:p>
            <w:pPr>
              <w:spacing w:before="20" w:after="20"/>
              <w:jc w:val="right"/>
              <w:rPr>
                <w:noProof/>
                <w:sz w:val="20"/>
                <w:szCs w:val="20"/>
              </w:rPr>
            </w:pPr>
          </w:p>
          <w:p>
            <w:pPr>
              <w:spacing w:before="20" w:after="20"/>
              <w:jc w:val="right"/>
              <w:rPr>
                <w:noProof/>
                <w:sz w:val="20"/>
              </w:rPr>
            </w:pPr>
            <w:r>
              <w:rPr>
                <w:noProof/>
                <w:sz w:val="20"/>
              </w:rPr>
              <w:t>3 500</w:t>
            </w:r>
          </w:p>
        </w:tc>
        <w:tc>
          <w:tcPr>
            <w:tcW w:w="1518" w:type="dxa"/>
          </w:tcPr>
          <w:p>
            <w:pPr>
              <w:spacing w:before="20" w:after="20"/>
              <w:jc w:val="right"/>
              <w:rPr>
                <w:noProof/>
                <w:sz w:val="20"/>
                <w:szCs w:val="20"/>
              </w:rPr>
            </w:pPr>
          </w:p>
          <w:p>
            <w:pPr>
              <w:spacing w:before="20" w:after="20"/>
              <w:jc w:val="right"/>
              <w:rPr>
                <w:noProof/>
                <w:sz w:val="20"/>
                <w:szCs w:val="20"/>
              </w:rPr>
            </w:pPr>
          </w:p>
          <w:p>
            <w:pPr>
              <w:spacing w:before="20" w:after="20"/>
              <w:jc w:val="center"/>
              <w:rPr>
                <w:b/>
                <w:noProof/>
                <w:sz w:val="20"/>
              </w:rPr>
            </w:pPr>
            <w:r>
              <w:rPr>
                <w:b/>
                <w:noProof/>
                <w:sz w:val="20"/>
              </w:rPr>
              <w:t>3 500</w:t>
            </w:r>
          </w:p>
        </w:tc>
      </w:tr>
    </w:tbl>
    <w:p>
      <w:pPr>
        <w:rPr>
          <w:noProof/>
          <w:sz w:val="16"/>
        </w:rPr>
      </w:pPr>
    </w:p>
    <w:tbl>
      <w:tblPr>
        <w:tblW w:w="144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347"/>
        <w:gridCol w:w="709"/>
        <w:gridCol w:w="708"/>
        <w:gridCol w:w="709"/>
        <w:gridCol w:w="1276"/>
        <w:gridCol w:w="1276"/>
        <w:gridCol w:w="1275"/>
        <w:gridCol w:w="1276"/>
        <w:gridCol w:w="1448"/>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TOTALE degli stanziamenti operativi</w:t>
            </w:r>
          </w:p>
        </w:tc>
        <w:tc>
          <w:tcPr>
            <w:tcW w:w="1440" w:type="dxa"/>
            <w:vAlign w:val="center"/>
          </w:tcPr>
          <w:p>
            <w:pPr>
              <w:spacing w:beforeLines="20" w:before="48" w:afterLines="20" w:after="48"/>
              <w:rPr>
                <w:noProof/>
                <w:sz w:val="18"/>
              </w:rPr>
            </w:pPr>
            <w:r>
              <w:rPr>
                <w:noProof/>
                <w:sz w:val="18"/>
              </w:rPr>
              <w:t>Impegni</w:t>
            </w:r>
          </w:p>
        </w:tc>
        <w:tc>
          <w:tcPr>
            <w:tcW w:w="347" w:type="dxa"/>
            <w:vAlign w:val="center"/>
          </w:tcPr>
          <w:p>
            <w:pPr>
              <w:spacing w:beforeLines="20" w:before="48" w:afterLines="20" w:after="48"/>
              <w:jc w:val="center"/>
              <w:rPr>
                <w:noProof/>
                <w:sz w:val="14"/>
              </w:rPr>
            </w:pPr>
            <w:r>
              <w:rPr>
                <w:noProof/>
                <w:sz w:val="14"/>
              </w:rPr>
              <w:t>(4)</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vAlign w:val="center"/>
          </w:tcPr>
          <w:p>
            <w:pPr>
              <w:spacing w:before="20" w:after="20"/>
              <w:jc w:val="right"/>
              <w:rPr>
                <w:noProof/>
                <w:sz w:val="20"/>
              </w:rPr>
            </w:pPr>
            <w:r>
              <w:rPr>
                <w:noProof/>
                <w:sz w:val="20"/>
              </w:rPr>
              <w:t xml:space="preserve">116 667 </w:t>
            </w:r>
            <w:r>
              <w:rPr>
                <w:noProof/>
              </w:rPr>
              <w:tab/>
            </w:r>
          </w:p>
        </w:tc>
        <w:tc>
          <w:tcPr>
            <w:tcW w:w="1276" w:type="dxa"/>
            <w:vAlign w:val="center"/>
          </w:tcPr>
          <w:p>
            <w:pPr>
              <w:spacing w:before="20" w:after="20"/>
              <w:jc w:val="right"/>
              <w:rPr>
                <w:noProof/>
                <w:sz w:val="20"/>
              </w:rPr>
            </w:pPr>
            <w:r>
              <w:rPr>
                <w:noProof/>
                <w:sz w:val="20"/>
              </w:rPr>
              <w:t>0,000</w:t>
            </w:r>
          </w:p>
        </w:tc>
        <w:tc>
          <w:tcPr>
            <w:tcW w:w="1448" w:type="dxa"/>
            <w:vAlign w:val="center"/>
          </w:tcPr>
          <w:p>
            <w:pPr>
              <w:spacing w:before="20" w:after="20"/>
              <w:jc w:val="right"/>
              <w:rPr>
                <w:b/>
                <w:noProof/>
                <w:sz w:val="20"/>
              </w:rPr>
            </w:pPr>
            <w:r>
              <w:rPr>
                <w:b/>
                <w:noProof/>
                <w:sz w:val="20"/>
              </w:rPr>
              <w:t>116 667</w:t>
            </w:r>
          </w:p>
        </w:tc>
      </w:tr>
      <w:tr>
        <w:trPr>
          <w:trHeight w:val="414"/>
        </w:trP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Pagamenti</w:t>
            </w:r>
          </w:p>
        </w:tc>
        <w:tc>
          <w:tcPr>
            <w:tcW w:w="347" w:type="dxa"/>
            <w:vAlign w:val="center"/>
          </w:tcPr>
          <w:p>
            <w:pPr>
              <w:spacing w:beforeLines="20" w:before="48" w:afterLines="20" w:after="48"/>
              <w:jc w:val="center"/>
              <w:rPr>
                <w:noProof/>
                <w:sz w:val="14"/>
              </w:rPr>
            </w:pPr>
            <w:r>
              <w:rPr>
                <w:noProof/>
                <w:sz w:val="14"/>
              </w:rPr>
              <w:t>(5)</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tcPr>
          <w:p>
            <w:pPr>
              <w:spacing w:before="20" w:after="20"/>
              <w:jc w:val="right"/>
              <w:rPr>
                <w:noProof/>
                <w:sz w:val="20"/>
              </w:rPr>
            </w:pPr>
            <w:r>
              <w:rPr>
                <w:noProof/>
                <w:sz w:val="20"/>
              </w:rPr>
              <w:t>0,000</w:t>
            </w:r>
          </w:p>
        </w:tc>
        <w:tc>
          <w:tcPr>
            <w:tcW w:w="1276" w:type="dxa"/>
          </w:tcPr>
          <w:p>
            <w:pPr>
              <w:spacing w:before="20" w:after="20"/>
              <w:jc w:val="right"/>
              <w:rPr>
                <w:noProof/>
                <w:sz w:val="20"/>
              </w:rPr>
            </w:pPr>
            <w:r>
              <w:rPr>
                <w:noProof/>
                <w:sz w:val="20"/>
              </w:rPr>
              <w:t>3 500</w:t>
            </w:r>
          </w:p>
        </w:tc>
        <w:tc>
          <w:tcPr>
            <w:tcW w:w="1448" w:type="dxa"/>
          </w:tcPr>
          <w:p>
            <w:pPr>
              <w:spacing w:before="20" w:after="20"/>
              <w:jc w:val="right"/>
              <w:rPr>
                <w:b/>
                <w:noProof/>
                <w:sz w:val="20"/>
              </w:rPr>
            </w:pPr>
            <w:r>
              <w:rPr>
                <w:b/>
                <w:noProof/>
                <w:sz w:val="20"/>
              </w:rPr>
              <w:t>3 500</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TOTALE degli stanziamenti di natura amministrativa finanziati dalla dotazione per programmi specifici</w:t>
            </w:r>
          </w:p>
        </w:tc>
        <w:tc>
          <w:tcPr>
            <w:tcW w:w="347" w:type="dxa"/>
            <w:vAlign w:val="center"/>
          </w:tcPr>
          <w:p>
            <w:pPr>
              <w:spacing w:beforeLines="20" w:before="48" w:afterLines="20" w:after="48"/>
              <w:jc w:val="center"/>
              <w:rPr>
                <w:noProof/>
                <w:sz w:val="14"/>
              </w:rPr>
            </w:pPr>
            <w:r>
              <w:rPr>
                <w:noProof/>
                <w:sz w:val="14"/>
              </w:rPr>
              <w:t>(6)</w:t>
            </w:r>
          </w:p>
        </w:tc>
        <w:tc>
          <w:tcPr>
            <w:tcW w:w="709" w:type="dxa"/>
            <w:vAlign w:val="center"/>
          </w:tcPr>
          <w:p>
            <w:pPr>
              <w:spacing w:before="20" w:after="20"/>
              <w:jc w:val="right"/>
              <w:rPr>
                <w:b/>
                <w:noProof/>
                <w:sz w:val="20"/>
              </w:rPr>
            </w:pPr>
          </w:p>
        </w:tc>
        <w:tc>
          <w:tcPr>
            <w:tcW w:w="708" w:type="dxa"/>
            <w:vAlign w:val="center"/>
          </w:tcPr>
          <w:p>
            <w:pPr>
              <w:spacing w:before="20" w:after="20"/>
              <w:jc w:val="right"/>
              <w:rPr>
                <w:b/>
                <w:noProof/>
                <w:sz w:val="20"/>
              </w:rPr>
            </w:pPr>
          </w:p>
        </w:tc>
        <w:tc>
          <w:tcPr>
            <w:tcW w:w="709" w:type="dxa"/>
            <w:vAlign w:val="center"/>
          </w:tcPr>
          <w:p>
            <w:pPr>
              <w:spacing w:before="20" w:after="20"/>
              <w:jc w:val="right"/>
              <w:rPr>
                <w:b/>
                <w:noProof/>
                <w:sz w:val="20"/>
              </w:rPr>
            </w:pPr>
          </w:p>
        </w:tc>
        <w:tc>
          <w:tcPr>
            <w:tcW w:w="1276" w:type="dxa"/>
            <w:vAlign w:val="center"/>
          </w:tcPr>
          <w:p>
            <w:pPr>
              <w:spacing w:before="20" w:after="20"/>
              <w:jc w:val="right"/>
              <w:rPr>
                <w:b/>
                <w:noProof/>
                <w:sz w:val="20"/>
              </w:rPr>
            </w:pPr>
          </w:p>
        </w:tc>
        <w:tc>
          <w:tcPr>
            <w:tcW w:w="1276" w:type="dxa"/>
            <w:vAlign w:val="center"/>
          </w:tcPr>
          <w:p>
            <w:pPr>
              <w:spacing w:before="20" w:after="20"/>
              <w:jc w:val="right"/>
              <w:rPr>
                <w:b/>
                <w:noProof/>
                <w:sz w:val="20"/>
              </w:rPr>
            </w:pPr>
          </w:p>
        </w:tc>
        <w:tc>
          <w:tcPr>
            <w:tcW w:w="1275" w:type="dxa"/>
            <w:vAlign w:val="center"/>
          </w:tcPr>
          <w:p>
            <w:pPr>
              <w:spacing w:before="20" w:after="20"/>
              <w:jc w:val="right"/>
              <w:rPr>
                <w:b/>
                <w:noProof/>
                <w:sz w:val="20"/>
              </w:rPr>
            </w:pPr>
            <w:r>
              <w:rPr>
                <w:noProof/>
                <w:sz w:val="20"/>
              </w:rPr>
              <w:t>0,000</w:t>
            </w:r>
          </w:p>
        </w:tc>
        <w:tc>
          <w:tcPr>
            <w:tcW w:w="1276" w:type="dxa"/>
            <w:vAlign w:val="center"/>
          </w:tcPr>
          <w:p>
            <w:pPr>
              <w:spacing w:before="20" w:after="20"/>
              <w:jc w:val="right"/>
              <w:rPr>
                <w:noProof/>
                <w:sz w:val="20"/>
              </w:rPr>
            </w:pPr>
            <w:r>
              <w:rPr>
                <w:noProof/>
                <w:sz w:val="20"/>
              </w:rPr>
              <w:t>0,000</w:t>
            </w:r>
          </w:p>
        </w:tc>
        <w:tc>
          <w:tcPr>
            <w:tcW w:w="1448" w:type="dxa"/>
            <w:vAlign w:val="center"/>
          </w:tcPr>
          <w:p>
            <w:pPr>
              <w:spacing w:before="20" w:after="20"/>
              <w:jc w:val="right"/>
              <w:rPr>
                <w:b/>
                <w:noProof/>
                <w:sz w:val="20"/>
              </w:rPr>
            </w:pPr>
            <w:r>
              <w:rPr>
                <w:b/>
                <w:noProof/>
                <w:sz w:val="20"/>
              </w:rPr>
              <w:t>0,000</w:t>
            </w:r>
          </w:p>
        </w:tc>
      </w:tr>
      <w:tr>
        <w:tc>
          <w:tcPr>
            <w:tcW w:w="3960" w:type="dxa"/>
            <w:vMerge w:val="restart"/>
            <w:shd w:val="thinDiagStripe" w:color="C0C0C0" w:fill="auto"/>
            <w:vAlign w:val="center"/>
          </w:tcPr>
          <w:p>
            <w:pPr>
              <w:jc w:val="center"/>
              <w:rPr>
                <w:b/>
                <w:noProof/>
              </w:rPr>
            </w:pPr>
            <w:r>
              <w:rPr>
                <w:b/>
                <w:noProof/>
                <w:sz w:val="22"/>
              </w:rPr>
              <w:t>TOTALE degli stanziamenti</w:t>
            </w:r>
            <w:r>
              <w:rPr>
                <w:noProof/>
              </w:rPr>
              <w:br/>
            </w:r>
            <w:r>
              <w:rPr>
                <w:b/>
                <w:noProof/>
                <w:sz w:val="22"/>
              </w:rPr>
              <w:t>per la RUBRICA 1b</w:t>
            </w:r>
            <w:r>
              <w:rPr>
                <w:noProof/>
              </w:rPr>
              <w:br/>
            </w:r>
            <w:r>
              <w:rPr>
                <w:noProof/>
                <w:sz w:val="22"/>
              </w:rPr>
              <w:t>del quadro finanziario pluriennale</w:t>
            </w:r>
          </w:p>
        </w:tc>
        <w:tc>
          <w:tcPr>
            <w:tcW w:w="1440" w:type="dxa"/>
            <w:vAlign w:val="center"/>
          </w:tcPr>
          <w:p>
            <w:pPr>
              <w:rPr>
                <w:noProof/>
                <w:sz w:val="18"/>
              </w:rPr>
            </w:pPr>
            <w:r>
              <w:rPr>
                <w:noProof/>
                <w:sz w:val="18"/>
              </w:rPr>
              <w:t>Impegni</w:t>
            </w:r>
          </w:p>
        </w:tc>
        <w:tc>
          <w:tcPr>
            <w:tcW w:w="347" w:type="dxa"/>
            <w:vAlign w:val="center"/>
          </w:tcPr>
          <w:p>
            <w:pPr>
              <w:jc w:val="center"/>
              <w:rPr>
                <w:noProof/>
                <w:sz w:val="14"/>
              </w:rPr>
            </w:pPr>
            <w:r>
              <w:rPr>
                <w:noProof/>
                <w:sz w:val="14"/>
              </w:rPr>
              <w:t>=4+ 6</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vAlign w:val="center"/>
          </w:tcPr>
          <w:p>
            <w:pPr>
              <w:spacing w:before="20" w:after="20"/>
              <w:jc w:val="right"/>
              <w:rPr>
                <w:noProof/>
                <w:sz w:val="20"/>
              </w:rPr>
            </w:pPr>
            <w:r>
              <w:rPr>
                <w:noProof/>
                <w:sz w:val="20"/>
              </w:rPr>
              <w:t>116 667</w:t>
            </w:r>
          </w:p>
        </w:tc>
        <w:tc>
          <w:tcPr>
            <w:tcW w:w="1276" w:type="dxa"/>
            <w:vAlign w:val="center"/>
          </w:tcPr>
          <w:p>
            <w:pPr>
              <w:spacing w:before="20" w:after="20"/>
              <w:jc w:val="right"/>
              <w:rPr>
                <w:noProof/>
                <w:sz w:val="20"/>
              </w:rPr>
            </w:pPr>
            <w:r>
              <w:rPr>
                <w:noProof/>
                <w:sz w:val="20"/>
              </w:rPr>
              <w:t>0,000</w:t>
            </w:r>
          </w:p>
        </w:tc>
        <w:tc>
          <w:tcPr>
            <w:tcW w:w="1448" w:type="dxa"/>
            <w:vAlign w:val="center"/>
          </w:tcPr>
          <w:p>
            <w:pPr>
              <w:spacing w:before="20" w:after="20"/>
              <w:jc w:val="right"/>
              <w:rPr>
                <w:b/>
                <w:noProof/>
                <w:sz w:val="20"/>
              </w:rPr>
            </w:pPr>
            <w:r>
              <w:rPr>
                <w:b/>
                <w:noProof/>
                <w:sz w:val="20"/>
              </w:rPr>
              <w:t>116 667</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Pagamenti</w:t>
            </w:r>
          </w:p>
        </w:tc>
        <w:tc>
          <w:tcPr>
            <w:tcW w:w="347" w:type="dxa"/>
            <w:vAlign w:val="center"/>
          </w:tcPr>
          <w:p>
            <w:pPr>
              <w:jc w:val="center"/>
              <w:rPr>
                <w:noProof/>
                <w:sz w:val="14"/>
              </w:rPr>
            </w:pPr>
            <w:r>
              <w:rPr>
                <w:noProof/>
                <w:sz w:val="14"/>
              </w:rPr>
              <w:t>=5+ 6</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tcPr>
          <w:p>
            <w:pPr>
              <w:spacing w:before="20" w:after="20"/>
              <w:jc w:val="right"/>
              <w:rPr>
                <w:noProof/>
                <w:sz w:val="20"/>
                <w:szCs w:val="20"/>
              </w:rPr>
            </w:pPr>
          </w:p>
          <w:p>
            <w:pPr>
              <w:spacing w:before="20" w:after="20"/>
              <w:jc w:val="right"/>
              <w:rPr>
                <w:noProof/>
                <w:sz w:val="20"/>
              </w:rPr>
            </w:pPr>
            <w:r>
              <w:rPr>
                <w:noProof/>
                <w:sz w:val="20"/>
              </w:rPr>
              <w:t>0,000</w:t>
            </w:r>
          </w:p>
        </w:tc>
        <w:tc>
          <w:tcPr>
            <w:tcW w:w="1276" w:type="dxa"/>
            <w:vAlign w:val="center"/>
          </w:tcPr>
          <w:p>
            <w:pPr>
              <w:spacing w:before="20" w:after="20"/>
              <w:jc w:val="right"/>
              <w:rPr>
                <w:noProof/>
                <w:sz w:val="20"/>
              </w:rPr>
            </w:pPr>
            <w:r>
              <w:rPr>
                <w:noProof/>
                <w:sz w:val="20"/>
              </w:rPr>
              <w:t>3 500</w:t>
            </w:r>
          </w:p>
        </w:tc>
        <w:tc>
          <w:tcPr>
            <w:tcW w:w="1448" w:type="dxa"/>
            <w:vAlign w:val="center"/>
          </w:tcPr>
          <w:p>
            <w:pPr>
              <w:spacing w:before="20" w:after="20"/>
              <w:jc w:val="right"/>
              <w:rPr>
                <w:b/>
                <w:noProof/>
                <w:sz w:val="20"/>
              </w:rPr>
            </w:pPr>
            <w:r>
              <w:rPr>
                <w:b/>
                <w:noProof/>
                <w:sz w:val="20"/>
              </w:rPr>
              <w:t>3 500</w:t>
            </w:r>
          </w:p>
        </w:tc>
      </w:tr>
      <w:tr>
        <w:tc>
          <w:tcPr>
            <w:tcW w:w="3960" w:type="dxa"/>
            <w:shd w:val="thinDiagStripe" w:color="C0C0C0" w:fill="auto"/>
          </w:tcPr>
          <w:p>
            <w:pPr>
              <w:rPr>
                <w:noProof/>
                <w:sz w:val="20"/>
              </w:rPr>
            </w:pPr>
          </w:p>
        </w:tc>
        <w:tc>
          <w:tcPr>
            <w:tcW w:w="1440" w:type="dxa"/>
            <w:vAlign w:val="center"/>
          </w:tcPr>
          <w:p>
            <w:pPr>
              <w:rPr>
                <w:noProof/>
                <w:sz w:val="18"/>
              </w:rPr>
            </w:pPr>
          </w:p>
        </w:tc>
        <w:tc>
          <w:tcPr>
            <w:tcW w:w="347" w:type="dxa"/>
            <w:vAlign w:val="center"/>
          </w:tcPr>
          <w:p>
            <w:pPr>
              <w:jc w:val="center"/>
              <w:rPr>
                <w:noProof/>
                <w:sz w:val="14"/>
              </w:rPr>
            </w:pP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b/>
                <w:noProof/>
                <w:sz w:val="20"/>
              </w:rPr>
            </w:pPr>
          </w:p>
        </w:tc>
        <w:tc>
          <w:tcPr>
            <w:tcW w:w="1275" w:type="dxa"/>
            <w:vAlign w:val="center"/>
          </w:tcPr>
          <w:p>
            <w:pPr>
              <w:spacing w:before="20" w:after="20"/>
              <w:jc w:val="right"/>
              <w:rPr>
                <w:noProof/>
                <w:sz w:val="20"/>
              </w:rPr>
            </w:pPr>
          </w:p>
        </w:tc>
        <w:tc>
          <w:tcPr>
            <w:tcW w:w="1276" w:type="dxa"/>
            <w:vAlign w:val="center"/>
          </w:tcPr>
          <w:p>
            <w:pPr>
              <w:spacing w:before="20" w:after="20"/>
              <w:jc w:val="right"/>
              <w:rPr>
                <w:b/>
                <w:noProof/>
                <w:sz w:val="20"/>
              </w:rPr>
            </w:pPr>
          </w:p>
        </w:tc>
        <w:tc>
          <w:tcPr>
            <w:tcW w:w="1448" w:type="dxa"/>
            <w:vAlign w:val="center"/>
          </w:tcPr>
          <w:p>
            <w:pPr>
              <w:spacing w:before="20" w:after="20"/>
              <w:jc w:val="right"/>
              <w:rPr>
                <w:b/>
                <w:noProof/>
                <w:sz w:val="20"/>
              </w:rPr>
            </w:pPr>
          </w:p>
        </w:tc>
      </w:tr>
    </w:tbl>
    <w:p>
      <w:pPr>
        <w:rPr>
          <w:noProof/>
          <w:sz w:val="16"/>
        </w:rPr>
      </w:pPr>
    </w:p>
    <w:p>
      <w:pPr>
        <w:rPr>
          <w:noProof/>
        </w:rPr>
      </w:pPr>
    </w:p>
    <w:p>
      <w:pPr>
        <w:rPr>
          <w:b/>
          <w:noProof/>
          <w:sz w:val="22"/>
          <w:u w:val="single"/>
        </w:rPr>
      </w:pPr>
      <w:r>
        <w:rPr>
          <w:noProof/>
        </w:rPr>
        <w:br/>
      </w:r>
    </w:p>
    <w:p>
      <w:pPr>
        <w:spacing w:after="40"/>
        <w:rPr>
          <w:b/>
          <w:noProof/>
          <w:sz w:val="22"/>
          <w:u w:val="single"/>
        </w:rPr>
      </w:pPr>
      <w:r>
        <w:rPr>
          <w:b/>
          <w:noProof/>
          <w:sz w:val="22"/>
          <w:u w:val="single"/>
        </w:rPr>
        <w:t>Se la proposta/iniziativa incide su più rubriche: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386"/>
        <w:gridCol w:w="960"/>
        <w:gridCol w:w="840"/>
        <w:gridCol w:w="840"/>
        <w:gridCol w:w="720"/>
        <w:gridCol w:w="720"/>
        <w:gridCol w:w="960"/>
        <w:gridCol w:w="142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 xml:space="preserve"> TOTALE degli stanziamenti operativi</w:t>
            </w:r>
          </w:p>
        </w:tc>
        <w:tc>
          <w:tcPr>
            <w:tcW w:w="1440" w:type="dxa"/>
            <w:tcBorders>
              <w:top w:val="single" w:sz="4" w:space="0" w:color="auto"/>
            </w:tcBorders>
            <w:vAlign w:val="center"/>
          </w:tcPr>
          <w:p>
            <w:pPr>
              <w:spacing w:beforeLines="20" w:before="48" w:afterLines="20" w:after="48"/>
              <w:rPr>
                <w:noProof/>
                <w:sz w:val="18"/>
              </w:rPr>
            </w:pPr>
            <w:r>
              <w:rPr>
                <w:noProof/>
                <w:sz w:val="18"/>
              </w:rPr>
              <w:t>Impegni</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1386"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b/>
                <w:noProof/>
                <w:sz w:val="20"/>
              </w:rPr>
            </w:pPr>
          </w:p>
        </w:tc>
        <w:tc>
          <w:tcPr>
            <w:tcW w:w="142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Pagamenti</w:t>
            </w:r>
          </w:p>
        </w:tc>
        <w:tc>
          <w:tcPr>
            <w:tcW w:w="654" w:type="dxa"/>
            <w:vAlign w:val="center"/>
          </w:tcPr>
          <w:p>
            <w:pPr>
              <w:spacing w:beforeLines="20" w:before="48" w:afterLines="20" w:after="48"/>
              <w:jc w:val="center"/>
              <w:rPr>
                <w:noProof/>
                <w:sz w:val="14"/>
              </w:rPr>
            </w:pPr>
            <w:r>
              <w:rPr>
                <w:noProof/>
                <w:sz w:val="14"/>
              </w:rPr>
              <w:t>(5)</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TOTALE degli stanziamenti di natura amministrativa finanziati dalla dotazione di programmi specifici</w:t>
            </w:r>
          </w:p>
        </w:tc>
        <w:tc>
          <w:tcPr>
            <w:tcW w:w="654" w:type="dxa"/>
            <w:vAlign w:val="center"/>
          </w:tcPr>
          <w:p>
            <w:pPr>
              <w:spacing w:beforeLines="20" w:before="48" w:afterLines="20" w:after="48"/>
              <w:jc w:val="center"/>
              <w:rPr>
                <w:noProof/>
                <w:sz w:val="14"/>
              </w:rPr>
            </w:pPr>
            <w:r>
              <w:rPr>
                <w:noProof/>
                <w:sz w:val="14"/>
              </w:rPr>
              <w:t>(6)</w:t>
            </w:r>
          </w:p>
        </w:tc>
        <w:tc>
          <w:tcPr>
            <w:tcW w:w="1386"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142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TOTALE degli stanziamenti</w:t>
            </w:r>
            <w:r>
              <w:rPr>
                <w:noProof/>
              </w:rPr>
              <w:br/>
            </w:r>
            <w:r>
              <w:rPr>
                <w:b/>
                <w:noProof/>
                <w:sz w:val="22"/>
              </w:rPr>
              <w:t>per le RUBRICHE da 1 a 4</w:t>
            </w:r>
            <w:r>
              <w:rPr>
                <w:noProof/>
              </w:rPr>
              <w:br/>
            </w:r>
            <w:r>
              <w:rPr>
                <w:noProof/>
                <w:sz w:val="22"/>
              </w:rPr>
              <w:t>del quadro finanziario pluriennale</w:t>
            </w:r>
            <w:r>
              <w:rPr>
                <w:noProof/>
              </w:rPr>
              <w:br/>
            </w:r>
            <w:r>
              <w:rPr>
                <w:noProof/>
                <w:sz w:val="20"/>
              </w:rPr>
              <w:t>(importo di riferimento)</w:t>
            </w:r>
          </w:p>
        </w:tc>
        <w:tc>
          <w:tcPr>
            <w:tcW w:w="1440" w:type="dxa"/>
            <w:vAlign w:val="center"/>
          </w:tcPr>
          <w:p>
            <w:pPr>
              <w:rPr>
                <w:noProof/>
                <w:sz w:val="18"/>
              </w:rPr>
            </w:pPr>
            <w:r>
              <w:rPr>
                <w:noProof/>
                <w:sz w:val="18"/>
              </w:rPr>
              <w:t>Impegni</w:t>
            </w:r>
          </w:p>
        </w:tc>
        <w:tc>
          <w:tcPr>
            <w:tcW w:w="654" w:type="dxa"/>
            <w:vAlign w:val="center"/>
          </w:tcPr>
          <w:p>
            <w:pPr>
              <w:jc w:val="center"/>
              <w:rPr>
                <w:noProof/>
                <w:sz w:val="14"/>
              </w:rPr>
            </w:pPr>
            <w:r>
              <w:rPr>
                <w:noProof/>
                <w:sz w:val="14"/>
              </w:rPr>
              <w:t>=4+ 6</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Pagamenti</w:t>
            </w:r>
          </w:p>
        </w:tc>
        <w:tc>
          <w:tcPr>
            <w:tcW w:w="654" w:type="dxa"/>
            <w:tcBorders>
              <w:bottom w:val="single" w:sz="4" w:space="0" w:color="auto"/>
            </w:tcBorders>
            <w:vAlign w:val="center"/>
          </w:tcPr>
          <w:p>
            <w:pPr>
              <w:jc w:val="center"/>
              <w:rPr>
                <w:noProof/>
                <w:sz w:val="14"/>
              </w:rPr>
            </w:pPr>
            <w:r>
              <w:rPr>
                <w:noProof/>
                <w:sz w:val="14"/>
              </w:rPr>
              <w:t>=5+ 6</w:t>
            </w:r>
          </w:p>
        </w:tc>
        <w:tc>
          <w:tcPr>
            <w:tcW w:w="1386" w:type="dxa"/>
            <w:tcBorders>
              <w:bottom w:val="single" w:sz="4" w:space="0" w:color="auto"/>
            </w:tcBorders>
            <w:vAlign w:val="center"/>
          </w:tcPr>
          <w:p>
            <w:pPr>
              <w:spacing w:before="20" w:after="20"/>
              <w:jc w:val="right"/>
              <w:rPr>
                <w:noProof/>
                <w:sz w:val="20"/>
              </w:rPr>
            </w:pPr>
            <w:r>
              <w:rPr>
                <w:noProof/>
                <w:sz w:val="20"/>
              </w:rPr>
              <w:t>0</w:t>
            </w:r>
          </w:p>
        </w:tc>
        <w:tc>
          <w:tcPr>
            <w:tcW w:w="960" w:type="dxa"/>
            <w:tcBorders>
              <w:bottom w:val="single" w:sz="4" w:space="0" w:color="auto"/>
            </w:tcBorders>
            <w:vAlign w:val="center"/>
          </w:tcPr>
          <w:p>
            <w:pPr>
              <w:spacing w:before="20" w:after="20"/>
              <w:jc w:val="right"/>
              <w:rPr>
                <w:noProof/>
                <w:sz w:val="20"/>
              </w:rPr>
            </w:pPr>
          </w:p>
        </w:tc>
        <w:tc>
          <w:tcPr>
            <w:tcW w:w="840" w:type="dxa"/>
            <w:tcBorders>
              <w:bottom w:val="single" w:sz="4" w:space="0" w:color="auto"/>
            </w:tcBorders>
            <w:vAlign w:val="center"/>
          </w:tcPr>
          <w:p>
            <w:pPr>
              <w:spacing w:before="20" w:after="20"/>
              <w:jc w:val="right"/>
              <w:rPr>
                <w:noProof/>
                <w:sz w:val="20"/>
              </w:rPr>
            </w:pPr>
          </w:p>
        </w:tc>
        <w:tc>
          <w:tcPr>
            <w:tcW w:w="840" w:type="dxa"/>
            <w:tcBorders>
              <w:bottom w:val="single" w:sz="4" w:space="0" w:color="auto"/>
            </w:tcBorders>
            <w:vAlign w:val="center"/>
          </w:tcPr>
          <w:p>
            <w:pPr>
              <w:spacing w:before="20" w:after="20"/>
              <w:jc w:val="right"/>
              <w:rPr>
                <w:noProof/>
                <w:sz w:val="20"/>
              </w:rPr>
            </w:pPr>
          </w:p>
        </w:tc>
        <w:tc>
          <w:tcPr>
            <w:tcW w:w="720" w:type="dxa"/>
            <w:tcBorders>
              <w:bottom w:val="single" w:sz="4" w:space="0" w:color="auto"/>
            </w:tcBorders>
            <w:vAlign w:val="center"/>
          </w:tcPr>
          <w:p>
            <w:pPr>
              <w:spacing w:before="20" w:after="20"/>
              <w:jc w:val="right"/>
              <w:rPr>
                <w:noProof/>
                <w:sz w:val="20"/>
              </w:rPr>
            </w:pPr>
          </w:p>
        </w:tc>
        <w:tc>
          <w:tcPr>
            <w:tcW w:w="720" w:type="dxa"/>
            <w:tcBorders>
              <w:bottom w:val="single" w:sz="4" w:space="0" w:color="auto"/>
            </w:tcBorders>
            <w:vAlign w:val="center"/>
          </w:tcPr>
          <w:p>
            <w:pPr>
              <w:spacing w:before="20" w:after="20"/>
              <w:jc w:val="right"/>
              <w:rPr>
                <w:noProof/>
                <w:sz w:val="20"/>
              </w:rPr>
            </w:pPr>
          </w:p>
        </w:tc>
        <w:tc>
          <w:tcPr>
            <w:tcW w:w="960" w:type="dxa"/>
            <w:tcBorders>
              <w:bottom w:val="single" w:sz="4" w:space="0" w:color="auto"/>
            </w:tcBorders>
            <w:vAlign w:val="center"/>
          </w:tcPr>
          <w:p>
            <w:pPr>
              <w:spacing w:before="20" w:after="20"/>
              <w:jc w:val="right"/>
              <w:rPr>
                <w:b/>
                <w:noProof/>
                <w:sz w:val="20"/>
              </w:rPr>
            </w:pPr>
          </w:p>
        </w:tc>
        <w:tc>
          <w:tcPr>
            <w:tcW w:w="1427" w:type="dxa"/>
            <w:tcBorders>
              <w:bottom w:val="single" w:sz="4" w:space="0" w:color="auto"/>
              <w:right w:val="single" w:sz="4" w:space="0" w:color="auto"/>
            </w:tcBorders>
            <w:vAlign w:val="center"/>
          </w:tcPr>
          <w:p>
            <w:pPr>
              <w:spacing w:before="20" w:after="20"/>
              <w:jc w:val="right"/>
              <w:rPr>
                <w:b/>
                <w:noProof/>
                <w:sz w:val="20"/>
              </w:rPr>
            </w:pPr>
            <w:r>
              <w:rPr>
                <w:b/>
                <w:noProof/>
                <w:sz w:val="20"/>
              </w:rPr>
              <w:t>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 xml:space="preserve">Rubrica del </w:t>
            </w:r>
            <w:r>
              <w:rPr>
                <w:noProof/>
              </w:rPr>
              <w:br/>
            </w:r>
            <w:r>
              <w:rPr>
                <w:b/>
                <w:noProof/>
              </w:rPr>
              <w:t xml:space="preserve">quadro finanziario pluriennale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"Spese amministrative"</w:t>
            </w:r>
          </w:p>
        </w:tc>
      </w:tr>
    </w:tbl>
    <w:p>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Anno</w:t>
            </w:r>
            <w:r>
              <w:rPr>
                <w:noProof/>
              </w:rPr>
              <w:br/>
            </w:r>
            <w:r>
              <w:rPr>
                <w:b/>
                <w:noProof/>
                <w:sz w:val="20"/>
              </w:rPr>
              <w:t>N</w:t>
            </w:r>
          </w:p>
        </w:tc>
        <w:tc>
          <w:tcPr>
            <w:tcW w:w="868" w:type="dxa"/>
            <w:vAlign w:val="center"/>
          </w:tcPr>
          <w:p>
            <w:pPr>
              <w:jc w:val="center"/>
              <w:rPr>
                <w:noProof/>
                <w:sz w:val="20"/>
              </w:rPr>
            </w:pPr>
            <w:r>
              <w:rPr>
                <w:noProof/>
                <w:sz w:val="20"/>
              </w:rPr>
              <w:t>Anno</w:t>
            </w:r>
            <w:r>
              <w:rPr>
                <w:noProof/>
              </w:rPr>
              <w:br/>
            </w:r>
            <w:r>
              <w:rPr>
                <w:b/>
                <w:noProof/>
                <w:sz w:val="20"/>
              </w:rPr>
              <w:t>N+1</w:t>
            </w:r>
          </w:p>
        </w:tc>
        <w:tc>
          <w:tcPr>
            <w:tcW w:w="868" w:type="dxa"/>
            <w:vAlign w:val="center"/>
          </w:tcPr>
          <w:p>
            <w:pPr>
              <w:jc w:val="center"/>
              <w:rPr>
                <w:noProof/>
                <w:sz w:val="20"/>
              </w:rPr>
            </w:pPr>
            <w:r>
              <w:rPr>
                <w:noProof/>
                <w:sz w:val="20"/>
              </w:rPr>
              <w:t>Anno</w:t>
            </w:r>
            <w:r>
              <w:rPr>
                <w:noProof/>
              </w:rPr>
              <w:br/>
            </w:r>
            <w:r>
              <w:rPr>
                <w:b/>
                <w:noProof/>
                <w:sz w:val="20"/>
              </w:rPr>
              <w:t>N+2</w:t>
            </w:r>
          </w:p>
        </w:tc>
        <w:tc>
          <w:tcPr>
            <w:tcW w:w="868" w:type="dxa"/>
            <w:vAlign w:val="center"/>
          </w:tcPr>
          <w:p>
            <w:pPr>
              <w:jc w:val="center"/>
              <w:rPr>
                <w:noProof/>
                <w:sz w:val="20"/>
              </w:rPr>
            </w:pPr>
            <w:r>
              <w:rPr>
                <w:noProof/>
                <w:sz w:val="20"/>
              </w:rPr>
              <w:t>Anno</w:t>
            </w:r>
            <w:r>
              <w:rPr>
                <w:noProof/>
              </w:rPr>
              <w:br/>
            </w:r>
            <w:r>
              <w:rPr>
                <w:b/>
                <w:noProof/>
                <w:sz w:val="20"/>
              </w:rPr>
              <w:t>N+3</w:t>
            </w:r>
          </w:p>
        </w:tc>
        <w:tc>
          <w:tcPr>
            <w:tcW w:w="2604" w:type="dxa"/>
            <w:gridSpan w:val="3"/>
            <w:vAlign w:val="center"/>
          </w:tcPr>
          <w:p>
            <w:pPr>
              <w:jc w:val="center"/>
              <w:rPr>
                <w:b/>
                <w:noProof/>
                <w:sz w:val="18"/>
              </w:rPr>
            </w:pPr>
            <w:r>
              <w:rPr>
                <w:noProof/>
                <w:sz w:val="18"/>
              </w:rPr>
              <w:t xml:space="preserve">Inserire gli anni necessari per evidenziare la durata dell'incidenza (cfr. punto 1.6) </w:t>
            </w:r>
          </w:p>
        </w:tc>
        <w:tc>
          <w:tcPr>
            <w:tcW w:w="1777" w:type="dxa"/>
            <w:vAlign w:val="center"/>
          </w:tcPr>
          <w:p>
            <w:pPr>
              <w:jc w:val="center"/>
              <w:rPr>
                <w:b/>
                <w:noProof/>
                <w:sz w:val="20"/>
              </w:rPr>
            </w:pPr>
            <w:r>
              <w:rPr>
                <w:b/>
                <w:noProof/>
                <w:sz w:val="20"/>
              </w:rPr>
              <w:t>TOTALE</w:t>
            </w:r>
          </w:p>
        </w:tc>
      </w:tr>
      <w:tr>
        <w:trPr>
          <w:gridAfter w:val="10"/>
          <w:wAfter w:w="9947" w:type="dxa"/>
        </w:trPr>
        <w:tc>
          <w:tcPr>
            <w:tcW w:w="3960" w:type="dxa"/>
            <w:vAlign w:val="center"/>
          </w:tcPr>
          <w:p>
            <w:pPr>
              <w:spacing w:before="60" w:after="60"/>
              <w:jc w:val="center"/>
              <w:rPr>
                <w:noProof/>
              </w:rPr>
            </w:pPr>
            <w:r>
              <w:rPr>
                <w:noProof/>
                <w:sz w:val="22"/>
              </w:rPr>
              <w:t xml:space="preserve">DG: </w:t>
            </w:r>
            <w:r>
              <w:rPr>
                <w:noProof/>
              </w:rPr>
              <w:t>&lt;…….&gt;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Risorse umane</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rPr>
              <w:t xml:space="preserve"> </w:t>
            </w:r>
            <w:r>
              <w:rPr>
                <w:noProof/>
                <w:sz w:val="22"/>
              </w:rPr>
              <w:t>Altre spese amministrative</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TOTALE DG</w:t>
            </w:r>
            <w:r>
              <w:rPr>
                <w:noProof/>
              </w:rPr>
              <w:t xml:space="preserve"> &lt;….&gt;</w:t>
            </w:r>
          </w:p>
        </w:tc>
        <w:tc>
          <w:tcPr>
            <w:tcW w:w="2094" w:type="dxa"/>
            <w:gridSpan w:val="2"/>
            <w:vAlign w:val="center"/>
          </w:tcPr>
          <w:p>
            <w:pPr>
              <w:rPr>
                <w:noProof/>
                <w:sz w:val="14"/>
              </w:rPr>
            </w:pPr>
            <w:r>
              <w:rPr>
                <w:noProof/>
                <w:sz w:val="18"/>
              </w:rPr>
              <w:t xml:space="preserve">Stanziamenti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TOTALE degli stanziamenti</w:t>
            </w:r>
            <w:r>
              <w:rPr>
                <w:noProof/>
              </w:rPr>
              <w:br/>
            </w:r>
            <w:r>
              <w:rPr>
                <w:b/>
                <w:noProof/>
                <w:sz w:val="22"/>
              </w:rPr>
              <w:t>per la RUBRICA 5</w:t>
            </w:r>
            <w:r>
              <w:rPr>
                <w:noProof/>
              </w:rPr>
              <w:br/>
            </w:r>
            <w:r>
              <w:rPr>
                <w:noProof/>
                <w:sz w:val="22"/>
              </w:rPr>
              <w:t>del quadro finanziario pluriennale</w:t>
            </w:r>
            <w:r>
              <w:rPr>
                <w:b/>
                <w:noProof/>
                <w:sz w:val="22"/>
              </w:rPr>
              <w:t xml:space="preserve"> </w:t>
            </w:r>
          </w:p>
        </w:tc>
        <w:tc>
          <w:tcPr>
            <w:tcW w:w="2094" w:type="dxa"/>
            <w:vAlign w:val="center"/>
          </w:tcPr>
          <w:p>
            <w:pPr>
              <w:spacing w:before="40" w:after="40"/>
              <w:rPr>
                <w:noProof/>
              </w:rPr>
            </w:pPr>
            <w:r>
              <w:rPr>
                <w:noProof/>
                <w:sz w:val="18"/>
              </w:rPr>
              <w:t>(Totale impegni = Totale pagamenti)</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Anno</w:t>
            </w:r>
            <w:r>
              <w:rPr>
                <w:noProof/>
              </w:rPr>
              <w:br/>
            </w:r>
            <w:r>
              <w:rPr>
                <w:b/>
                <w:noProof/>
                <w:sz w:val="20"/>
              </w:rPr>
              <w:t>N</w:t>
            </w:r>
            <w:r>
              <w:rPr>
                <w:rStyle w:val="FootnoteReference"/>
                <w:b/>
                <w:noProof/>
                <w:sz w:val="20"/>
              </w:rPr>
              <w:footnoteReference w:id="15"/>
            </w:r>
          </w:p>
        </w:tc>
        <w:tc>
          <w:tcPr>
            <w:tcW w:w="868" w:type="dxa"/>
            <w:vAlign w:val="center"/>
          </w:tcPr>
          <w:p>
            <w:pPr>
              <w:jc w:val="center"/>
              <w:rPr>
                <w:noProof/>
                <w:sz w:val="20"/>
              </w:rPr>
            </w:pPr>
            <w:r>
              <w:rPr>
                <w:noProof/>
                <w:sz w:val="20"/>
              </w:rPr>
              <w:t>Anno</w:t>
            </w:r>
            <w:r>
              <w:rPr>
                <w:noProof/>
              </w:rPr>
              <w:br/>
            </w:r>
            <w:r>
              <w:rPr>
                <w:b/>
                <w:noProof/>
                <w:sz w:val="20"/>
              </w:rPr>
              <w:t>N+1</w:t>
            </w:r>
          </w:p>
        </w:tc>
        <w:tc>
          <w:tcPr>
            <w:tcW w:w="868" w:type="dxa"/>
            <w:vAlign w:val="center"/>
          </w:tcPr>
          <w:p>
            <w:pPr>
              <w:jc w:val="center"/>
              <w:rPr>
                <w:noProof/>
                <w:sz w:val="20"/>
              </w:rPr>
            </w:pPr>
            <w:r>
              <w:rPr>
                <w:noProof/>
                <w:sz w:val="20"/>
              </w:rPr>
              <w:t>Anno</w:t>
            </w:r>
            <w:r>
              <w:rPr>
                <w:noProof/>
              </w:rPr>
              <w:br/>
            </w:r>
            <w:r>
              <w:rPr>
                <w:b/>
                <w:noProof/>
                <w:sz w:val="20"/>
              </w:rPr>
              <w:t>N+2</w:t>
            </w:r>
          </w:p>
        </w:tc>
        <w:tc>
          <w:tcPr>
            <w:tcW w:w="868" w:type="dxa"/>
            <w:vAlign w:val="center"/>
          </w:tcPr>
          <w:p>
            <w:pPr>
              <w:jc w:val="center"/>
              <w:rPr>
                <w:noProof/>
                <w:sz w:val="20"/>
              </w:rPr>
            </w:pPr>
            <w:r>
              <w:rPr>
                <w:noProof/>
                <w:sz w:val="20"/>
              </w:rPr>
              <w:t>Anno</w:t>
            </w:r>
            <w:r>
              <w:rPr>
                <w:noProof/>
              </w:rPr>
              <w:br/>
            </w:r>
            <w:r>
              <w:rPr>
                <w:b/>
                <w:noProof/>
                <w:sz w:val="20"/>
              </w:rPr>
              <w:t>N+3</w:t>
            </w:r>
          </w:p>
        </w:tc>
        <w:tc>
          <w:tcPr>
            <w:tcW w:w="2604" w:type="dxa"/>
            <w:gridSpan w:val="3"/>
            <w:vAlign w:val="center"/>
          </w:tcPr>
          <w:p>
            <w:pPr>
              <w:jc w:val="center"/>
              <w:rPr>
                <w:b/>
                <w:noProof/>
                <w:sz w:val="18"/>
              </w:rPr>
            </w:pPr>
            <w:r>
              <w:rPr>
                <w:noProof/>
                <w:sz w:val="18"/>
              </w:rPr>
              <w:t>Inserire gli anni necessari per evidenziare la durata dell'incidenza (cfr. punto 1.6)</w:t>
            </w:r>
          </w:p>
        </w:tc>
        <w:tc>
          <w:tcPr>
            <w:tcW w:w="1777" w:type="dxa"/>
            <w:vAlign w:val="center"/>
          </w:tcPr>
          <w:p>
            <w:pPr>
              <w:jc w:val="center"/>
              <w:rPr>
                <w:b/>
                <w:noProof/>
                <w:sz w:val="20"/>
              </w:rPr>
            </w:pPr>
            <w:r>
              <w:rPr>
                <w:b/>
                <w:noProof/>
                <w:sz w:val="20"/>
              </w:rPr>
              <w:t>TOTALE</w:t>
            </w:r>
          </w:p>
        </w:tc>
      </w:tr>
      <w:tr>
        <w:tc>
          <w:tcPr>
            <w:tcW w:w="3960" w:type="dxa"/>
            <w:vMerge w:val="restart"/>
            <w:shd w:val="clear" w:color="auto" w:fill="C0C0C0"/>
            <w:vAlign w:val="center"/>
          </w:tcPr>
          <w:p>
            <w:pPr>
              <w:jc w:val="center"/>
              <w:rPr>
                <w:b/>
                <w:noProof/>
              </w:rPr>
            </w:pPr>
            <w:r>
              <w:rPr>
                <w:b/>
                <w:noProof/>
                <w:sz w:val="22"/>
              </w:rPr>
              <w:t>TOTALE degli stanziamenti</w:t>
            </w:r>
            <w:r>
              <w:rPr>
                <w:noProof/>
              </w:rPr>
              <w:br/>
            </w:r>
            <w:r>
              <w:rPr>
                <w:b/>
                <w:noProof/>
                <w:sz w:val="22"/>
              </w:rPr>
              <w:t>per le RUBRICHE da 1 a 5</w:t>
            </w:r>
            <w:r>
              <w:rPr>
                <w:noProof/>
              </w:rPr>
              <w:br/>
            </w:r>
            <w:r>
              <w:rPr>
                <w:noProof/>
                <w:sz w:val="22"/>
              </w:rPr>
              <w:t>del quadro finanziario pluriennale</w:t>
            </w:r>
            <w:r>
              <w:rPr>
                <w:b/>
                <w:noProof/>
                <w:sz w:val="22"/>
              </w:rPr>
              <w:t xml:space="preserve"> </w:t>
            </w:r>
          </w:p>
        </w:tc>
        <w:tc>
          <w:tcPr>
            <w:tcW w:w="2094" w:type="dxa"/>
            <w:gridSpan w:val="2"/>
            <w:vAlign w:val="center"/>
          </w:tcPr>
          <w:p>
            <w:pPr>
              <w:rPr>
                <w:noProof/>
                <w:sz w:val="14"/>
              </w:rPr>
            </w:pPr>
            <w:r>
              <w:rPr>
                <w:noProof/>
                <w:sz w:val="18"/>
              </w:rPr>
              <w:t>Impegni</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Pagamenti</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Incidenza prevista sugli stanziamenti operativi </w:t>
      </w:r>
    </w:p>
    <w:p>
      <w:pPr>
        <w:pStyle w:val="ListDash1"/>
        <w:rPr>
          <w:noProof/>
        </w:rPr>
      </w:pPr>
      <w:r>
        <w:rPr>
          <w:noProof/>
        </w:rPr>
        <w:sym w:font="Wingdings" w:char="F0A8"/>
      </w:r>
      <w:r>
        <w:rPr>
          <w:noProof/>
        </w:rPr>
        <w:tab/>
        <w:t xml:space="preserve">La proposta/iniziativa non comporta l'utilizzo di stanziamenti operativi </w:t>
      </w:r>
    </w:p>
    <w:p>
      <w:pPr>
        <w:pStyle w:val="ListDash1"/>
        <w:rPr>
          <w:noProof/>
        </w:rPr>
      </w:pPr>
      <w:r>
        <w:rPr>
          <w:noProof/>
        </w:rPr>
        <w:sym w:font="Wingdings" w:char="F078"/>
      </w:r>
      <w:r>
        <w:rPr>
          <w:noProof/>
        </w:rPr>
        <w:tab/>
        <w:t>La proposta/iniziativa comporta l'utilizzo di stanziamenti operativi, come spiegato di seguito:</w:t>
      </w:r>
    </w:p>
    <w:p>
      <w:pPr>
        <w:jc w:val="right"/>
        <w:rPr>
          <w:noProof/>
          <w:sz w:val="20"/>
        </w:rPr>
      </w:pPr>
      <w:r>
        <w:rPr>
          <w:noProof/>
          <w:sz w:val="20"/>
        </w:rPr>
        <w:t>Stanziamenti d'impegno in Mio EUR (al terzo decimale)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Specificare gli obiettivi e i risultati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Anno</w:t>
            </w:r>
            <w:r>
              <w:rPr>
                <w:noProof/>
              </w:rPr>
              <w:br/>
            </w:r>
            <w:r>
              <w:rPr>
                <w:b/>
                <w:noProof/>
                <w:sz w:val="18"/>
              </w:rPr>
              <w:t>N</w:t>
            </w:r>
          </w:p>
        </w:tc>
        <w:tc>
          <w:tcPr>
            <w:tcW w:w="1260" w:type="dxa"/>
            <w:gridSpan w:val="2"/>
            <w:vAlign w:val="center"/>
          </w:tcPr>
          <w:p>
            <w:pPr>
              <w:ind w:right="-29"/>
              <w:jc w:val="center"/>
              <w:rPr>
                <w:noProof/>
                <w:sz w:val="18"/>
                <w:szCs w:val="18"/>
              </w:rPr>
            </w:pPr>
            <w:r>
              <w:rPr>
                <w:noProof/>
                <w:sz w:val="18"/>
              </w:rPr>
              <w:t>Anno</w:t>
            </w:r>
            <w:r>
              <w:rPr>
                <w:noProof/>
              </w:rPr>
              <w:br/>
            </w:r>
            <w:r>
              <w:rPr>
                <w:b/>
                <w:noProof/>
                <w:sz w:val="18"/>
              </w:rPr>
              <w:t>N+1</w:t>
            </w:r>
          </w:p>
        </w:tc>
        <w:tc>
          <w:tcPr>
            <w:tcW w:w="1440" w:type="dxa"/>
            <w:gridSpan w:val="2"/>
            <w:vAlign w:val="center"/>
          </w:tcPr>
          <w:p>
            <w:pPr>
              <w:ind w:right="-29"/>
              <w:jc w:val="center"/>
              <w:rPr>
                <w:noProof/>
                <w:sz w:val="18"/>
                <w:szCs w:val="18"/>
              </w:rPr>
            </w:pPr>
            <w:r>
              <w:rPr>
                <w:noProof/>
                <w:sz w:val="18"/>
              </w:rPr>
              <w:t>Anno</w:t>
            </w:r>
            <w:r>
              <w:rPr>
                <w:noProof/>
              </w:rPr>
              <w:br/>
            </w:r>
            <w:r>
              <w:rPr>
                <w:b/>
                <w:noProof/>
                <w:sz w:val="18"/>
              </w:rPr>
              <w:t>N+2</w:t>
            </w:r>
          </w:p>
        </w:tc>
        <w:tc>
          <w:tcPr>
            <w:tcW w:w="1620" w:type="dxa"/>
            <w:gridSpan w:val="3"/>
            <w:vAlign w:val="center"/>
          </w:tcPr>
          <w:p>
            <w:pPr>
              <w:ind w:right="-29"/>
              <w:jc w:val="center"/>
              <w:rPr>
                <w:noProof/>
                <w:sz w:val="18"/>
                <w:szCs w:val="18"/>
              </w:rPr>
            </w:pPr>
            <w:r>
              <w:rPr>
                <w:noProof/>
                <w:sz w:val="18"/>
              </w:rPr>
              <w:t>Anno</w:t>
            </w:r>
            <w:r>
              <w:rPr>
                <w:noProof/>
              </w:rPr>
              <w:br/>
            </w:r>
            <w:r>
              <w:rPr>
                <w:b/>
                <w:noProof/>
                <w:sz w:val="18"/>
              </w:rPr>
              <w:t>N+3</w:t>
            </w:r>
          </w:p>
        </w:tc>
        <w:tc>
          <w:tcPr>
            <w:tcW w:w="3600" w:type="dxa"/>
            <w:gridSpan w:val="6"/>
            <w:vAlign w:val="center"/>
          </w:tcPr>
          <w:p>
            <w:pPr>
              <w:jc w:val="center"/>
              <w:rPr>
                <w:noProof/>
                <w:sz w:val="18"/>
                <w:szCs w:val="18"/>
              </w:rPr>
            </w:pPr>
            <w:r>
              <w:rPr>
                <w:noProof/>
                <w:sz w:val="18"/>
              </w:rPr>
              <w:t>Inserire gli anni necessari per evidenziare la durata dell'incidenza (cfr. punto 1.6)</w:t>
            </w:r>
          </w:p>
        </w:tc>
        <w:tc>
          <w:tcPr>
            <w:tcW w:w="1620" w:type="dxa"/>
            <w:gridSpan w:val="2"/>
            <w:tcBorders>
              <w:left w:val="nil"/>
              <w:bottom w:val="nil"/>
            </w:tcBorders>
            <w:vAlign w:val="center"/>
          </w:tcPr>
          <w:p>
            <w:pPr>
              <w:ind w:right="-29"/>
              <w:jc w:val="center"/>
              <w:rPr>
                <w:noProof/>
                <w:sz w:val="18"/>
                <w:szCs w:val="18"/>
              </w:rPr>
            </w:pPr>
            <w:r>
              <w:rPr>
                <w:b/>
                <w:noProof/>
                <w:sz w:val="18"/>
              </w:rPr>
              <w:t>TOTALE</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RISULTATI</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Tipo</w:t>
            </w:r>
            <w:r>
              <w:rPr>
                <w:rStyle w:val="FootnoteReference"/>
                <w:noProof/>
                <w:sz w:val="18"/>
              </w:rPr>
              <w:footnoteReference w:id="16"/>
            </w:r>
          </w:p>
          <w:p>
            <w:pPr>
              <w:spacing w:before="0" w:after="0"/>
              <w:jc w:val="center"/>
              <w:rPr>
                <w:noProof/>
                <w:sz w:val="18"/>
                <w:szCs w:val="18"/>
              </w:rPr>
            </w:pPr>
          </w:p>
        </w:tc>
        <w:tc>
          <w:tcPr>
            <w:tcW w:w="701" w:type="dxa"/>
            <w:vAlign w:val="center"/>
          </w:tcPr>
          <w:p>
            <w:pPr>
              <w:jc w:val="center"/>
              <w:rPr>
                <w:noProof/>
                <w:sz w:val="18"/>
                <w:szCs w:val="18"/>
              </w:rPr>
            </w:pPr>
            <w:r>
              <w:rPr>
                <w:noProof/>
                <w:sz w:val="18"/>
              </w:rPr>
              <w:t>Costo medio</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648"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w:t>
            </w:r>
          </w:p>
        </w:tc>
        <w:tc>
          <w:tcPr>
            <w:tcW w:w="720" w:type="dxa"/>
            <w:tcBorders>
              <w:left w:val="dashSmallGap" w:sz="4" w:space="0" w:color="auto"/>
            </w:tcBorders>
            <w:shd w:val="pct10" w:color="auto" w:fill="auto"/>
            <w:vAlign w:val="center"/>
          </w:tcPr>
          <w:p>
            <w:pPr>
              <w:jc w:val="center"/>
              <w:rPr>
                <w:noProof/>
                <w:sz w:val="18"/>
                <w:szCs w:val="18"/>
              </w:rPr>
            </w:pPr>
            <w:r>
              <w:rPr>
                <w:noProof/>
                <w:sz w:val="18"/>
              </w:rPr>
              <w:t>Costo</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N. totale</w:t>
            </w:r>
          </w:p>
        </w:tc>
        <w:tc>
          <w:tcPr>
            <w:tcW w:w="900" w:type="dxa"/>
            <w:tcBorders>
              <w:left w:val="dashSmallGap" w:sz="4" w:space="0" w:color="auto"/>
            </w:tcBorders>
            <w:shd w:val="pct10" w:color="auto" w:fill="auto"/>
            <w:vAlign w:val="center"/>
          </w:tcPr>
          <w:p>
            <w:pPr>
              <w:jc w:val="center"/>
              <w:rPr>
                <w:noProof/>
                <w:sz w:val="18"/>
                <w:szCs w:val="18"/>
              </w:rPr>
            </w:pPr>
            <w:r>
              <w:rPr>
                <w:noProof/>
                <w:sz w:val="18"/>
              </w:rPr>
              <w:t>Costo totale</w:t>
            </w:r>
          </w:p>
        </w:tc>
      </w:tr>
      <w:tr>
        <w:trPr>
          <w:jc w:val="center"/>
        </w:trPr>
        <w:tc>
          <w:tcPr>
            <w:tcW w:w="2844" w:type="dxa"/>
            <w:gridSpan w:val="3"/>
            <w:vAlign w:val="center"/>
          </w:tcPr>
          <w:p>
            <w:pPr>
              <w:spacing w:before="60" w:after="60"/>
              <w:ind w:right="-29"/>
              <w:jc w:val="center"/>
              <w:rPr>
                <w:noProof/>
                <w:sz w:val="18"/>
                <w:szCs w:val="18"/>
              </w:rPr>
            </w:pPr>
            <w:r>
              <w:rPr>
                <w:noProof/>
                <w:sz w:val="18"/>
              </w:rPr>
              <w:t>OBIETTIVO SPECIFICO 1</w:t>
            </w:r>
            <w:r>
              <w:rPr>
                <w:rStyle w:val="FootnoteReference"/>
                <w:noProof/>
                <w:sz w:val="18"/>
              </w:rPr>
              <w:footnoteReference w:id="17"/>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Risultato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Risultato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Risultato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Totale parziale dell'obiettivo specifico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OBIETTIVO SPECIFICO 2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Risultato</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Totale parziale dell'obiettivo specifico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COSTO TOTALE</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Incidenza prevista sugli stanziamenti di natura amministrativa</w:t>
      </w:r>
    </w:p>
    <w:p>
      <w:pPr>
        <w:pStyle w:val="ManualHeading4"/>
        <w:rPr>
          <w:noProof/>
        </w:rPr>
      </w:pPr>
      <w:r>
        <w:rPr>
          <w:noProof/>
        </w:rPr>
        <w:t>3.2.3.1.</w:t>
      </w:r>
      <w:r>
        <w:rPr>
          <w:noProof/>
        </w:rPr>
        <w:tab/>
        <w:t xml:space="preserve">Sintesi </w:t>
      </w:r>
    </w:p>
    <w:p>
      <w:pPr>
        <w:pStyle w:val="ListDash1"/>
        <w:rPr>
          <w:noProof/>
        </w:rPr>
      </w:pPr>
      <w:r>
        <w:rPr>
          <w:noProof/>
        </w:rPr>
        <w:sym w:font="Wingdings" w:char="F078"/>
      </w:r>
      <w:r>
        <w:rPr>
          <w:noProof/>
        </w:rPr>
        <w:tab/>
        <w:t xml:space="preserve">La proposta/iniziativa non comporta l'utilizzo di stanziamenti di natura amministrativa. </w:t>
      </w:r>
    </w:p>
    <w:p>
      <w:pPr>
        <w:pStyle w:val="ListDash1"/>
        <w:rPr>
          <w:noProof/>
        </w:rPr>
      </w:pPr>
      <w:r>
        <w:rPr>
          <w:noProof/>
        </w:rPr>
        <w:sym w:font="Wingdings" w:char="F0A8"/>
      </w:r>
      <w:r>
        <w:rPr>
          <w:noProof/>
        </w:rPr>
        <w:tab/>
        <w:t>La proposta/iniziativa comporta l'utilizzo di stanziamenti di natura amministrativa, come spiegato di seguito:</w:t>
      </w:r>
    </w:p>
    <w:p>
      <w:pPr>
        <w:rPr>
          <w:noProof/>
          <w:sz w:val="20"/>
        </w:rPr>
      </w:pPr>
      <w:r>
        <w:rPr>
          <w:noProof/>
          <w:sz w:val="20"/>
        </w:rPr>
        <w:t>Mio EUR (al terzo decimale)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Anno</w:t>
            </w:r>
            <w:r>
              <w:rPr>
                <w:noProof/>
              </w:rPr>
              <w:br/>
            </w:r>
            <w:r>
              <w:rPr>
                <w:b/>
                <w:noProof/>
                <w:sz w:val="16"/>
              </w:rPr>
              <w:t>N</w:t>
            </w:r>
            <w:r>
              <w:rPr>
                <w:rStyle w:val="FootnoteReference"/>
                <w:b/>
                <w:noProof/>
                <w:sz w:val="16"/>
              </w:rPr>
              <w:footnoteReference w:id="18"/>
            </w:r>
          </w:p>
        </w:tc>
        <w:tc>
          <w:tcPr>
            <w:tcW w:w="1080" w:type="dxa"/>
            <w:vAlign w:val="center"/>
          </w:tcPr>
          <w:p>
            <w:pPr>
              <w:spacing w:before="60" w:after="60" w:line="200" w:lineRule="exact"/>
              <w:jc w:val="center"/>
              <w:rPr>
                <w:noProof/>
                <w:sz w:val="16"/>
                <w:szCs w:val="16"/>
              </w:rPr>
            </w:pPr>
            <w:r>
              <w:rPr>
                <w:noProof/>
                <w:sz w:val="16"/>
              </w:rPr>
              <w:t>Anno</w:t>
            </w:r>
            <w:r>
              <w:rPr>
                <w:noProof/>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Anno</w:t>
            </w:r>
            <w:r>
              <w:rPr>
                <w:noProof/>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Anno</w:t>
            </w:r>
            <w:r>
              <w:rPr>
                <w:noProof/>
              </w:rPr>
              <w:br/>
            </w:r>
            <w:r>
              <w:rPr>
                <w:b/>
                <w:noProof/>
                <w:sz w:val="16"/>
              </w:rPr>
              <w:t>N+3</w:t>
            </w:r>
          </w:p>
        </w:tc>
        <w:tc>
          <w:tcPr>
            <w:tcW w:w="3240" w:type="dxa"/>
            <w:vAlign w:val="center"/>
          </w:tcPr>
          <w:p>
            <w:pPr>
              <w:spacing w:line="200" w:lineRule="exact"/>
              <w:jc w:val="center"/>
              <w:rPr>
                <w:b/>
                <w:noProof/>
                <w:sz w:val="16"/>
                <w:szCs w:val="16"/>
              </w:rPr>
            </w:pPr>
            <w:r>
              <w:rPr>
                <w:noProof/>
                <w:sz w:val="16"/>
              </w:rPr>
              <w:t>Inserire gli anni necessari per evidenziare la durata dell'incidenza (cfr. punto 1.6)</w:t>
            </w:r>
          </w:p>
        </w:tc>
        <w:tc>
          <w:tcPr>
            <w:tcW w:w="1080" w:type="dxa"/>
            <w:vAlign w:val="center"/>
          </w:tcPr>
          <w:p>
            <w:pPr>
              <w:spacing w:before="60" w:after="60" w:line="200" w:lineRule="exact"/>
              <w:jc w:val="center"/>
              <w:rPr>
                <w:b/>
                <w:noProof/>
                <w:sz w:val="16"/>
                <w:szCs w:val="16"/>
              </w:rPr>
            </w:pPr>
            <w:r>
              <w:rPr>
                <w:b/>
                <w:noProof/>
                <w:sz w:val="16"/>
              </w:rPr>
              <w:t>TOTALE</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5</w:t>
            </w:r>
            <w:r>
              <w:rPr>
                <w:noProof/>
              </w:rPr>
              <w:br/>
            </w:r>
            <w:r>
              <w:rPr>
                <w:b/>
                <w:noProof/>
                <w:sz w:val="16"/>
              </w:rPr>
              <w:t>del quadro finanziario pluriennale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Risorse umane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Altre spese amministrative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Totale parziale della RUBRICA 5</w:t>
            </w:r>
            <w:r>
              <w:rPr>
                <w:noProof/>
              </w:rPr>
              <w:br/>
            </w:r>
            <w:r>
              <w:rPr>
                <w:b/>
                <w:noProof/>
                <w:sz w:val="16"/>
              </w:rPr>
              <w:t xml:space="preserve">del quadro finanziario pluriennale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Esclusa la RUBRICA 5</w:t>
            </w:r>
            <w:r>
              <w:rPr>
                <w:rStyle w:val="FootnoteReference"/>
                <w:b/>
                <w:noProof/>
                <w:sz w:val="16"/>
              </w:rPr>
              <w:footnoteReference w:id="19"/>
            </w:r>
            <w:r>
              <w:rPr>
                <w:noProof/>
              </w:rPr>
              <w:br/>
            </w:r>
            <w:r>
              <w:rPr>
                <w:b/>
                <w:noProof/>
                <w:sz w:val="16"/>
              </w:rPr>
              <w:t xml:space="preserve">del quadro finanziario pluriennale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Risorse umane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Altre spese</w:t>
            </w:r>
            <w:r>
              <w:rPr>
                <w:noProof/>
              </w:rPr>
              <w:br/>
            </w:r>
            <w:r>
              <w:rPr>
                <w:noProof/>
                <w:sz w:val="16"/>
              </w:rPr>
              <w:t>di natura amministrativa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Totale parziale</w:t>
            </w:r>
            <w:r>
              <w:rPr>
                <w:noProof/>
              </w:rPr>
              <w:br/>
            </w:r>
            <w:r>
              <w:rPr>
                <w:b/>
                <w:noProof/>
                <w:sz w:val="16"/>
              </w:rPr>
              <w:t>esclusa la RUBRICA 5</w:t>
            </w:r>
            <w:r>
              <w:rPr>
                <w:noProof/>
              </w:rPr>
              <w:br/>
            </w:r>
            <w:r>
              <w:rPr>
                <w:b/>
                <w:noProof/>
                <w:sz w:val="16"/>
              </w:rPr>
              <w:t xml:space="preserve">del quadro finanziario pluriennale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TOTALE</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Il fabbisogno di stanziamenti relativi alle risorse umane e alle altre spese di natura amministrativa è coperto dagli stanziamenti della DG già assegnati alla gestione dell'azione e/o riassegnati all'interno della stessa DG, integrati dall'eventuale dotazione supplementare concessa alla DG responsabile nell'ambito della procedura annuale di assegnazione, tenendo conto dei vincoli di bilancio.</w:t>
      </w:r>
      <w:r>
        <w:rPr>
          <w:noProof/>
        </w:rPr>
        <w:tab/>
      </w:r>
    </w:p>
    <w:p>
      <w:pPr>
        <w:pStyle w:val="ManualHeading4"/>
        <w:rPr>
          <w:bCs/>
          <w:noProof/>
          <w:szCs w:val="24"/>
        </w:rPr>
      </w:pPr>
      <w:r>
        <w:rPr>
          <w:noProof/>
        </w:rPr>
        <w:t>3.2.3.2.</w:t>
      </w:r>
      <w:r>
        <w:rPr>
          <w:noProof/>
        </w:rPr>
        <w:tab/>
        <w:t>Fabbisogno previsto di risorse umane</w:t>
      </w:r>
    </w:p>
    <w:p>
      <w:pPr>
        <w:pStyle w:val="ListDash1"/>
        <w:rPr>
          <w:noProof/>
        </w:rPr>
      </w:pPr>
      <w:r>
        <w:rPr>
          <w:noProof/>
        </w:rPr>
        <w:sym w:font="Wingdings" w:char="F078"/>
      </w:r>
      <w:r>
        <w:rPr>
          <w:noProof/>
        </w:rPr>
        <w:tab/>
        <w:t xml:space="preserve">La proposta/iniziativa non comporta l'utilizzo di risorse umane. </w:t>
      </w:r>
    </w:p>
    <w:p>
      <w:pPr>
        <w:pStyle w:val="ListDash1"/>
        <w:rPr>
          <w:noProof/>
        </w:rPr>
      </w:pPr>
      <w:r>
        <w:rPr>
          <w:noProof/>
        </w:rPr>
        <w:sym w:font="Wingdings" w:char="F0A8"/>
      </w:r>
      <w:r>
        <w:rPr>
          <w:noProof/>
        </w:rPr>
        <w:tab/>
        <w:t>La proposta/iniziativa comporta l'utilizzo di risorse umane, come spiegato di seguito:</w:t>
      </w:r>
    </w:p>
    <w:p>
      <w:pPr>
        <w:spacing w:after="60"/>
        <w:jc w:val="right"/>
        <w:rPr>
          <w:i/>
          <w:noProof/>
          <w:sz w:val="20"/>
        </w:rPr>
      </w:pPr>
      <w:r>
        <w:rPr>
          <w:i/>
          <w:noProof/>
          <w:sz w:val="20"/>
        </w:rPr>
        <w:t>Stima da esprimere in equivalenti a tempo pieno</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Anno</w:t>
            </w:r>
            <w:r>
              <w:rPr>
                <w:noProof/>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Anno</w:t>
            </w:r>
            <w:r>
              <w:rPr>
                <w:noProof/>
              </w:rPr>
              <w:br/>
            </w:r>
            <w:r>
              <w:rPr>
                <w:b/>
                <w:noProof/>
                <w:sz w:val="16"/>
              </w:rPr>
              <w:t>N+1</w:t>
            </w:r>
          </w:p>
        </w:tc>
        <w:tc>
          <w:tcPr>
            <w:tcW w:w="1891" w:type="pct"/>
            <w:shd w:val="clear" w:color="auto" w:fill="auto"/>
            <w:vAlign w:val="center"/>
          </w:tcPr>
          <w:p>
            <w:pPr>
              <w:spacing w:before="20" w:after="20"/>
              <w:jc w:val="center"/>
              <w:rPr>
                <w:noProof/>
                <w:sz w:val="16"/>
                <w:szCs w:val="16"/>
              </w:rPr>
            </w:pPr>
            <w:r>
              <w:rPr>
                <w:noProof/>
                <w:sz w:val="16"/>
              </w:rPr>
              <w:t xml:space="preserve">Anno </w:t>
            </w:r>
            <w:r>
              <w:rPr>
                <w:b/>
                <w:noProof/>
                <w:sz w:val="16"/>
              </w:rPr>
              <w:t>N+2</w:t>
            </w:r>
          </w:p>
        </w:tc>
        <w:tc>
          <w:tcPr>
            <w:tcW w:w="226" w:type="pct"/>
            <w:shd w:val="clear" w:color="auto" w:fill="auto"/>
            <w:vAlign w:val="center"/>
          </w:tcPr>
          <w:p>
            <w:pPr>
              <w:spacing w:before="20" w:after="20"/>
              <w:jc w:val="center"/>
              <w:rPr>
                <w:noProof/>
                <w:sz w:val="16"/>
                <w:szCs w:val="16"/>
              </w:rPr>
            </w:pPr>
            <w:r>
              <w:rPr>
                <w:noProof/>
                <w:sz w:val="16"/>
              </w:rPr>
              <w:t xml:space="preserve">Anno </w:t>
            </w:r>
            <w:r>
              <w:rPr>
                <w:b/>
                <w:noProof/>
                <w:sz w:val="16"/>
              </w:rPr>
              <w:t>N+3</w:t>
            </w:r>
          </w:p>
        </w:tc>
        <w:tc>
          <w:tcPr>
            <w:tcW w:w="345" w:type="pct"/>
            <w:gridSpan w:val="3"/>
            <w:shd w:val="clear" w:color="auto" w:fill="auto"/>
            <w:vAlign w:val="center"/>
          </w:tcPr>
          <w:p>
            <w:pPr>
              <w:jc w:val="center"/>
              <w:rPr>
                <w:b/>
                <w:noProof/>
                <w:sz w:val="16"/>
                <w:szCs w:val="16"/>
              </w:rPr>
            </w:pPr>
            <w:r>
              <w:rPr>
                <w:noProof/>
                <w:sz w:val="16"/>
              </w:rPr>
              <w:t>Inserire gli anni necessari per evidenziare la durata dell'incidenza (cfr. punto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Posti della tabella dell'organico (funzionari e agenti temporanei)</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(in sede e negli uffici di rappresentanza della Commissione)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(nelle delegazioni)</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(ricerca indiretta)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(ricerca diretta)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Personale esterno (in equivalenti a tempo pieno: ETP)</w:t>
            </w:r>
            <w:r>
              <w:rPr>
                <w:rStyle w:val="FootnoteReference"/>
                <w:b/>
                <w:noProof/>
                <w:sz w:val="16"/>
              </w:rPr>
              <w:footnoteReference w:id="20"/>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e INT della dotazione globale)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e JED nelle delegazioni)</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1"/>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in sede</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nelle delegazioni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rPr>
              <w:t xml:space="preserve"> </w:t>
            </w:r>
            <w:r>
              <w:rPr>
                <w:noProof/>
                <w:sz w:val="16"/>
              </w:rPr>
              <w:t>01 05 02 (AC, END, INT - ricerca indiretta)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e INT – ricerca diretta)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Altre linee di bilancio (specificare)</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TOTALE</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rPr>
        <w:t xml:space="preserve"> </w:t>
      </w:r>
      <w:r>
        <w:rPr>
          <w:noProof/>
          <w:sz w:val="18"/>
        </w:rPr>
        <w:t>è il settore o il titolo di bilancio interessato.</w:t>
      </w:r>
    </w:p>
    <w:p>
      <w:pPr>
        <w:pStyle w:val="Text1"/>
        <w:rPr>
          <w:noProof/>
          <w:sz w:val="18"/>
          <w:szCs w:val="18"/>
        </w:rPr>
      </w:pPr>
      <w:r>
        <w:rPr>
          <w:noProof/>
          <w:sz w:val="18"/>
        </w:rPr>
        <w:t>Il fabbisogno di risorse umane è coperto dal personale della DG già assegnato alla gestione dell'azione e/o riassegnato all'interno della stessa DG, integrato dall'eventuale dotazione supplementare concessa alla DG responsabile nell'ambito della procedura annuale di assegnazione, tenendo conto dei vincoli di bilancio.</w:t>
      </w:r>
    </w:p>
    <w:p>
      <w:pPr>
        <w:rPr>
          <w:noProof/>
          <w:sz w:val="20"/>
        </w:rPr>
      </w:pPr>
      <w:r>
        <w:rPr>
          <w:noProof/>
          <w:sz w:val="20"/>
        </w:rPr>
        <w:t>Descrizione dei compiti da svolgere: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Funzionari e agenti temporanei</w:t>
            </w:r>
          </w:p>
        </w:tc>
        <w:tc>
          <w:tcPr>
            <w:tcW w:w="7200" w:type="dxa"/>
          </w:tcPr>
          <w:p>
            <w:pPr>
              <w:rPr>
                <w:noProof/>
                <w:sz w:val="20"/>
              </w:rPr>
            </w:pPr>
          </w:p>
        </w:tc>
      </w:tr>
      <w:tr>
        <w:tc>
          <w:tcPr>
            <w:tcW w:w="3240" w:type="dxa"/>
          </w:tcPr>
          <w:p>
            <w:pPr>
              <w:spacing w:before="60" w:after="60"/>
              <w:rPr>
                <w:noProof/>
                <w:sz w:val="20"/>
              </w:rPr>
            </w:pPr>
            <w:r>
              <w:rPr>
                <w:noProof/>
                <w:sz w:val="20"/>
              </w:rPr>
              <w:t>Personale esterno</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Compatibilità con il quadro finanziario pluriennale attuale </w:t>
      </w:r>
    </w:p>
    <w:p>
      <w:pPr>
        <w:pStyle w:val="ListDash1"/>
        <w:rPr>
          <w:noProof/>
        </w:rPr>
      </w:pPr>
      <w:r>
        <w:rPr>
          <w:noProof/>
        </w:rPr>
        <w:sym w:font="Wingdings" w:char="F078"/>
      </w:r>
      <w:r>
        <w:rPr>
          <w:noProof/>
        </w:rPr>
        <w:tab/>
        <w:t>La proposta/iniziativa è compatibile con il quadro finanziario pluriennale attuale.</w:t>
      </w:r>
    </w:p>
    <w:p>
      <w:pPr>
        <w:pStyle w:val="ListDash1"/>
        <w:rPr>
          <w:noProof/>
        </w:rPr>
      </w:pPr>
      <w:r>
        <w:rPr>
          <w:noProof/>
        </w:rPr>
        <w:sym w:font="Wingdings" w:char="F0A8"/>
      </w:r>
      <w:r>
        <w:rPr>
          <w:noProof/>
        </w:rPr>
        <w:tab/>
        <w:t>La proposta/iniziativa richiede una riprogrammazione della pertinente rubrica del quadro finanziario pluriennale.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Spiegare la riprogrammazione richiesta, precisando le linee di bilancio interessate e gli importi corrispondenti.</w:t>
      </w:r>
    </w:p>
    <w:p>
      <w:pPr>
        <w:pStyle w:val="ListDash1"/>
        <w:rPr>
          <w:noProof/>
        </w:rPr>
      </w:pPr>
      <w:r>
        <w:rPr>
          <w:noProof/>
        </w:rPr>
        <w:sym w:font="Wingdings" w:char="F0A8"/>
      </w:r>
      <w:r>
        <w:rPr>
          <w:noProof/>
        </w:rPr>
        <w:tab/>
        <w:t>La proposta/iniziativa richiede l'applicazione dello strumento di flessibilità o la revisione del quadro finanziario pluriennale.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Spiegare la necessità, precisando le rubriche e le linee di bilancio interessate e gli importi corrispondenti.</w:t>
      </w:r>
    </w:p>
    <w:p>
      <w:pPr>
        <w:pStyle w:val="ManualHeading3"/>
        <w:rPr>
          <w:bCs/>
          <w:noProof/>
          <w:szCs w:val="24"/>
        </w:rPr>
      </w:pPr>
      <w:r>
        <w:rPr>
          <w:noProof/>
        </w:rPr>
        <w:t>3.2.5.</w:t>
      </w:r>
      <w:r>
        <w:rPr>
          <w:noProof/>
        </w:rPr>
        <w:tab/>
        <w:t xml:space="preserve">Partecipazione di terzi al finanziamento </w:t>
      </w:r>
    </w:p>
    <w:p>
      <w:pPr>
        <w:pStyle w:val="ListDash1"/>
        <w:rPr>
          <w:noProof/>
        </w:rPr>
      </w:pPr>
      <w:r>
        <w:rPr>
          <w:noProof/>
        </w:rPr>
        <w:t xml:space="preserve">La proposta/iniziativa non prevede cofinanziamenti da terzi. </w:t>
      </w:r>
    </w:p>
    <w:p>
      <w:pPr>
        <w:pStyle w:val="ListDash1"/>
        <w:rPr>
          <w:noProof/>
        </w:rPr>
      </w:pPr>
      <w:r>
        <w:rPr>
          <w:noProof/>
        </w:rPr>
        <w:t>La proposta/iniziativa prevede il cofinanziamento indicato di seguito:</w:t>
      </w:r>
    </w:p>
    <w:p>
      <w:pPr>
        <w:jc w:val="right"/>
        <w:rPr>
          <w:noProof/>
          <w:sz w:val="20"/>
        </w:rPr>
      </w:pPr>
      <w:r>
        <w:rPr>
          <w:noProof/>
          <w:sz w:val="20"/>
        </w:rPr>
        <w:t>Stanziamenti in Mio EUR (al terzo decimale)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Anno</w:t>
            </w:r>
            <w:r>
              <w:rPr>
                <w:noProof/>
              </w:rPr>
              <w:br/>
            </w:r>
            <w:r>
              <w:rPr>
                <w:b/>
                <w:noProof/>
                <w:sz w:val="20"/>
              </w:rPr>
              <w:t>N</w:t>
            </w:r>
          </w:p>
        </w:tc>
        <w:tc>
          <w:tcPr>
            <w:tcW w:w="964" w:type="dxa"/>
            <w:vAlign w:val="center"/>
          </w:tcPr>
          <w:p>
            <w:pPr>
              <w:jc w:val="center"/>
              <w:rPr>
                <w:noProof/>
                <w:sz w:val="20"/>
              </w:rPr>
            </w:pPr>
            <w:r>
              <w:rPr>
                <w:noProof/>
                <w:sz w:val="20"/>
              </w:rPr>
              <w:t>Anno</w:t>
            </w:r>
            <w:r>
              <w:rPr>
                <w:noProof/>
              </w:rPr>
              <w:br/>
            </w:r>
            <w:r>
              <w:rPr>
                <w:b/>
                <w:noProof/>
                <w:sz w:val="20"/>
              </w:rPr>
              <w:t>N+1</w:t>
            </w:r>
          </w:p>
        </w:tc>
        <w:tc>
          <w:tcPr>
            <w:tcW w:w="964" w:type="dxa"/>
            <w:vAlign w:val="center"/>
          </w:tcPr>
          <w:p>
            <w:pPr>
              <w:jc w:val="center"/>
              <w:rPr>
                <w:noProof/>
                <w:sz w:val="20"/>
              </w:rPr>
            </w:pPr>
            <w:r>
              <w:rPr>
                <w:noProof/>
                <w:sz w:val="20"/>
              </w:rPr>
              <w:t>Anno</w:t>
            </w:r>
            <w:r>
              <w:rPr>
                <w:noProof/>
              </w:rPr>
              <w:br/>
            </w:r>
            <w:r>
              <w:rPr>
                <w:b/>
                <w:noProof/>
                <w:sz w:val="20"/>
              </w:rPr>
              <w:t>N+2</w:t>
            </w:r>
          </w:p>
        </w:tc>
        <w:tc>
          <w:tcPr>
            <w:tcW w:w="964" w:type="dxa"/>
            <w:vAlign w:val="center"/>
          </w:tcPr>
          <w:p>
            <w:pPr>
              <w:jc w:val="center"/>
              <w:rPr>
                <w:noProof/>
                <w:sz w:val="20"/>
              </w:rPr>
            </w:pPr>
            <w:r>
              <w:rPr>
                <w:noProof/>
                <w:sz w:val="20"/>
              </w:rPr>
              <w:t>Anno</w:t>
            </w:r>
            <w:r>
              <w:rPr>
                <w:noProof/>
              </w:rPr>
              <w:br/>
            </w:r>
            <w:r>
              <w:rPr>
                <w:b/>
                <w:noProof/>
                <w:sz w:val="20"/>
              </w:rPr>
              <w:t>N+3</w:t>
            </w:r>
          </w:p>
        </w:tc>
        <w:tc>
          <w:tcPr>
            <w:tcW w:w="2892" w:type="dxa"/>
            <w:gridSpan w:val="3"/>
            <w:vAlign w:val="center"/>
          </w:tcPr>
          <w:p>
            <w:pPr>
              <w:jc w:val="center"/>
              <w:rPr>
                <w:b/>
                <w:noProof/>
                <w:sz w:val="20"/>
              </w:rPr>
            </w:pPr>
            <w:r>
              <w:rPr>
                <w:noProof/>
                <w:sz w:val="20"/>
              </w:rPr>
              <w:t>Inserire gli anni necessari per evidenziare la durata dell'incidenza (cfr. punto 1.6)</w:t>
            </w:r>
          </w:p>
        </w:tc>
        <w:tc>
          <w:tcPr>
            <w:tcW w:w="1158" w:type="dxa"/>
            <w:vAlign w:val="center"/>
          </w:tcPr>
          <w:p>
            <w:pPr>
              <w:spacing w:before="60" w:after="60"/>
              <w:jc w:val="center"/>
              <w:rPr>
                <w:noProof/>
                <w:sz w:val="20"/>
              </w:rPr>
            </w:pPr>
            <w:r>
              <w:rPr>
                <w:noProof/>
                <w:sz w:val="20"/>
              </w:rPr>
              <w:t>Totale</w:t>
            </w:r>
          </w:p>
        </w:tc>
      </w:tr>
      <w:tr>
        <w:trPr>
          <w:cantSplit/>
        </w:trPr>
        <w:tc>
          <w:tcPr>
            <w:tcW w:w="2340" w:type="dxa"/>
          </w:tcPr>
          <w:p>
            <w:pPr>
              <w:rPr>
                <w:noProof/>
              </w:rPr>
            </w:pPr>
            <w:r>
              <w:rPr>
                <w:noProof/>
                <w:sz w:val="20"/>
              </w:rPr>
              <w:t>Specificare l'organismo di cofinanziamento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TOTALE degli stanziamenti cofinanziati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pStyle w:val="ManualHeading2"/>
        <w:rPr>
          <w:bCs/>
          <w:noProof/>
          <w:szCs w:val="24"/>
        </w:rPr>
      </w:pPr>
      <w:r>
        <w:rPr>
          <w:noProof/>
        </w:rPr>
        <w:t>3,3.</w:t>
      </w:r>
      <w:r>
        <w:rPr>
          <w:noProof/>
        </w:rPr>
        <w:tab/>
        <w:t xml:space="preserve">Incidenza prevista sulle entrate </w:t>
      </w:r>
    </w:p>
    <w:p>
      <w:pPr>
        <w:pStyle w:val="ListDash1"/>
        <w:rPr>
          <w:noProof/>
        </w:rPr>
      </w:pPr>
      <w:r>
        <w:rPr>
          <w:noProof/>
        </w:rPr>
        <w:sym w:font="Wingdings" w:char="F078"/>
      </w:r>
      <w:r>
        <w:rPr>
          <w:noProof/>
        </w:rPr>
        <w:tab/>
        <w:t>La proposta/iniziativa non ha incidenza finanziaria sulle entrate.</w:t>
      </w:r>
    </w:p>
    <w:p>
      <w:pPr>
        <w:pStyle w:val="ListDash1"/>
        <w:rPr>
          <w:noProof/>
        </w:rPr>
      </w:pPr>
      <w:r>
        <w:rPr>
          <w:noProof/>
        </w:rPr>
        <w:sym w:font="Wingdings" w:char="F0A8"/>
      </w:r>
      <w:r>
        <w:rPr>
          <w:noProof/>
        </w:rPr>
        <w:tab/>
        <w:t>La proposta/iniziativa ha la seguente incidenza finanziaria:</w:t>
      </w:r>
    </w:p>
    <w:p>
      <w:pPr>
        <w:pStyle w:val="ListNumberLevel3"/>
        <w:tabs>
          <w:tab w:val="clear" w:pos="2126"/>
        </w:tabs>
        <w:rPr>
          <w:noProof/>
        </w:rPr>
      </w:pPr>
      <w:r>
        <w:rPr>
          <w:noProof/>
        </w:rPr>
        <w:sym w:font="Wingdings" w:char="F0A8"/>
      </w:r>
      <w:r>
        <w:rPr>
          <w:noProof/>
        </w:rPr>
        <w:tab/>
        <w:t xml:space="preserve">sulle risorse proprie </w:t>
      </w:r>
    </w:p>
    <w:p>
      <w:pPr>
        <w:pStyle w:val="ListNumberLevel3"/>
        <w:tabs>
          <w:tab w:val="clear" w:pos="2126"/>
        </w:tabs>
        <w:rPr>
          <w:noProof/>
        </w:rPr>
      </w:pPr>
      <w:r>
        <w:rPr>
          <w:noProof/>
        </w:rPr>
        <w:sym w:font="Wingdings" w:char="F0A8"/>
      </w:r>
      <w:r>
        <w:rPr>
          <w:noProof/>
        </w:rPr>
        <w:tab/>
        <w:t xml:space="preserve">sulle entrate varie </w:t>
      </w:r>
    </w:p>
    <w:p>
      <w:pPr>
        <w:jc w:val="right"/>
        <w:rPr>
          <w:i/>
          <w:noProof/>
          <w:sz w:val="20"/>
        </w:rPr>
      </w:pPr>
      <w:r>
        <w:rPr>
          <w:noProof/>
        </w:rPr>
        <w:t>Mio EUR (al terzo decimale)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Linea di bilancio delle entrate:</w:t>
            </w:r>
          </w:p>
        </w:tc>
        <w:tc>
          <w:tcPr>
            <w:tcW w:w="1276" w:type="dxa"/>
            <w:vMerge w:val="restart"/>
            <w:vAlign w:val="center"/>
          </w:tcPr>
          <w:p>
            <w:pPr>
              <w:jc w:val="center"/>
              <w:rPr>
                <w:noProof/>
                <w:sz w:val="18"/>
              </w:rPr>
            </w:pPr>
            <w:r>
              <w:rPr>
                <w:noProof/>
                <w:sz w:val="18"/>
              </w:rPr>
              <w:t>Stanziamenti disponibili per l'esercizio in corso</w:t>
            </w:r>
          </w:p>
        </w:tc>
        <w:tc>
          <w:tcPr>
            <w:tcW w:w="7200" w:type="dxa"/>
            <w:gridSpan w:val="7"/>
            <w:vAlign w:val="center"/>
          </w:tcPr>
          <w:p>
            <w:pPr>
              <w:jc w:val="center"/>
              <w:rPr>
                <w:noProof/>
                <w:sz w:val="18"/>
              </w:rPr>
            </w:pPr>
            <w:r>
              <w:rPr>
                <w:noProof/>
                <w:sz w:val="18"/>
              </w:rPr>
              <w:t>Incidenza della proposta/iniziativa</w:t>
            </w:r>
            <w:r>
              <w:rPr>
                <w:rStyle w:val="FootnoteReference"/>
                <w:noProof/>
                <w:sz w:val="18"/>
              </w:rPr>
              <w:footnoteReference w:id="22"/>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Anno</w:t>
            </w:r>
            <w:r>
              <w:rPr>
                <w:noProof/>
              </w:rPr>
              <w:br/>
            </w:r>
            <w:r>
              <w:rPr>
                <w:b/>
                <w:noProof/>
                <w:sz w:val="18"/>
              </w:rPr>
              <w:t>N</w:t>
            </w:r>
          </w:p>
        </w:tc>
        <w:tc>
          <w:tcPr>
            <w:tcW w:w="900" w:type="dxa"/>
            <w:vAlign w:val="center"/>
          </w:tcPr>
          <w:p>
            <w:pPr>
              <w:jc w:val="center"/>
              <w:rPr>
                <w:noProof/>
                <w:sz w:val="18"/>
              </w:rPr>
            </w:pPr>
            <w:r>
              <w:rPr>
                <w:noProof/>
                <w:sz w:val="18"/>
              </w:rPr>
              <w:t>Anno</w:t>
            </w:r>
            <w:r>
              <w:rPr>
                <w:noProof/>
              </w:rPr>
              <w:br/>
            </w:r>
            <w:r>
              <w:rPr>
                <w:b/>
                <w:noProof/>
                <w:sz w:val="18"/>
              </w:rPr>
              <w:t>N+1</w:t>
            </w:r>
          </w:p>
        </w:tc>
        <w:tc>
          <w:tcPr>
            <w:tcW w:w="900" w:type="dxa"/>
            <w:vAlign w:val="center"/>
          </w:tcPr>
          <w:p>
            <w:pPr>
              <w:jc w:val="center"/>
              <w:rPr>
                <w:noProof/>
                <w:sz w:val="18"/>
              </w:rPr>
            </w:pPr>
            <w:r>
              <w:rPr>
                <w:noProof/>
                <w:sz w:val="18"/>
              </w:rPr>
              <w:t>Anno</w:t>
            </w:r>
            <w:r>
              <w:rPr>
                <w:noProof/>
              </w:rPr>
              <w:br/>
            </w:r>
            <w:r>
              <w:rPr>
                <w:b/>
                <w:noProof/>
                <w:sz w:val="18"/>
              </w:rPr>
              <w:t>N+2</w:t>
            </w:r>
          </w:p>
        </w:tc>
        <w:tc>
          <w:tcPr>
            <w:tcW w:w="1080" w:type="dxa"/>
            <w:vAlign w:val="center"/>
          </w:tcPr>
          <w:p>
            <w:pPr>
              <w:jc w:val="center"/>
              <w:rPr>
                <w:noProof/>
                <w:sz w:val="18"/>
              </w:rPr>
            </w:pPr>
            <w:r>
              <w:rPr>
                <w:noProof/>
                <w:sz w:val="18"/>
              </w:rPr>
              <w:t>Anno</w:t>
            </w:r>
            <w:r>
              <w:rPr>
                <w:noProof/>
              </w:rPr>
              <w:br/>
            </w:r>
            <w:r>
              <w:rPr>
                <w:b/>
                <w:noProof/>
                <w:sz w:val="18"/>
              </w:rPr>
              <w:t>N+3</w:t>
            </w:r>
          </w:p>
        </w:tc>
        <w:tc>
          <w:tcPr>
            <w:tcW w:w="3240" w:type="dxa"/>
            <w:gridSpan w:val="3"/>
            <w:vAlign w:val="center"/>
          </w:tcPr>
          <w:p>
            <w:pPr>
              <w:jc w:val="center"/>
              <w:rPr>
                <w:b/>
                <w:noProof/>
                <w:sz w:val="18"/>
              </w:rPr>
            </w:pPr>
            <w:r>
              <w:rPr>
                <w:noProof/>
                <w:sz w:val="18"/>
              </w:rPr>
              <w:t>Inserire gli anni necessari per evidenziare la durata dell'incidenza (cfr. punto 1.6)</w:t>
            </w:r>
          </w:p>
        </w:tc>
      </w:tr>
      <w:tr>
        <w:trPr>
          <w:trHeight w:val="388"/>
        </w:trPr>
        <w:tc>
          <w:tcPr>
            <w:tcW w:w="2144" w:type="dxa"/>
            <w:vAlign w:val="center"/>
          </w:tcPr>
          <w:p>
            <w:pPr>
              <w:spacing w:before="40" w:after="40"/>
              <w:rPr>
                <w:noProof/>
                <w:sz w:val="18"/>
              </w:rPr>
            </w:pPr>
            <w:r>
              <w:rPr>
                <w:noProof/>
                <w:sz w:val="18"/>
              </w:rPr>
              <w:t>Articolo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Per quanto riguarda le entrate varie con destinazione specifica, precisare la o le linee di spesa interessate.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rPr>
      </w:pPr>
      <w:r>
        <w:rPr>
          <w:noProof/>
          <w:sz w:val="20"/>
        </w:rPr>
        <w:t>Precisare il metodo di calcolo dell'incidenza sulle entrate.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IT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(GU L 347 del 20.12.2013, pag. 320), modificato da ultimo dal regolamento (UE) 2018/1719 del Parlamento europeo e del Consiglio, del 14 novembre 2018, che modifica il regolamento (UE) n. 1303/2013 per quanto riguarda le risorse per la coesione economica, sociale e territoriale e le risorse per l'obiettivo Investimenti a favore della crescita e dell'occupazione (GU L 291 del 16.11.2018, pag. 5).</w:t>
      </w:r>
    </w:p>
  </w:footnote>
  <w:footnote w:id="2">
    <w:p>
      <w:pPr>
        <w:pStyle w:val="FootnoteText"/>
      </w:pPr>
      <w:r>
        <w:rPr>
          <w:rStyle w:val="FootnoteReference"/>
        </w:rPr>
        <w:footnoteRef/>
      </w:r>
      <w:r>
        <w:tab/>
        <w:t>Regolamento (UE) n. 1304/2013 del Parlamento europeo e del Consiglio, del 17 dicembre 2013, relativo al Fondo sociale europeo e che abroga il regolamento (CE) n. 1081/2006 del Consiglio (GU L 347 del 20.12.2013, pag. 470).</w:t>
      </w:r>
    </w:p>
  </w:footnote>
  <w:footnote w:id="3">
    <w:p>
      <w:pPr>
        <w:pStyle w:val="FootnoteText"/>
      </w:pPr>
      <w:r>
        <w:rPr>
          <w:rStyle w:val="FootnoteReference"/>
        </w:rPr>
        <w:footnoteRef/>
      </w:r>
      <w:r>
        <w:tab/>
        <w:t>GU C […] del […], pag. […].</w:t>
      </w:r>
    </w:p>
  </w:footnote>
  <w:footnote w:id="4">
    <w:p>
      <w:pPr>
        <w:pStyle w:val="FootnoteText"/>
      </w:pPr>
      <w:r>
        <w:rPr>
          <w:rStyle w:val="FootnoteReference"/>
        </w:rPr>
        <w:footnoteRef/>
      </w:r>
      <w:r>
        <w:tab/>
        <w:t>GU C […] del […], pag. […].</w:t>
      </w:r>
    </w:p>
  </w:footnote>
  <w:footnote w:id="5">
    <w:p>
      <w:pPr>
        <w:pStyle w:val="FootnoteText"/>
      </w:pPr>
      <w:r>
        <w:rPr>
          <w:rStyle w:val="FootnoteReference"/>
        </w:rPr>
        <w:footnoteRef/>
      </w:r>
      <w:r>
        <w:tab/>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(GU L 347 del 20.12.2013, pag. 320).</w:t>
      </w:r>
    </w:p>
  </w:footnote>
  <w:footnote w:id="6">
    <w:p>
      <w:pPr>
        <w:pStyle w:val="FootnoteText"/>
      </w:pPr>
      <w:r>
        <w:rPr>
          <w:rStyle w:val="FootnoteReference"/>
        </w:rPr>
        <w:footnoteRef/>
      </w:r>
      <w:r>
        <w:tab/>
        <w:t>GU C […] del […], pag. […].</w:t>
      </w:r>
    </w:p>
  </w:footnote>
  <w:footnote w:id="7">
    <w:p>
      <w:pPr>
        <w:pStyle w:val="FootnoteText"/>
        <w:rPr>
          <w:szCs w:val="24"/>
        </w:rPr>
      </w:pPr>
      <w:r>
        <w:rPr>
          <w:rStyle w:val="FootnoteReference"/>
        </w:rPr>
        <w:footnoteRef/>
      </w:r>
      <w:r>
        <w:tab/>
        <w:t>ABM: activity-based management (gestione per attività); ABB: activity-based budgeting (bilancio per attività).</w:t>
      </w:r>
    </w:p>
  </w:footnote>
  <w:footnote w:id="8">
    <w:p>
      <w:pPr>
        <w:pStyle w:val="FootnoteText"/>
        <w:rPr>
          <w:szCs w:val="24"/>
        </w:rPr>
      </w:pPr>
      <w:r>
        <w:rPr>
          <w:rStyle w:val="FootnoteReference"/>
        </w:rPr>
        <w:footnoteRef/>
      </w:r>
      <w:r>
        <w:tab/>
        <w:t>A norma dell'articolo 54, paragrafo 2, lettera a) o b), del regolamento finanziario.</w:t>
      </w:r>
    </w:p>
  </w:footnote>
  <w:footnote w:id="9">
    <w:p>
      <w:pPr>
        <w:pStyle w:val="FootnoteText"/>
        <w:rPr>
          <w:szCs w:val="24"/>
        </w:rPr>
      </w:pPr>
      <w:r>
        <w:rPr>
          <w:rStyle w:val="FootnoteReference"/>
        </w:rPr>
        <w:footnoteRef/>
      </w:r>
      <w:r>
        <w:tab/>
        <w:t xml:space="preserve">Le spiegazioni sulle modalità di gestione e i riferimenti al regolamento finanziario sono disponibili sul sito BudgWeb: </w:t>
      </w:r>
      <w:hyperlink r:id="rId1">
        <w:r>
          <w:rPr>
            <w:rStyle w:val="Hyperlink"/>
            <w:sz w:val="18"/>
          </w:rPr>
          <w:t>https://myintracomm.ec.testa.eu/budgweb/EN/man/budgmanag/Pages/budgmanag.aspx</w:t>
        </w:r>
      </w:hyperlink>
    </w:p>
  </w:footnote>
  <w:footnote w:id="10">
    <w:p>
      <w:pPr>
        <w:pStyle w:val="FootnoteText"/>
        <w:rPr>
          <w:szCs w:val="24"/>
        </w:rPr>
      </w:pPr>
      <w:r>
        <w:rPr>
          <w:rStyle w:val="FootnoteReference"/>
        </w:rPr>
        <w:footnoteRef/>
      </w:r>
      <w:r>
        <w:tab/>
        <w:t>Diss. = stanziamenti dissociati / Non diss. = stanziamenti non dissociati.</w:t>
      </w:r>
    </w:p>
  </w:footnote>
  <w:footnote w:id="11">
    <w:p>
      <w:pPr>
        <w:pStyle w:val="FootnoteText"/>
        <w:rPr>
          <w:szCs w:val="24"/>
        </w:rPr>
      </w:pPr>
      <w:r>
        <w:rPr>
          <w:rStyle w:val="FootnoteReference"/>
        </w:rPr>
        <w:footnoteRef/>
      </w:r>
      <w:r>
        <w:tab/>
        <w:t xml:space="preserve">EFTA: Associazione europea di libero scambio. </w:t>
      </w:r>
    </w:p>
  </w:footnote>
  <w:footnote w:id="12">
    <w:p>
      <w:pPr>
        <w:pStyle w:val="FootnoteText"/>
        <w:rPr>
          <w:szCs w:val="24"/>
        </w:rPr>
      </w:pPr>
      <w:r>
        <w:rPr>
          <w:rStyle w:val="FootnoteReference"/>
        </w:rPr>
        <w:footnoteRef/>
      </w:r>
      <w:r>
        <w:tab/>
        <w:t>Paesi candidati e, se del caso, paesi potenziali candidati dei Balcani occidentali.</w:t>
      </w:r>
    </w:p>
  </w:footnote>
  <w:footnote w:id="13">
    <w:p>
      <w:pPr>
        <w:pStyle w:val="FootnoteText"/>
      </w:pPr>
      <w:r>
        <w:rPr>
          <w:rStyle w:val="FootnoteReference"/>
        </w:rPr>
        <w:footnoteRef/>
      </w:r>
      <w:r>
        <w:tab/>
        <w:t>Tali risorse aggiuntive sono finanziate dal margine globale per gli impegni entro il massimale del quadro finanziario per il periodo 2014-2020.</w:t>
      </w:r>
    </w:p>
  </w:footnote>
  <w:footnote w:id="14">
    <w:p>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15">
    <w:p>
      <w:pPr>
        <w:pStyle w:val="FootnoteText"/>
        <w:rPr>
          <w:szCs w:val="24"/>
        </w:rPr>
      </w:pPr>
      <w:r>
        <w:rPr>
          <w:rStyle w:val="FootnoteReference"/>
        </w:rPr>
        <w:footnoteRef/>
      </w:r>
      <w:r>
        <w:tab/>
        <w:t>L'anno N è l'anno in cui inizia a essere attuata la proposta/iniziativa.</w:t>
      </w:r>
    </w:p>
  </w:footnote>
  <w:footnote w:id="16">
    <w:p>
      <w:pPr>
        <w:pStyle w:val="FootnoteText"/>
        <w:rPr>
          <w:szCs w:val="24"/>
        </w:rPr>
      </w:pPr>
      <w:r>
        <w:rPr>
          <w:rStyle w:val="FootnoteReference"/>
        </w:rPr>
        <w:footnoteRef/>
      </w:r>
      <w:r>
        <w:tab/>
        <w:t>I risultati sono i prodotti e i servizi da fornire (ad esempio, numero di scambi di studenti finanziati, numero di km di strada costruiti ecc.).</w:t>
      </w:r>
    </w:p>
  </w:footnote>
  <w:footnote w:id="17">
    <w:p>
      <w:pPr>
        <w:pStyle w:val="FootnoteText"/>
        <w:rPr>
          <w:szCs w:val="24"/>
        </w:rPr>
      </w:pPr>
      <w:r>
        <w:rPr>
          <w:rStyle w:val="FootnoteReference"/>
        </w:rPr>
        <w:footnoteRef/>
      </w:r>
      <w:r>
        <w:tab/>
        <w:t xml:space="preserve">Come descritto nella sezione 1.4.2. "Obiettivi specifici ..." </w:t>
      </w:r>
    </w:p>
  </w:footnote>
  <w:footnote w:id="18">
    <w:p>
      <w:pPr>
        <w:pStyle w:val="FootnoteText"/>
        <w:rPr>
          <w:szCs w:val="24"/>
        </w:rPr>
      </w:pPr>
      <w:r>
        <w:rPr>
          <w:rStyle w:val="FootnoteReference"/>
        </w:rPr>
        <w:footnoteRef/>
      </w:r>
      <w:r>
        <w:tab/>
        <w:t>L'anno N è l'anno in cui inizia a essere attuata la proposta/iniziativa.</w:t>
      </w:r>
    </w:p>
  </w:footnote>
  <w:footnote w:id="19">
    <w:p>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20">
    <w:p>
      <w:pPr>
        <w:pStyle w:val="FootnoteText"/>
        <w:rPr>
          <w:szCs w:val="24"/>
        </w:rPr>
      </w:pPr>
      <w:r>
        <w:rPr>
          <w:rStyle w:val="FootnoteReference"/>
        </w:rPr>
        <w:footnoteRef/>
      </w:r>
      <w:r>
        <w:tab/>
        <w:t xml:space="preserve">AC = agente contrattuale; AL = agente locale; END = esperto nazionale distaccato; INT = personale interinale; JED = giovane esperto in delegazione (Junior Experts in Delegations). </w:t>
      </w:r>
    </w:p>
  </w:footnote>
  <w:footnote w:id="21">
    <w:p>
      <w:pPr>
        <w:pStyle w:val="FootnoteText"/>
        <w:rPr>
          <w:szCs w:val="24"/>
        </w:rPr>
      </w:pPr>
      <w:r>
        <w:rPr>
          <w:rStyle w:val="FootnoteReference"/>
        </w:rPr>
        <w:footnoteRef/>
      </w:r>
      <w:r>
        <w:tab/>
        <w:t>Sottomassimale per il personale esterno previsto dagli stanziamenti operativi (ex linee "BA").</w:t>
      </w:r>
    </w:p>
  </w:footnote>
  <w:footnote w:id="22">
    <w:p>
      <w:pPr>
        <w:pStyle w:val="FootnoteText"/>
        <w:rPr>
          <w:szCs w:val="24"/>
        </w:rPr>
      </w:pPr>
      <w:r>
        <w:rPr>
          <w:rStyle w:val="FootnoteReference"/>
        </w:rPr>
        <w:footnoteRef/>
      </w:r>
      <w:r>
        <w:tab/>
        <w:t>Per le risorse proprie tradizionali (dazi doganali, contributi zucchero), indicare gli importi netti, cioè gli importi lordi al netto del 25 % per le spese di riscossione.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B6082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A4FDC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7828F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786F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FA20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5EE5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C00D660"/>
    <w:lvl w:ilvl="0">
      <w:start w:val="1"/>
      <w:numFmt w:val="decimal"/>
      <w:pStyle w:val="ListNumber"/>
      <w:lvlText w:val="%1."/>
      <w:lvlJc w:val="left"/>
      <w:pPr>
        <w:tabs>
          <w:tab w:val="num" w:pos="360"/>
        </w:tabs>
        <w:ind w:left="360" w:hanging="360"/>
      </w:pPr>
    </w:lvl>
  </w:abstractNum>
  <w:abstractNum w:abstractNumId="7">
    <w:nsid w:val="FFFFFF89"/>
    <w:multiLevelType w:val="singleLevel"/>
    <w:tmpl w:val="6F6C06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18"/>
  </w:num>
  <w:num w:numId="11">
    <w:abstractNumId w:val="17"/>
  </w:num>
  <w:num w:numId="12">
    <w:abstractNumId w:val="13"/>
  </w:num>
  <w:num w:numId="13">
    <w:abstractNumId w:val="25"/>
    <w:lvlOverride w:ilvl="0">
      <w:startOverride w:val="1"/>
    </w:lvlOverride>
  </w:num>
  <w:num w:numId="14">
    <w:abstractNumId w:val="22"/>
  </w:num>
  <w:num w:numId="15">
    <w:abstractNumId w:val="14"/>
  </w:num>
  <w:num w:numId="16">
    <w:abstractNumId w:val="24"/>
  </w:num>
  <w:num w:numId="17">
    <w:abstractNumId w:val="12"/>
  </w:num>
  <w:num w:numId="18">
    <w:abstractNumId w:val="15"/>
  </w:num>
  <w:num w:numId="19">
    <w:abstractNumId w:val="10"/>
  </w:num>
  <w:num w:numId="20">
    <w:abstractNumId w:val="23"/>
  </w:num>
  <w:num w:numId="21">
    <w:abstractNumId w:val="9"/>
  </w:num>
  <w:num w:numId="22">
    <w:abstractNumId w:val="16"/>
  </w:num>
  <w:num w:numId="23">
    <w:abstractNumId w:val="20"/>
  </w:num>
  <w:num w:numId="24">
    <w:abstractNumId w:val="21"/>
  </w:num>
  <w:num w:numId="25">
    <w:abstractNumId w:val="11"/>
  </w:num>
  <w:num w:numId="26">
    <w:abstractNumId w:val="19"/>
  </w:num>
  <w:num w:numId="27">
    <w:abstractNumId w:val="25"/>
  </w:num>
  <w:num w:numId="28">
    <w:abstractNumId w:val="22"/>
  </w:num>
  <w:num w:numId="29">
    <w:abstractNumId w:val="14"/>
  </w:num>
  <w:num w:numId="30">
    <w:abstractNumId w:val="24"/>
  </w:num>
  <w:num w:numId="31">
    <w:abstractNumId w:val="12"/>
  </w:num>
  <w:num w:numId="32">
    <w:abstractNumId w:val="15"/>
  </w:num>
  <w:num w:numId="33">
    <w:abstractNumId w:val="10"/>
  </w:num>
  <w:num w:numId="34">
    <w:abstractNumId w:val="23"/>
  </w:num>
  <w:num w:numId="35">
    <w:abstractNumId w:val="9"/>
  </w:num>
  <w:num w:numId="36">
    <w:abstractNumId w:val="16"/>
  </w:num>
  <w:num w:numId="37">
    <w:abstractNumId w:val="20"/>
  </w:num>
  <w:num w:numId="38">
    <w:abstractNumId w:val="21"/>
  </w:num>
  <w:num w:numId="39">
    <w:abstractNumId w:val="11"/>
  </w:num>
  <w:num w:numId="40">
    <w:abstractNumId w:val="19"/>
  </w:num>
  <w:num w:numId="41">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6 09:33:5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3B9F9D6-9D16-4C81-8C0F-B20B678AF535"/>
    <w:docVar w:name="LW_COVERPAGE_TYPE" w:val="1"/>
    <w:docVar w:name="LW_CROSSREFERENCE" w:val="&lt;UNUSED&gt;"/>
    <w:docVar w:name="LW_DocType" w:val="COM"/>
    <w:docVar w:name="LW_EMISSION" w:val="1.2.2019"/>
    <w:docVar w:name="LW_EMISSION_ISODATE" w:val="2019-02-01"/>
    <w:docVar w:name="LW_EMISSION_LOCATION" w:val="BRX"/>
    <w:docVar w:name="LW_EMISSION_PREFIX" w:val="Bruxelle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027"/>
    <w:docVar w:name="LW_REF.II.NEW.CP_YEAR" w:val="2019"/>
    <w:docVar w:name="LW_REF.INST.NEW" w:val="COM"/>
    <w:docVar w:name="LW_REF.INST.NEW_ADOPTED" w:val="final"/>
    <w:docVar w:name="LW_REF.INST.NEW_TEXT" w:val="(2019) 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i"/>
    <w:docVar w:name="LW_SUPERTITRE" w:val="&lt;UNUSED&gt;"/>
    <w:docVar w:name="LW_TITRE.OBJ.CP" w:val="che modifica il regolamento (UE) n. 1303/2013 per quanto riguarda le risorse destinate alla dotazione specifica per l'Iniziativa a favore dell'occupazione giovanile"/>
    <w:docVar w:name="LW_TYPE.DOC.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it-IT"/>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it-IT"/>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9"/>
      </w:numPr>
    </w:pPr>
    <w:rPr>
      <w:rFonts w:eastAsia="Times New Roman"/>
    </w:rPr>
  </w:style>
  <w:style w:type="paragraph" w:customStyle="1" w:styleId="ListDash1">
    <w:name w:val="List Dash 1"/>
    <w:basedOn w:val="Normal"/>
    <w:pPr>
      <w:numPr>
        <w:numId w:val="10"/>
      </w:numPr>
    </w:pPr>
    <w:rPr>
      <w:rFonts w:eastAsia="Times New Roman"/>
    </w:rPr>
  </w:style>
  <w:style w:type="paragraph" w:customStyle="1" w:styleId="ListDash2">
    <w:name w:val="List Dash 2"/>
    <w:basedOn w:val="Normal"/>
    <w:pPr>
      <w:numPr>
        <w:numId w:val="1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uiPriority w:val="99"/>
    <w:unhideWhenUsed/>
    <w:rPr>
      <w:color w:val="800080"/>
      <w:u w:val="single"/>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doc-ti">
    <w:name w:val="doc-ti"/>
    <w:basedOn w:val="Normal"/>
    <w:pPr>
      <w:spacing w:before="240"/>
      <w:jc w:val="center"/>
    </w:pPr>
    <w:rPr>
      <w:rFonts w:eastAsia="Times New Roman"/>
      <w:b/>
      <w:bCs/>
    </w:rPr>
  </w:style>
  <w:style w:type="paragraph" w:customStyle="1" w:styleId="ListDash">
    <w:name w:val="List Dash"/>
    <w:basedOn w:val="Normal"/>
    <w:pPr>
      <w:numPr>
        <w:numId w:val="12"/>
      </w:numPr>
    </w:pPr>
    <w:rPr>
      <w:rFonts w:eastAsia="Times New Roman"/>
      <w:szCs w:val="20"/>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rPr>
  </w:style>
  <w:style w:type="character" w:styleId="Strong">
    <w:name w:val="Strong"/>
    <w:basedOn w:val="DefaultParagraphFont"/>
    <w:uiPriority w:val="22"/>
    <w:qFormat/>
    <w:rPr>
      <w:b/>
      <w:bCs/>
    </w:rPr>
  </w:style>
  <w:style w:type="character" w:customStyle="1" w:styleId="bold">
    <w:name w:val="bold"/>
    <w:basedOn w:val="DefaultParagraphFont"/>
    <w:rPr>
      <w:b/>
      <w:bCs/>
    </w:rPr>
  </w:style>
  <w:style w:type="paragraph" w:customStyle="1" w:styleId="ti-grseq-12">
    <w:name w:val="ti-grseq-12"/>
    <w:basedOn w:val="Normal"/>
    <w:pPr>
      <w:spacing w:before="240" w:line="312" w:lineRule="atLeast"/>
    </w:pPr>
    <w:rPr>
      <w:rFonts w:eastAsia="Times New Roman"/>
      <w:b/>
      <w:bCs/>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0" w:after="150"/>
      <w:jc w:val="left"/>
    </w:pPr>
    <w:rPr>
      <w:rFonts w:eastAsia="Times New Roman"/>
      <w:szCs w:val="24"/>
    </w:rPr>
  </w:style>
  <w:style w:type="paragraph" w:customStyle="1" w:styleId="hidden">
    <w:name w:val="hidden"/>
    <w:basedOn w:val="Normal"/>
    <w:pPr>
      <w:spacing w:before="0" w:after="150"/>
      <w:jc w:val="left"/>
    </w:pPr>
    <w:rPr>
      <w:rFonts w:eastAsia="Times New Roman"/>
      <w:vanish/>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it-IT"/>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it-IT"/>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9"/>
      </w:numPr>
    </w:pPr>
    <w:rPr>
      <w:rFonts w:eastAsia="Times New Roman"/>
    </w:rPr>
  </w:style>
  <w:style w:type="paragraph" w:customStyle="1" w:styleId="ListDash1">
    <w:name w:val="List Dash 1"/>
    <w:basedOn w:val="Normal"/>
    <w:pPr>
      <w:numPr>
        <w:numId w:val="10"/>
      </w:numPr>
    </w:pPr>
    <w:rPr>
      <w:rFonts w:eastAsia="Times New Roman"/>
    </w:rPr>
  </w:style>
  <w:style w:type="paragraph" w:customStyle="1" w:styleId="ListDash2">
    <w:name w:val="List Dash 2"/>
    <w:basedOn w:val="Normal"/>
    <w:pPr>
      <w:numPr>
        <w:numId w:val="1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uiPriority w:val="99"/>
    <w:unhideWhenUsed/>
    <w:rPr>
      <w:color w:val="800080"/>
      <w:u w:val="single"/>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doc-ti">
    <w:name w:val="doc-ti"/>
    <w:basedOn w:val="Normal"/>
    <w:pPr>
      <w:spacing w:before="240"/>
      <w:jc w:val="center"/>
    </w:pPr>
    <w:rPr>
      <w:rFonts w:eastAsia="Times New Roman"/>
      <w:b/>
      <w:bCs/>
    </w:rPr>
  </w:style>
  <w:style w:type="paragraph" w:customStyle="1" w:styleId="ListDash">
    <w:name w:val="List Dash"/>
    <w:basedOn w:val="Normal"/>
    <w:pPr>
      <w:numPr>
        <w:numId w:val="12"/>
      </w:numPr>
    </w:pPr>
    <w:rPr>
      <w:rFonts w:eastAsia="Times New Roman"/>
      <w:szCs w:val="20"/>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rPr>
  </w:style>
  <w:style w:type="character" w:styleId="Strong">
    <w:name w:val="Strong"/>
    <w:basedOn w:val="DefaultParagraphFont"/>
    <w:uiPriority w:val="22"/>
    <w:qFormat/>
    <w:rPr>
      <w:b/>
      <w:bCs/>
    </w:rPr>
  </w:style>
  <w:style w:type="character" w:customStyle="1" w:styleId="bold">
    <w:name w:val="bold"/>
    <w:basedOn w:val="DefaultParagraphFont"/>
    <w:rPr>
      <w:b/>
      <w:bCs/>
    </w:rPr>
  </w:style>
  <w:style w:type="paragraph" w:customStyle="1" w:styleId="ti-grseq-12">
    <w:name w:val="ti-grseq-12"/>
    <w:basedOn w:val="Normal"/>
    <w:pPr>
      <w:spacing w:before="240" w:line="312" w:lineRule="atLeast"/>
    </w:pPr>
    <w:rPr>
      <w:rFonts w:eastAsia="Times New Roman"/>
      <w:b/>
      <w:bCs/>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0" w:after="150"/>
      <w:jc w:val="left"/>
    </w:pPr>
    <w:rPr>
      <w:rFonts w:eastAsia="Times New Roman"/>
      <w:szCs w:val="24"/>
    </w:rPr>
  </w:style>
  <w:style w:type="paragraph" w:customStyle="1" w:styleId="hidden">
    <w:name w:val="hidden"/>
    <w:basedOn w:val="Normal"/>
    <w:pPr>
      <w:spacing w:before="0" w:after="150"/>
      <w:jc w:val="left"/>
    </w:pPr>
    <w:rPr>
      <w:rFonts w:eastAsia="Times New Roman"/>
      <w:vanish/>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953">
      <w:bodyDiv w:val="1"/>
      <w:marLeft w:val="0"/>
      <w:marRight w:val="0"/>
      <w:marTop w:val="0"/>
      <w:marBottom w:val="0"/>
      <w:divBdr>
        <w:top w:val="none" w:sz="0" w:space="0" w:color="auto"/>
        <w:left w:val="none" w:sz="0" w:space="0" w:color="auto"/>
        <w:bottom w:val="none" w:sz="0" w:space="0" w:color="auto"/>
        <w:right w:val="none" w:sz="0" w:space="0" w:color="auto"/>
      </w:divBdr>
    </w:div>
    <w:div w:id="293368241">
      <w:bodyDiv w:val="1"/>
      <w:marLeft w:val="0"/>
      <w:marRight w:val="0"/>
      <w:marTop w:val="0"/>
      <w:marBottom w:val="0"/>
      <w:divBdr>
        <w:top w:val="none" w:sz="0" w:space="0" w:color="auto"/>
        <w:left w:val="none" w:sz="0" w:space="0" w:color="auto"/>
        <w:bottom w:val="none" w:sz="0" w:space="0" w:color="auto"/>
        <w:right w:val="none" w:sz="0" w:space="0" w:color="auto"/>
      </w:divBdr>
    </w:div>
    <w:div w:id="1094934940">
      <w:bodyDiv w:val="1"/>
      <w:marLeft w:val="0"/>
      <w:marRight w:val="0"/>
      <w:marTop w:val="0"/>
      <w:marBottom w:val="0"/>
      <w:divBdr>
        <w:top w:val="none" w:sz="0" w:space="0" w:color="auto"/>
        <w:left w:val="none" w:sz="0" w:space="0" w:color="auto"/>
        <w:bottom w:val="none" w:sz="0" w:space="0" w:color="auto"/>
        <w:right w:val="none" w:sz="0" w:space="0" w:color="auto"/>
      </w:divBdr>
    </w:div>
    <w:div w:id="1175340573">
      <w:bodyDiv w:val="1"/>
      <w:marLeft w:val="0"/>
      <w:marRight w:val="0"/>
      <w:marTop w:val="0"/>
      <w:marBottom w:val="0"/>
      <w:divBdr>
        <w:top w:val="none" w:sz="0" w:space="0" w:color="auto"/>
        <w:left w:val="none" w:sz="0" w:space="0" w:color="auto"/>
        <w:bottom w:val="none" w:sz="0" w:space="0" w:color="auto"/>
        <w:right w:val="none" w:sz="0" w:space="0" w:color="auto"/>
      </w:divBdr>
    </w:div>
    <w:div w:id="1204438961">
      <w:bodyDiv w:val="1"/>
      <w:marLeft w:val="0"/>
      <w:marRight w:val="0"/>
      <w:marTop w:val="0"/>
      <w:marBottom w:val="0"/>
      <w:divBdr>
        <w:top w:val="none" w:sz="0" w:space="0" w:color="auto"/>
        <w:left w:val="none" w:sz="0" w:space="0" w:color="auto"/>
        <w:bottom w:val="none" w:sz="0" w:space="0" w:color="auto"/>
        <w:right w:val="none" w:sz="0" w:space="0" w:color="auto"/>
      </w:divBdr>
      <w:divsChild>
        <w:div w:id="912544142">
          <w:marLeft w:val="0"/>
          <w:marRight w:val="0"/>
          <w:marTop w:val="0"/>
          <w:marBottom w:val="0"/>
          <w:divBdr>
            <w:top w:val="none" w:sz="0" w:space="0" w:color="auto"/>
            <w:left w:val="none" w:sz="0" w:space="0" w:color="auto"/>
            <w:bottom w:val="none" w:sz="0" w:space="0" w:color="auto"/>
            <w:right w:val="none" w:sz="0" w:space="0" w:color="auto"/>
          </w:divBdr>
          <w:divsChild>
            <w:div w:id="1370688718">
              <w:marLeft w:val="0"/>
              <w:marRight w:val="0"/>
              <w:marTop w:val="0"/>
              <w:marBottom w:val="0"/>
              <w:divBdr>
                <w:top w:val="none" w:sz="0" w:space="0" w:color="auto"/>
                <w:left w:val="none" w:sz="0" w:space="0" w:color="auto"/>
                <w:bottom w:val="none" w:sz="0" w:space="0" w:color="auto"/>
                <w:right w:val="none" w:sz="0" w:space="0" w:color="auto"/>
              </w:divBdr>
              <w:divsChild>
                <w:div w:id="1549755144">
                  <w:marLeft w:val="0"/>
                  <w:marRight w:val="0"/>
                  <w:marTop w:val="0"/>
                  <w:marBottom w:val="0"/>
                  <w:divBdr>
                    <w:top w:val="none" w:sz="0" w:space="0" w:color="auto"/>
                    <w:left w:val="none" w:sz="0" w:space="0" w:color="auto"/>
                    <w:bottom w:val="none" w:sz="0" w:space="0" w:color="auto"/>
                    <w:right w:val="none" w:sz="0" w:space="0" w:color="auto"/>
                  </w:divBdr>
                  <w:divsChild>
                    <w:div w:id="1016152875">
                      <w:marLeft w:val="-150"/>
                      <w:marRight w:val="-150"/>
                      <w:marTop w:val="0"/>
                      <w:marBottom w:val="0"/>
                      <w:divBdr>
                        <w:top w:val="none" w:sz="0" w:space="0" w:color="auto"/>
                        <w:left w:val="none" w:sz="0" w:space="0" w:color="auto"/>
                        <w:bottom w:val="none" w:sz="0" w:space="0" w:color="auto"/>
                        <w:right w:val="none" w:sz="0" w:space="0" w:color="auto"/>
                      </w:divBdr>
                      <w:divsChild>
                        <w:div w:id="1481651345">
                          <w:marLeft w:val="0"/>
                          <w:marRight w:val="0"/>
                          <w:marTop w:val="0"/>
                          <w:marBottom w:val="0"/>
                          <w:divBdr>
                            <w:top w:val="none" w:sz="0" w:space="0" w:color="auto"/>
                            <w:left w:val="none" w:sz="0" w:space="0" w:color="auto"/>
                            <w:bottom w:val="none" w:sz="0" w:space="0" w:color="auto"/>
                            <w:right w:val="none" w:sz="0" w:space="0" w:color="auto"/>
                          </w:divBdr>
                          <w:divsChild>
                            <w:div w:id="887644923">
                              <w:marLeft w:val="0"/>
                              <w:marRight w:val="0"/>
                              <w:marTop w:val="0"/>
                              <w:marBottom w:val="0"/>
                              <w:divBdr>
                                <w:top w:val="none" w:sz="0" w:space="0" w:color="auto"/>
                                <w:left w:val="none" w:sz="0" w:space="0" w:color="auto"/>
                                <w:bottom w:val="none" w:sz="0" w:space="0" w:color="auto"/>
                                <w:right w:val="none" w:sz="0" w:space="0" w:color="auto"/>
                              </w:divBdr>
                              <w:divsChild>
                                <w:div w:id="668337294">
                                  <w:marLeft w:val="0"/>
                                  <w:marRight w:val="0"/>
                                  <w:marTop w:val="0"/>
                                  <w:marBottom w:val="300"/>
                                  <w:divBdr>
                                    <w:top w:val="none" w:sz="0" w:space="0" w:color="auto"/>
                                    <w:left w:val="none" w:sz="0" w:space="0" w:color="auto"/>
                                    <w:bottom w:val="none" w:sz="0" w:space="0" w:color="auto"/>
                                    <w:right w:val="none" w:sz="0" w:space="0" w:color="auto"/>
                                  </w:divBdr>
                                  <w:divsChild>
                                    <w:div w:id="2065831939">
                                      <w:marLeft w:val="0"/>
                                      <w:marRight w:val="0"/>
                                      <w:marTop w:val="0"/>
                                      <w:marBottom w:val="0"/>
                                      <w:divBdr>
                                        <w:top w:val="none" w:sz="0" w:space="0" w:color="auto"/>
                                        <w:left w:val="none" w:sz="0" w:space="0" w:color="auto"/>
                                        <w:bottom w:val="none" w:sz="0" w:space="0" w:color="auto"/>
                                        <w:right w:val="none" w:sz="0" w:space="0" w:color="auto"/>
                                      </w:divBdr>
                                      <w:divsChild>
                                        <w:div w:id="832111539">
                                          <w:marLeft w:val="0"/>
                                          <w:marRight w:val="0"/>
                                          <w:marTop w:val="0"/>
                                          <w:marBottom w:val="0"/>
                                          <w:divBdr>
                                            <w:top w:val="none" w:sz="0" w:space="0" w:color="auto"/>
                                            <w:left w:val="none" w:sz="0" w:space="0" w:color="auto"/>
                                            <w:bottom w:val="none" w:sz="0" w:space="0" w:color="auto"/>
                                            <w:right w:val="none" w:sz="0" w:space="0" w:color="auto"/>
                                          </w:divBdr>
                                          <w:divsChild>
                                            <w:div w:id="165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115141">
      <w:bodyDiv w:val="1"/>
      <w:marLeft w:val="0"/>
      <w:marRight w:val="0"/>
      <w:marTop w:val="0"/>
      <w:marBottom w:val="0"/>
      <w:divBdr>
        <w:top w:val="none" w:sz="0" w:space="0" w:color="auto"/>
        <w:left w:val="none" w:sz="0" w:space="0" w:color="auto"/>
        <w:bottom w:val="none" w:sz="0" w:space="0" w:color="auto"/>
        <w:right w:val="none" w:sz="0" w:space="0" w:color="auto"/>
      </w:divBdr>
    </w:div>
    <w:div w:id="176313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test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566E1-F682-4C2D-852C-40FAFF2A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14</Pages>
  <Words>3576</Words>
  <Characters>21711</Characters>
  <Application>Microsoft Office Word</Application>
  <DocSecurity>0</DocSecurity>
  <Lines>1447</Lines>
  <Paragraphs>538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24749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2019-01-15T13:07:00Z</cp:lastPrinted>
  <dcterms:created xsi:type="dcterms:W3CDTF">2019-02-01T15:04:00Z</dcterms:created>
  <dcterms:modified xsi:type="dcterms:W3CDTF">2019-02-06T08:33:00Z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