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BFFA3F7D-9C98-4816-8B43-09B6A2D93A1B" style="width:450.75pt;height:352.4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DÔVODOVÁ SPRÁVA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Predmet návrhu</w:t>
      </w:r>
    </w:p>
    <w:p>
      <w:pPr>
        <w:rPr>
          <w:rFonts w:eastAsia="Arial Unicode MS"/>
          <w:noProof/>
        </w:rPr>
      </w:pPr>
      <w:r>
        <w:rPr>
          <w:noProof/>
        </w:rPr>
        <w:t>Tento návrh sa týka rozhodnutia, ktorým sa stanovuje pozícia, ktorá sa má zaujať v mene Únie v Rade Medzinárodnej organizácie civilného letectva (ICAO)</w:t>
      </w:r>
      <w:r>
        <w:t xml:space="preserve"> </w:t>
      </w:r>
      <w:r>
        <w:rPr>
          <w:noProof/>
        </w:rPr>
        <w:t xml:space="preserve">v súvislosti s plánovaným prijatím zmeny 17 prílohy 13 k Chicagskému dohovoru Radou ICAO na jej 216. zasadnutí. 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Kontext návrhu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Dohovor o medzinárodnom civilnom letectve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Cieľom Dohovoru o medzinárodnom civilnom letectve (ďalej len „Chicagský dohovor“) je regulovať medzinárodnú leteckú dopravu. Chicagský dohovor nadobudol platnosť 4. apríla 1947 a bola ním zriadená Medzinárodná organizácia civilného letectva. 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Všetky členské štáty EÚ sú zmluvnými stranami Chicagského dohovoru. 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Medzinárodná organizácia civilného letectva</w:t>
      </w:r>
    </w:p>
    <w:p>
      <w:pPr>
        <w:rPr>
          <w:noProof/>
        </w:rPr>
      </w:pPr>
      <w:r>
        <w:rPr>
          <w:noProof/>
        </w:rPr>
        <w:t>Medzinárodná organizácia civilného letectva je špecializovaná agentúra Organizácie Spojených národov. K jej cieľom patrí rozvíjať zásady a techniky medzinárodnej letovej navigácie a podporovať plánovanie a rozvoj medzinárodnej leteckej dopravy.</w:t>
      </w:r>
    </w:p>
    <w:p>
      <w:pPr>
        <w:rPr>
          <w:noProof/>
        </w:rPr>
      </w:pPr>
      <w:r>
        <w:rPr>
          <w:noProof/>
        </w:rPr>
        <w:t xml:space="preserve">Rada ICAO je stálym orgánom ICAO, ktorého členmi je 36 zmluvných štátov zvolených zhromaždením ICAO na obdobie troch rokov. V období 2016 – 2019 je v Rade ICAO zastúpených sedem členských štátov EÚ. 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Podľa článku 54 Chicagského dohovoru patrí k povinným funkciám Rady ICAO prijímanie medzinárodných štandardov a odporúčaní v podobe príloh k Chicagskému dohovoru. 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Pripravovaný akt Medzinárodnej organizácie civilného letectva</w:t>
      </w:r>
    </w:p>
    <w:p>
      <w:pPr>
        <w:rPr>
          <w:rFonts w:eastAsia="Arial Unicode MS"/>
          <w:noProof/>
        </w:rPr>
      </w:pPr>
      <w:r>
        <w:rPr>
          <w:noProof/>
        </w:rPr>
        <w:t>Počas 216. zasadnutia plánuje Rada Medzinárodnej organizácie civilného letectva prijať zmenu 17 prílohy 13 k Chicagskému dohovoru, pokiaľ ide o oznamovanie a včasné vyšetrovanie nehôd a incidentov (ďalej len „pripravovaný akt“).</w:t>
      </w:r>
    </w:p>
    <w:p>
      <w:pPr>
        <w:rPr>
          <w:noProof/>
        </w:rPr>
      </w:pPr>
      <w:r>
        <w:rPr>
          <w:noProof/>
        </w:rPr>
        <w:t>Účelom pripravovaného aktu je zmeniť prílohu 13 k Chicagskému dohovoru – </w:t>
      </w:r>
      <w:r>
        <w:rPr>
          <w:i/>
          <w:noProof/>
        </w:rPr>
        <w:t>Vyšetrovanie leteckých nehôd a incidentov</w:t>
      </w:r>
      <w:r>
        <w:rPr>
          <w:noProof/>
        </w:rPr>
        <w:t xml:space="preserve"> – na základe odporúčaní prijatých na treťom zasadnutí Výboru pre vyšetrovanie nehôd (AIGP/3) a na druhej konferencii o bezpečnosti na vysokej úrovni (HLSC2015). Pripravovaným aktom sa zavádzajú zmeny v súvislosti s včasným vyšetrovaním nehôd a vážnych incidentov a uverejňovaním záverečných správ, vymedzením pojmu „akreditovaný zástupca“, zosúladením ustanovení o oznamovaní a uverejňovaní záverečných správ, uľahčovaním prístupu vyšetrovateľov, právami a oprávneniami expertov, oboznamovaním sa s návrhmi bezpečnostných odporúčaní, zoznamom príkladov vážnych incidentov a poverením vyšetrovaním. </w:t>
      </w:r>
    </w:p>
    <w:p>
      <w:pPr>
        <w:rPr>
          <w:noProof/>
        </w:rPr>
      </w:pPr>
      <w:r>
        <w:rPr>
          <w:noProof/>
        </w:rPr>
        <w:t xml:space="preserve">Plánuje sa, že navrhovaná zmena prílohy 13 nadobudne účinnosť v júli 2019 a bude sa uplatňovať od 5. novembra 2020. 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Pozícia, ktorá sa má zaujať v mene Únie</w:t>
      </w:r>
    </w:p>
    <w:p>
      <w:pPr>
        <w:pStyle w:val="ManualHeading2"/>
        <w:rPr>
          <w:noProof/>
        </w:rPr>
      </w:pPr>
      <w:r>
        <w:t>3.1.</w:t>
      </w:r>
      <w:r>
        <w:tab/>
      </w:r>
      <w:r>
        <w:rPr>
          <w:noProof/>
        </w:rPr>
        <w:t>Hlavné zmeny a ich vzťah k existujúcim pravidlám Únie</w:t>
      </w:r>
    </w:p>
    <w:p>
      <w:pPr>
        <w:rPr>
          <w:noProof/>
        </w:rPr>
      </w:pPr>
      <w:r>
        <w:rPr>
          <w:noProof/>
        </w:rPr>
        <w:t xml:space="preserve">Hlavná zmena, ktorú prinesie pozmeňujúci návrh 17 k prílohe 13 (ďalej len „návrh“), sa týka „včasného vyšetrovania nehôd a vážnych incidentov a uverejňovania záverečnej správy“. Zakladá sa na odporúčaní prijatom na druhej konferencii o bezpečnosti na vysokej úrovni (HLSC2015). V minulosti došlo k totiž k nehodám, pri ktorých štát miesta udalosti nevykonal vyšetrovanie alebo nesúhlasil s tým, aby bol vyšetrením udalosti poverený iný štát, pričom štát prevádzkovateľa alebo štát výroby/projektu sa domnieval, že udalosť bolo potrebné vyšetriť. Poznamenáva sa, že existujú štandardy a odporúčania, podľa ktorých má štát udalosti právo poveriť vyšetrovaním iný štát, ale neexistujú žiadne štandardy a odporúčania alebo nejaké iné kritériá, podľa ktorých by štáty mali právo žiadať o to, aby bol vyšetrovaním poverený iný štát. Na HLSC2015 sa skonštatovalo, že niektoré vyšetrovania nemusí viesť štát miesta udalosti, a odporučilo sa, aby ICAO preskúmala príslušné ustanovenia v prílohe 13 s náležitým zreteľom na prípady, v ktorých štát udalosti nevykonáva vyšetrovanie požadované podľa prílohy 13 a ani nezamýšľa poveriť jeho vykonaním iný štát. V tejto súvislosti je potrebné pripomenúť, že štát miesta udalosti má podľa prílohy 13 povinnosť vykonať vyšetrovanie. Tento návrh sa bude vzťahovať na tie situácie, v ktorých si štát udalosti tieto povinnosti nesplní a bude to mať nepriaznivé dôsledky na bezpečnosť. </w:t>
      </w:r>
    </w:p>
    <w:p>
      <w:pPr>
        <w:rPr>
          <w:noProof/>
        </w:rPr>
      </w:pPr>
      <w:r>
        <w:rPr>
          <w:noProof/>
        </w:rPr>
        <w:t>Navrhované „odporúčania“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sa týkajú prípadu, v ktorom si štát, ktorý je podľa prílohy 13 zodpovedný za vyšetrovanie (štát miesta udalosti alebo prípadne registrácie), nesplní svoje povinnosti. Ďalšie štáty môžu potom „požiadať“ o to, aby boli poverené vyšetrovaním. V prípade, že zodpovedný štát nekoná, ako sa vyžaduje v prílohe 13, v odporúčaniach sa uvádza, že žiadajúci štát „by mal začať a vykonať vyšetrovanie na základe informácií, ktoré sú k dispozícii“. Ak by sa však stalo, že štát miesta udalosti zamietne žiadosť o poverenie iného štátu vyšetrovaním, čo je jedným z možných scenárov, žiadajúci štát nemôže vykonať vyšetrovanie. </w:t>
      </w:r>
    </w:p>
    <w:p>
      <w:pPr>
        <w:rPr>
          <w:noProof/>
        </w:rPr>
      </w:pPr>
      <w:r>
        <w:rPr>
          <w:noProof/>
        </w:rPr>
        <w:t xml:space="preserve">Medzi členskými štátmi Únie by za normálnych okolností nemal nastať problém, ktorý viedol k tejto zmene. V článku 5 nariadenia (EÚ) č. 996/2010 sa stanovuje vyšetrovacia povinnosť a povinnosť vymedziť rozsah bezpečnostných vyšetrovaní, ako aj to, ktorý členský štát je v danom prípade zodpovedný za vyšetrovanie. Ak by si členský štát tieto povinnosti nesplnil, znamenalo by to porušenie práva Únie a Komisia by bola oprávnená začať konanie o nesplnení povinnosti. Ak by sa však prijala navrhovaná zmena, v závislosti od prípadu by skutočnosť, že členský štát si nesplnil svoje vyšetrovacie povinnosti [t. j. podľa nariadenia (EÚ) č. 996/2010 a zároveň podľa prílohy 13 k Chicagskému dohovoru], mohla viesť k prijatiu opatrení podľa nových bodov 5.1.3 a 5.3.2 prílohy 13. </w:t>
      </w:r>
    </w:p>
    <w:p>
      <w:pPr>
        <w:rPr>
          <w:noProof/>
        </w:rPr>
      </w:pPr>
      <w:r>
        <w:rPr>
          <w:noProof/>
        </w:rPr>
        <w:t xml:space="preserve">Ďalším problémom súvisiacim s včasnými vyšetrovaniami je, že v niektorých prípadoch sa záverečné správy uverejňujú oneskorene alebo sa neuverejňujú vôbec. Z preskúmania 1 157 smrteľných nehôd lietadiel s maximálnou vzletovou hmotnosťou nad 5 700 kg, ku ktorým došlo v rokoch 1990 až 2016, vyplýva, že 59 % záverečných správ nebolo verejne dostupných. Absencia týchto záverečných správ je obzvlášť znepokojivá, pretože nie sú k dispozícii relevantné bezpečnostné informácie na vykonávanie bezpečnostných opatrení. V niektorých prípadoch mali štáty zapojené do daných vyšetrovaní informácie o bezpečnostných otázkach, ale nemohli ich zverejniť, keďže zodpovednosť za zverejňovanie informácií, či už v záverečnej správe alebo v predbežnom vyhlásení, mal štát, ktorý vykonával vyšetrovanie. </w:t>
      </w:r>
    </w:p>
    <w:p>
      <w:pPr>
        <w:rPr>
          <w:noProof/>
        </w:rPr>
      </w:pPr>
      <w:r>
        <w:rPr>
          <w:noProof/>
        </w:rPr>
        <w:t>V tejto súvislosti by podľa navrhovaného „odporúčania“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mohli štáty zapojené do vyšetrovania požiadať o súhlas na uverejnenie vyhlásenia o bezpečnostných otázkach, ak štát vykonávajúci vyšetrovanie nezverejní záverečnú správu alebo predbežné vyhlásenie v primeranom časovom rámci. Takýto druh mechanizmu nie je stanovený v nariadení (EÚ) č. 996/2010 a ani nie je potrebný (pozri odôvodnenie vyššie týkajúce sa poverenia vyšetrovaním). </w:t>
      </w:r>
    </w:p>
    <w:p>
      <w:pPr>
        <w:rPr>
          <w:noProof/>
        </w:rPr>
      </w:pPr>
      <w:r>
        <w:rPr>
          <w:noProof/>
        </w:rPr>
        <w:t xml:space="preserve">Je potrebné poznamenať, že uvedené dva body prezentované ako „odporúčania“ menia právne postavenie zmluvných strán v tejto veci v tom zmysle, že majú vplyv na rozdelenie úloh medzi štátmi ICAO v porovnaní s existujúcimi štandardmi. </w:t>
      </w:r>
    </w:p>
    <w:p>
      <w:pPr>
        <w:rPr>
          <w:noProof/>
        </w:rPr>
      </w:pPr>
      <w:r>
        <w:rPr>
          <w:noProof/>
        </w:rPr>
        <w:t xml:space="preserve">Ďalšie oblasti, v ktorých Výbor pre vyšetrovanie nehôd (AIGP/3) odporučil zaviesť zmeny prostredníctvom pozmeňujúceho návrhu 17 k prílohe 13, sú: vymedzenie pojmu „akreditovaný zástupca“; zosúladenie ustanovení o oznamovaní a uverejňovaní záverečných správ, uľahčovanie prístupu vyšetrovateľov, práva a oprávnenia expertov, oboznamovanie sa s návrhmi bezpečnostných odporúčaní, zoznam príkladov vážnych incidentov a poverenie vyšetrovaním. </w:t>
      </w:r>
    </w:p>
    <w:p>
      <w:pPr>
        <w:rPr>
          <w:noProof/>
        </w:rPr>
      </w:pPr>
      <w:r>
        <w:rPr>
          <w:noProof/>
        </w:rPr>
        <w:t xml:space="preserve">Pokiaľ ide o zmenu vymedzenia pojmu „akreditovaný zástupca“, navrhované znenie je v súlade s vymedzením pojmu „akreditovaný zástupca“ v článku 2 ods. 2 nariadenia (EÚ) č. 996/2010, v ktorom sa uvádza, že akreditovaného zástupcu určuje členský štát z orgánu bezpečnostného vyšetrovania. Všetky členské štáty v Únii zriadili stály a nezávislý Letecký vyšetrovací útvar. </w:t>
      </w:r>
    </w:p>
    <w:p>
      <w:pPr>
        <w:rPr>
          <w:noProof/>
        </w:rPr>
      </w:pPr>
      <w:r>
        <w:rPr>
          <w:noProof/>
        </w:rPr>
        <w:t xml:space="preserve">Pokiaľ ide o zosúladenie ustanovení o oznamovaní a uverejňovaní záverečných správ, v navrhovaných zmenách sa uvádzajú do súladu rôzne ustanovenia prílohy 13 so zvyškom prílohy. Vplyv týchto zmien na pravidlá Únie by sa musel posúdiť a akékoľvek prípadné rozdiely by sa mohli oznámiť. </w:t>
      </w:r>
    </w:p>
    <w:p>
      <w:pPr>
        <w:rPr>
          <w:noProof/>
        </w:rPr>
      </w:pPr>
      <w:r>
        <w:rPr>
          <w:noProof/>
        </w:rPr>
        <w:t xml:space="preserve">Cieľom navrhovanej zmeny poznámky 2 k článku 5.24 o „uľahčovaní prístupu vyšetrovateľov“ je pripomenúť členským štátom, že uzatváranie predbežných dohôd medzi orgánmi vyšetrovania nehôd a colnými orgánmi v rámci jedného štátu môže urýchliť prístup pre vyšetrujúce osoby a vybavenie. Článok 12 nariadenia (EÚ) č. 996/2010 prispieva k plneniu tohto cieľa prostredníctvom vopred uzatvorených dohôd, ktoré by sa mali uzatvoriť s inými orgánmi, ktoré by pravdepodobne mohli byť zapojené do činností súvisiacich s bezpečnostným vyšetrovaním, aby sa umožnilo dôkladné a efektívne vedenie technického vyšetrovania. </w:t>
      </w:r>
    </w:p>
    <w:p>
      <w:pPr>
        <w:rPr>
          <w:noProof/>
        </w:rPr>
      </w:pPr>
      <w:r>
        <w:rPr>
          <w:noProof/>
        </w:rPr>
        <w:t xml:space="preserve">Aby sa predišlo prípadným nejasnostiam týkajúcim práv a oprávnení experta a práv a oprávnení akreditovaného zástupcu, navrhuje sa vypustiť slovo „účasť“ z nadpisu článku 5.27, pretože je podobný ako nadpisy článkov 5.18 a 5.23, podľa ktorých sú zúčastnené štáty oprávnené vymenovať na účely vyšetrovania akreditovaného zástupcu. Vplyv týchto zmien na pravidlá Únie by sa musel posúdiť a akékoľvek prípadné rozdiely by sa mohli oznámiť. </w:t>
      </w:r>
    </w:p>
    <w:p>
      <w:pPr>
        <w:rPr>
          <w:noProof/>
        </w:rPr>
      </w:pPr>
      <w:r>
        <w:rPr>
          <w:noProof/>
        </w:rPr>
        <w:t xml:space="preserve">Cieľom navrhovanej poznámky k článku 6.8 je informovať štát vykonávajúci vyšetrovanie o možnosti koordinovať návrh bezpečnostných odporúčaní so štátmi, ktoré sa zúčastnili na vyšetrovaní. Jej znenie je v súlade s článkom 17 nariadenia (EÚ) č. 996/2010, podľa ktorého Letecké vyšetrovacie útvary Únie vydávajú po riadnej konzultácii s príslušnými stranami v akomkoľvek štádiu bezpečnostného vyšetrovania bezpečnostné odporúčania, ktoré považujú za potrebné. </w:t>
      </w:r>
    </w:p>
    <w:p>
      <w:pPr>
        <w:rPr>
          <w:noProof/>
        </w:rPr>
      </w:pPr>
      <w:r>
        <w:rPr>
          <w:noProof/>
        </w:rPr>
        <w:t xml:space="preserve">Cieľom navrhovaných zmien dodatku C „Zoznam príkladov vážnych incidentov“ je pomáhať orgánom pre vyšetrovanie leteckých nehôd pri posudzovaní toho, či išlo o nehodu, vážny incident alebo len incident. Zoznam nie je vyčerpávajúci a v budúcnosti sa bude vyvíjať so zreteľom na nové riziká, ako napr. bezpilotné lietadlá alebo porušenia kybernetickej bezpečnosti. Obsahuje aj krátke usmernenia o tom, ako majú orgány pre vyšetrovanie leteckých nehôd uplatňovať prístup založený na analýze rizík pri rozhodovaní o tom, či išlo o vážny incident alebo nie. Navrhuje sa, aby sa do dodatku C zahrnula zjednodušená verzia matice klasifikácie rizika udalosti (event risk classification – ERC), ktorá je zložkou riešení pre riadenie rizík v letectve (Aviation Risk Management Solutions – ARMS). </w:t>
      </w:r>
    </w:p>
    <w:p>
      <w:pPr>
        <w:rPr>
          <w:noProof/>
        </w:rPr>
      </w:pPr>
      <w:r>
        <w:rPr>
          <w:noProof/>
        </w:rPr>
        <w:t>Príloha k nariadeniu (EÚ) č. 996/2010 („Zoznam príkladov vážnych incidentov“) obsahuje typické príklady incidentov, ktoré môžu vyústiť do vážnych incidentov. Tento zoznam nie je vyčerpávajúci a slúži len ako návod na vymedzenie pojmu „vážny incident“: Únia víta každú iniciatívu, ktorá by pomohla harmonizovaným spôsobom vymedziť pojem vážny incident. Hoci navrhované doplnenia nemajú zodpovedajúci ekvivalent v prílohe k nariadeniu (EÚ) č. 996/2010, zdajú sa primerané a sú podobného charakteru ako položky uvedené v danej prílohe. Ak by však jedna alebo viaceré z týchto položiek spôsobovali problém, prípadné rozdiely je stále možné oznámiť neskôr.</w:t>
      </w:r>
    </w:p>
    <w:p>
      <w:pPr>
        <w:rPr>
          <w:noProof/>
        </w:rPr>
      </w:pPr>
      <w:r>
        <w:rPr>
          <w:noProof/>
        </w:rPr>
        <w:t>Navrhovaná zmena dodatku F „Dohody o poverení vyšetrovaním“ sa týka dohôd o úplnom alebo čiastočnom poverení bezpečnostným vyšetrovaním. V tomto návrhu sa zaoberá dôležitosťou rozlišovania medzi začatím a vedením vyšetrovania na jednej strane a zodpovednosťami štátu, ktorý je vyšetrovaním poverený, na strane druhej. Zavádza sa možnosť poveriť vyšetrovaním regionálnu organizáciu na vyšetrovanie nehôd a incidentov.</w:t>
      </w:r>
    </w:p>
    <w:p>
      <w:pPr>
        <w:rPr>
          <w:noProof/>
        </w:rPr>
      </w:pPr>
      <w:r>
        <w:rPr>
          <w:noProof/>
        </w:rPr>
        <w:t>V nariadení (EÚ) č. 996/2010 je viacero článkov, ktoré sa zaoberajú touto otázkou. Článok 6 sa týka spolupráce medzi orgánmi bezpečnostného vyšetrovania a umožňuje im poveriť vedením vyšetrovania nehody alebo vážneho incidentu iný orgán bezpečnostného vyšetrovania na základe vzájomnej dohody. V článku 7 sa zriaďuje Európska sieť orgánov bezpečnostného vyšetrovania v civilnom letectve, ktorá je podporovaná Európskou komisiou a jedným z jej cieľov je poskytovať orgánom bezpečnostného vyšetrovania na požiadanie primeranú podporu na účely uplatňovania článku 6, ktorá sa okrem iného týka zoznamu vyšetrovateľov, zariadení a kapacít, ktoré sú k dispozícii v iných členských štátoch a ktoré by mohol využiť orgán, ktorý vedie vyšetrovanie. Európska sieť orgánov bezpečnostného vyšetrovania v civilnom letectve bola už zaradená do registra regionálnych organizácií na vyšetrovanie nehôd a incidentov vedeného ICAO. V nariadení (EÚ) č. 996/2010 sa však neumožňuje, aby orgán bezpečnostného vyšetrovania poveril vyšetrovaním regionálnu organizáciu na vyšetrovanie nehôd a incidentov (Európska sieť orgánov bezpečnostného vyšetrovania v civilnom letectve).</w:t>
      </w:r>
    </w:p>
    <w:p>
      <w:pPr>
        <w:pStyle w:val="ManualHeading2"/>
        <w:rPr>
          <w:noProof/>
        </w:rPr>
      </w:pPr>
      <w:r>
        <w:t>3.2.</w:t>
      </w:r>
      <w:r>
        <w:tab/>
      </w:r>
      <w:r>
        <w:rPr>
          <w:noProof/>
        </w:rPr>
        <w:t>Pozícia, ktorá sa má zaujať v mene Únie</w:t>
      </w:r>
    </w:p>
    <w:p>
      <w:pPr>
        <w:rPr>
          <w:noProof/>
        </w:rPr>
      </w:pPr>
      <w:r>
        <w:rPr>
          <w:noProof/>
        </w:rPr>
        <w:t xml:space="preserve">Navrhovanou pozíciou, ktorá sa má zaujať v mene Únie, je podporiť navrhovanú zmenu v celom rozsahu. </w:t>
      </w:r>
    </w:p>
    <w:p>
      <w:pPr>
        <w:rPr>
          <w:noProof/>
        </w:rPr>
      </w:pPr>
      <w:r>
        <w:rPr>
          <w:noProof/>
        </w:rPr>
        <w:t xml:space="preserve">Je pravda, že popri prípadoch, v ktorých sú právne predpisy Únie už v súlade so zmenami navrhovanými v pozmeňujúcom návrhu 17, existujú určité body, v ktorých takýto súlad chýba alebo nie je jednoznačný. </w:t>
      </w:r>
    </w:p>
    <w:p>
      <w:pPr>
        <w:rPr>
          <w:noProof/>
        </w:rPr>
      </w:pPr>
      <w:r>
        <w:rPr>
          <w:noProof/>
        </w:rPr>
        <w:t xml:space="preserve">Existujú však dôležité argumenty v prospech podpory predloženej zmeny, pričom rozhodnutie o tom, či by sa nariadenie (EÚ) č. 996/2010 malo v určitých detailoch zmeniť a/alebo či by sa rozdiely mali oznámiť v súlade s článkom 38 Chicagského dohovoru, je stále možné prijať neskôr. </w:t>
      </w:r>
    </w:p>
    <w:p>
      <w:pPr>
        <w:rPr>
          <w:noProof/>
        </w:rPr>
      </w:pPr>
      <w:r>
        <w:rPr>
          <w:noProof/>
        </w:rPr>
        <w:t xml:space="preserve">Prvým dôvodom na podporu zmeny je, že predstavuje medzinárodný konsenzus, ku ktorému dospeli experti zo širokého spektra členských štátov ICAO vrátane viacerých expertov z členských štátov Európskej únie. Spoločným cieľom rôznych prvkov tejto zmeny je zlepšenie medzinárodného systému vyšetrovania leteckých nehôd a incidentov. Pozícia, na základe ktorej by členské štáty Únie nepodporili navrhovanú zmenu, by ohrozila medzinárodné úsilie v tomto smere. Po druhé je zásadne dôležité, aby bol pozmeňujúci návrh 17 podporený v celom rozsahu, keďže sa ním zavádza niekoľko vzájomne prepojených zmien. Rozhodnutie podporiť pozmeňujúci návrh 17 len sčasti by viedlo k narušeniu vnútornej logiky navrhovanej zmeny a mohlo by mať za následok ďalší nesúlad pravidiel obsiahnutých v prílohe 13. V neposlednom rade je potrebné poznamenať, že hoci sa európsky právny rámec pre bezpečnostné vyšetrovanie v letectve považuje za komplexný a účinný, to isté nemožno tvrdiť o právnych rámcoch viacerých iných členských štátov ICAO. </w:t>
      </w:r>
    </w:p>
    <w:p>
      <w:pPr>
        <w:rPr>
          <w:noProof/>
        </w:rPr>
      </w:pPr>
      <w:r>
        <w:rPr>
          <w:noProof/>
        </w:rPr>
        <w:t>Ako už bolo uvedené, týmto nie je dotknutá možnosť, aby sa v neskoršom štádiu vykonalo posúdenie, či by Únia mala zmeniť svoje vlastné pravidlá a/alebo rozhodnúť o oznámení rozdielov. V oboch prípadoch by Komisia podnikla potrebné kroky. Ak by najmä dospela k záveru, že je potrebné oznámiť rozdiely, predložila by zodpovedajúci návrh rozhodnutia podľa článku 218 ods. 9 ZFEÚ.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Právny základ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Procesnoprávny základ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Zásady</w:t>
      </w:r>
    </w:p>
    <w:p>
      <w:pPr>
        <w:rPr>
          <w:noProof/>
        </w:rPr>
      </w:pPr>
      <w:r>
        <w:rPr>
          <w:noProof/>
        </w:rPr>
        <w:t>V článku 218 ods. 9 Zmluvy o fungovaní Európskej únie (ZFEÚ) sa stanovujú rozhodnutia, ktorými sa určujú „</w:t>
      </w:r>
      <w:r>
        <w:rPr>
          <w:i/>
          <w:noProof/>
        </w:rPr>
        <w:t>pozície, ktoré sa majú prijať v mene Únie v rámci orgánu zriadeného dohodou, keď je tento orgán vyzvaný prijať akty s právnymi účinkami s výnimkou aktov dopĺňajúcich alebo meniacich inštitucionálny rámec danej dohody</w:t>
      </w:r>
      <w:r>
        <w:rPr>
          <w:noProof/>
        </w:rPr>
        <w:t>.“</w:t>
      </w:r>
    </w:p>
    <w:p>
      <w:pPr>
        <w:rPr>
          <w:noProof/>
        </w:rPr>
      </w:pPr>
      <w:r>
        <w:rPr>
          <w:noProof/>
        </w:rPr>
        <w:t>Článok 218 ods. 9 ZFEÚ sa uplatňuje bez ohľadu na to, či je Únia členom orgánu alebo zmluvnou stranou dohody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Pojem „</w:t>
      </w:r>
      <w:r>
        <w:rPr>
          <w:i/>
          <w:noProof/>
        </w:rPr>
        <w:t>akty s právnymi účinkami</w:t>
      </w:r>
      <w:r>
        <w:rPr>
          <w:noProof/>
        </w:rPr>
        <w:t>“ zahŕňa akty, ktoré majú právne účinky na základe pravidiel medzinárodného práva, ktorým sa riadi predmetný orgán. Zahŕňa aj nástroje, ktoré nemajú záväzný účinok podľa medzinárodného práva, ale „</w:t>
      </w:r>
      <w:r>
        <w:rPr>
          <w:i/>
          <w:noProof/>
        </w:rPr>
        <w:t>môžu rozhodujúcim spôsobom ovplyvniť obsah právnej úpravy prijatej normotvorcom EÚ</w:t>
      </w:r>
      <w:r>
        <w:rPr>
          <w:noProof/>
        </w:rPr>
        <w:t>“</w:t>
      </w:r>
      <w:r>
        <w:rPr>
          <w:rStyle w:val="FootnoteReference"/>
          <w:noProof/>
        </w:rPr>
        <w:footnoteReference w:id="4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Uplatnenie na tento prípad</w:t>
      </w:r>
    </w:p>
    <w:p>
      <w:pPr>
        <w:rPr>
          <w:noProof/>
        </w:rPr>
      </w:pPr>
      <w:r>
        <w:rPr>
          <w:noProof/>
        </w:rPr>
        <w:t xml:space="preserve">Medzinárodná organizácia civilného letectva je orgán zriadený dohodou, konkrétne Dohovorom o medzinárodnom civilnom letectve. </w:t>
      </w:r>
    </w:p>
    <w:p>
      <w:pPr>
        <w:rPr>
          <w:noProof/>
        </w:rPr>
      </w:pPr>
      <w:r>
        <w:rPr>
          <w:noProof/>
        </w:rPr>
        <w:t xml:space="preserve">Akt, ktorý má Medzinárodná organizácia civilného letectva prijať, predstavuje akt s právnymi účinkami. Pripravovaný akt má právne účinky, pretože mení niekoľko noriem, na základe ktorých môže vzniknúť záväzná právna povinnosť podľa medzinárodného práva. </w:t>
      </w:r>
    </w:p>
    <w:p>
      <w:pPr>
        <w:rPr>
          <w:noProof/>
          <w:color w:val="000000"/>
        </w:rPr>
      </w:pPr>
      <w:r>
        <w:rPr>
          <w:noProof/>
        </w:rPr>
        <w:t>Pozmeňujúcim návrhom sa okrem toho zavádza niekoľko zmien označených ako „odporúčania“. Napriek ich označeniu majú tieto „odporúčania“ taký charakter, ktorým sa mení právna situácia existujúca podľa platných noriem.</w:t>
      </w:r>
      <w:r>
        <w:rPr>
          <w:noProof/>
          <w:color w:val="000000"/>
        </w:rPr>
        <w:t xml:space="preserve"> </w:t>
      </w:r>
    </w:p>
    <w:p>
      <w:pPr>
        <w:rPr>
          <w:noProof/>
        </w:rPr>
      </w:pPr>
      <w:r>
        <w:rPr>
          <w:noProof/>
        </w:rPr>
        <w:t>Pripravovaným aktom sa nedopĺňa ani nemení inštitucionálny rámec dohody.</w:t>
      </w:r>
    </w:p>
    <w:p>
      <w:pPr>
        <w:rPr>
          <w:noProof/>
        </w:rPr>
      </w:pPr>
      <w:r>
        <w:rPr>
          <w:noProof/>
        </w:rPr>
        <w:t>Procesnoprávnym základom navrhovaného rozhodnutia je preto článok 218 ods. 9 ZFEÚ.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Hmotnoprávny základ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Zásady</w:t>
      </w:r>
    </w:p>
    <w:p>
      <w:pPr>
        <w:rPr>
          <w:noProof/>
        </w:rPr>
      </w:pPr>
      <w:r>
        <w:rPr>
          <w:noProof/>
        </w:rPr>
        <w:t>Hmotnoprávny základ rozhodnutia podľa článku 218 ods. 9 ZFEÚ závisí predovšetkým od cieľa a obsahu pripravovaného aktu, v súvislosti s ktorým sa zaujíma pozícia v mene Únie. Ak pripravovaný akt sleduje dva ciele alebo obsahuje dve zložky a ak jeden z týchto cieľov alebo jednu z týchto zložiek možno určiť ako hlavnú, zatiaľ čo druhý cieľ alebo druhá zložka je len vedľajšia, rozhodnutie podľa článku 218 ods. 9 ZFEÚ musí byť založené na jedinom hmotnoprávnom základe, a to na tom, ktorý si vyžaduje hlavný alebo prevažujúci cieľ alebo zložka.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Uplatnenie na tento prípad</w:t>
      </w:r>
    </w:p>
    <w:p>
      <w:r>
        <w:rPr>
          <w:noProof/>
        </w:rPr>
        <w:t xml:space="preserve">Hlavný cieľ a obsah pripravovaného aktu súvisí so spoločnou dopravnou politikou. </w:t>
      </w:r>
    </w:p>
    <w:p>
      <w:pPr>
        <w:rPr>
          <w:i/>
          <w:noProof/>
        </w:rPr>
      </w:pPr>
      <w:r>
        <w:rPr>
          <w:noProof/>
        </w:rPr>
        <w:t xml:space="preserve">Hmotnoprávnym základom navrhovaného rozhodnutia je preto článok 100 ods. 2 ZFEÚ. 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Záver</w:t>
      </w:r>
    </w:p>
    <w:p>
      <w:pPr>
        <w:rPr>
          <w:noProof/>
        </w:rPr>
      </w:pPr>
      <w:r>
        <w:rPr>
          <w:noProof/>
        </w:rPr>
        <w:t>Právnym základom navrhovaného rozhodnutia by mal byť článok 100 ods. 2 ZFEÚ v spojení s článkom 218 ods. 9 ZFEÚ.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2019/0034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ROZHODNUTIE RADY</w:t>
      </w:r>
    </w:p>
    <w:p>
      <w:pPr>
        <w:pStyle w:val="Titreobjet"/>
        <w:rPr>
          <w:noProof/>
        </w:rPr>
      </w:pPr>
      <w:r>
        <w:rPr>
          <w:noProof/>
        </w:rPr>
        <w:t>o pozícii, ktorá sa má zaujať v mene Európskej únie v Rade Medzinárodnej organizácie civilného letectva, pokiaľ ide o prijatie zmeny 17 prílohy 13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RADA EURÓPSKEJ ÚNIE,</w:t>
      </w:r>
    </w:p>
    <w:p>
      <w:pPr>
        <w:rPr>
          <w:noProof/>
        </w:rPr>
      </w:pPr>
      <w:r>
        <w:rPr>
          <w:noProof/>
        </w:rPr>
        <w:t>so zreteľom na Zmluvu o fungovaní Európskej únie, a najmä na jej článok 100 ods. 2 v spojení s článkom 218 ods. 9,</w:t>
      </w:r>
    </w:p>
    <w:p>
      <w:pPr>
        <w:rPr>
          <w:noProof/>
        </w:rPr>
      </w:pPr>
      <w:r>
        <w:rPr>
          <w:noProof/>
        </w:rPr>
        <w:t>so zreteľom na návrh Európskej komisie,</w:t>
      </w:r>
    </w:p>
    <w:p>
      <w:pPr>
        <w:rPr>
          <w:noProof/>
        </w:rPr>
      </w:pPr>
      <w:r>
        <w:rPr>
          <w:noProof/>
        </w:rPr>
        <w:t>keďže: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 xml:space="preserve">Dohovor o medzinárodnom civilnom letectve (ďalej len „Chicagský dohovor“), ktorého cieľom je regulovať medzinárodnú leteckú dopravu, nadobudol platnosť 4. apríla 1947. Na jeho základe sa zriadila Medzinárodná organizácia civilného letectva (ICAO).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 xml:space="preserve">Členské štáty sú zmluvnými štátmi Chicagského dohovoru a členmi ICAO, pričom Únia má v určitých orgánoch ICAO štatút pozorovateľa.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Podľa článku 54 Chicagského dohovoru môže Rada ICAO prijímať medzinárodné štandardy a odporúčania.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Rada ICAO plánuje na svojom 216. zasadnutí, ktoré sa začína 14. februára 2019, prijať zmenu 17 prílohy 13 k Chicagskému dohovoru o oznamovaní a včasnom vyšetrovaní nehôd a incidentov.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Je vhodné stanoviť pozíciu, ktorá sa má zaujať v mene Únie v Rade ICAO, keďže navrhovaná zmena má právny účinok a môže v celistvosti alebo sčasti rozhodujúcim spôsobom ovplyvniť obsah práva Únie, konkrétne nariadenie Európskeho parlamentu a Rady (EÚ) č. 996/2010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Účelom tohto pozmeňujúceho návrhu je zaviesť tieto zmeny týkajúce sa: včasného vyšetrovania nehôd a vážnych incidentov a uverejňovania záverečných správ, vymedzenia pojmu „akreditovaný zástupca“, zosúladenia ustanovení o oznamovaní a uverejňovaní záverečných správ, uľahčovania prístupu vyšetrovateľov, práv a oprávnení expertov, oboznamovania sa s návrhmi bezpečnostných odporúčaní, zoznamu príkladov vážnych incidentov a poverenia vyšetrovaním.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 xml:space="preserve">Únia výrazne podporuje snahu ICAO zlepšiť bezpečnosť letectva zabezpečením vysokej úrovne efektívnosti, účelnosti a kvality bezpečnostných vyšetrovaní v civilnom letectve. 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Pozíciu Únie vyjadria členské štáty Únie, ktoré sú členmi Rady ICAO,</w:t>
      </w:r>
    </w:p>
    <w:p>
      <w:pPr>
        <w:pStyle w:val="Formuledadoption"/>
        <w:rPr>
          <w:noProof/>
        </w:rPr>
      </w:pPr>
      <w:r>
        <w:rPr>
          <w:noProof/>
        </w:rPr>
        <w:t>PRIJALA TOTO ROZHODNUTIE:</w:t>
      </w:r>
    </w:p>
    <w:p>
      <w:pPr>
        <w:pStyle w:val="Titrearticle"/>
        <w:rPr>
          <w:noProof/>
        </w:rPr>
      </w:pPr>
      <w:r>
        <w:rPr>
          <w:noProof/>
        </w:rPr>
        <w:t>Článok 1</w:t>
      </w:r>
    </w:p>
    <w:p>
      <w:pPr>
        <w:rPr>
          <w:noProof/>
        </w:rPr>
      </w:pPr>
      <w:r>
        <w:rPr>
          <w:noProof/>
        </w:rPr>
        <w:t xml:space="preserve">Pozíciou, ktorá sa má zaujať v mene Únie na 216. zasadnutí Rady Medzinárodnej organizácie civilného letectva (ďalej len „ICAO“), je podporiť navrhovanú zmenu 17 prílohy 13 k Dohovoru o medzinárodnom civilnom letectve (ďalej len „Chicagský dohovor“) bez toho, aby tým bolo dotknuté právo na oznamovanie rozdielov v súlade s článkom 38 Chicagského dohovoru. </w:t>
      </w:r>
    </w:p>
    <w:p>
      <w:pPr>
        <w:pStyle w:val="Titrearticle"/>
        <w:rPr>
          <w:noProof/>
        </w:rPr>
      </w:pPr>
      <w:r>
        <w:rPr>
          <w:noProof/>
        </w:rPr>
        <w:t>Článok 2</w:t>
      </w:r>
    </w:p>
    <w:p>
      <w:pPr>
        <w:rPr>
          <w:noProof/>
        </w:rPr>
      </w:pPr>
      <w:r>
        <w:rPr>
          <w:noProof/>
        </w:rPr>
        <w:t>Pozíciu uvedenú v článku 1 vyjadria členské štáty Únie, ktoré sú členmi Rady ICAO.</w:t>
      </w:r>
    </w:p>
    <w:p>
      <w:pPr>
        <w:pStyle w:val="Titrearticle"/>
        <w:rPr>
          <w:noProof/>
        </w:rPr>
      </w:pPr>
      <w:r>
        <w:rPr>
          <w:noProof/>
        </w:rPr>
        <w:t>Článok 3</w:t>
      </w:r>
    </w:p>
    <w:p>
      <w:pPr>
        <w:rPr>
          <w:noProof/>
        </w:rPr>
      </w:pPr>
      <w:r>
        <w:rPr>
          <w:noProof/>
        </w:rPr>
        <w:t>Toto rozhodnutie je určené členským štátom.</w:t>
      </w:r>
    </w:p>
    <w:p>
      <w:pPr>
        <w:pStyle w:val="Fait"/>
        <w:rPr>
          <w:noProof/>
        </w:rPr>
      </w:pPr>
      <w:r>
        <w:t>V Bruseli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predseda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Budú uvedené ako body 5.1.3 a 5.3.2 prílohy 13 k Chicagskému dohovoru.</w:t>
      </w:r>
    </w:p>
  </w:footnote>
  <w:footnote w:id="2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Bude uvedené ako bod 6.6.1 prílohy 13 k dohovoru.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 xml:space="preserve">Rozsudok Súdneho dvora zo 7. októbra 2014, Nemecko/Rada, C-399/12, ECLI:EU:C:2014:2258, bod 64. 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 xml:space="preserve">Rozsudok Súdneho dvora zo 7. októbra 2014, Nemecko/Rada, C-399/12, ECLI:EU:C:2014:2258, body 61 až 64. 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Nariadenie Európskeho parlamentu a Rady (EÚ) č. 996/2010 z 20. októbra 2010 o vyšetrovaní a prevencii nehôd a incidentov v civilnom letectve a o zrušení smernice 94/56/ES (Ú. v. EÚ L 295, 12.11.2010, s. 35).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08029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3A4935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04863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57C4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C2AB4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93AC8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22C99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7E6F4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2-07 10:22:55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BFFA3F7D-9C98-4816-8B43-09B6A2D93A1B"/>
    <w:docVar w:name="LW_COVERPAGE_TYPE" w:val="1"/>
    <w:docVar w:name="LW_CROSSREFERENCE" w:val="&lt;UNUSED&gt;"/>
    <w:docVar w:name="LW_DocType" w:val="COM"/>
    <w:docVar w:name="LW_EMISSION" w:val="4. 2. 2019"/>
    <w:docVar w:name="LW_EMISSION_ISODATE" w:val="2019-02-04"/>
    <w:docVar w:name="LW_EMISSION_LOCATION" w:val="BRX"/>
    <w:docVar w:name="LW_EMISSION_PREFIX" w:val="V Bruseli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34"/>
    <w:docVar w:name="LW_REF.II.NEW.CP_YEAR" w:val="2019"/>
    <w:docVar w:name="LW_REF.INST.NEW" w:val="COM"/>
    <w:docVar w:name="LW_REF.INST.NEW_ADOPTED" w:val="final"/>
    <w:docVar w:name="LW_REF.INST.NEW_TEXT" w:val="(2019) 7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o pozícii, ktorá sa má zauja\u357? v mene Európskej únie v Rade Medzinárodnej organizácie civilného letectva, pokia\u318? ide o prijatie zmeny 17 prílohy 13"/>
    <w:docVar w:name="LW_TYPE.DOC.CP" w:val="ROZHODNUTIE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D065E99-5936-43A6-9890-B5851BB3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5</TotalTime>
  <Pages>9</Pages>
  <Words>2788</Words>
  <Characters>16785</Characters>
  <Application>Microsoft Office Word</Application>
  <DocSecurity>0</DocSecurity>
  <Lines>279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DIGIT/C6</cp:lastModifiedBy>
  <cp:revision>18</cp:revision>
  <cp:lastPrinted>2019-01-30T12:32:00Z</cp:lastPrinted>
  <dcterms:created xsi:type="dcterms:W3CDTF">2019-02-06T13:37:00Z</dcterms:created>
  <dcterms:modified xsi:type="dcterms:W3CDTF">2019-02-07T09:22:00Z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