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344635F-FC9D-4583-886D-72916E0BC9C6" style="width:450.45pt;height:420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INDOKOLÁS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rPr>
          <w:rFonts w:eastAsia="Arial Unicode MS"/>
          <w:noProof/>
        </w:rPr>
      </w:pPr>
      <w:r>
        <w:rPr>
          <w:noProof/>
        </w:rPr>
        <w:t>E javaslat tárgya az Európai Unió által az egyrészről a kelet- és dél-afrikai államok, másrészről az Európai Közösség és tagállamai közötti gazdasági partnerségi megállapodás kereteinek létrehozásáról szóló átmeneti megállapodás alapján létrejött gazdasági partnerségi megállapodással foglalkozó (GPM-) bizottságban az említett megállapodás 1. jegyzőkönyve bizonyos rendelkezései módosításáról szóló határozatának tervezett elfogadása céljából képviselendő álláspontot meghatározó határozat.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A javaslat háttere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Átmeneti megállapodás az egyrészről a kelet- és dél-afrikai államok, másrészről az Európai Közösség és tagállamai közötti gazdasági partnerségi megállapodás kereteinek létrehozásáról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Az egyrészről a kelet- és dél-afrikai államok, másrészről az Európai Közösség és tagállamai közötti gazdasági partnerségi megállapodás kereteinek létrehozásáról szóló átmeneti megállapodás (a továbbiakban: a Megállapodás) célja: a) a GPM-államok számára az Európai Unió (a továbbiakban: EU) által kínált jobb piaci hozzáféréssel járó előnyök kihasználásának lehetővé tétele; b) a fenntartható gazdasági fejlődés előmozdítása és a GPM-államok fokozatos integrálása a világgazdaságba; c) közös érdeken alapuló szabadkereskedelmi övezetek létrehozása az Európai Unió és a kelet- és dél-afrikai (ESA) államok között a kereskedelem oly módon végrehajtott fokozatos liberalizációjával, amely megfelel az alkalmazandó WTO-szabályoknak és az aszimmetria elvének, valamint figyelembe veszi az ESA-államok specifikus igényeit és kapacitásbeli korlátait a kötelezettségvállalások szintje és időzítése tekintetében; d) a megfelelő vitarendezési rendelkezések megállapítása; valamint e) a megfelelő intézményi rendelkezések megállapítása. </w:t>
      </w:r>
    </w:p>
    <w:p>
      <w:pPr>
        <w:rPr>
          <w:noProof/>
        </w:rPr>
      </w:pPr>
      <w:r>
        <w:rPr>
          <w:noProof/>
        </w:rPr>
        <w:t>Az EU 2009. július 13-án aláírta a Megállapodást</w:t>
      </w:r>
      <w:r>
        <w:rPr>
          <w:rStyle w:val="FootnoteReference"/>
          <w:rFonts w:eastAsia="Arial Unicode MS"/>
          <w:noProof/>
          <w:lang w:eastAsia="en-GB"/>
        </w:rPr>
        <w:footnoteReference w:id="1"/>
      </w:r>
      <w:r>
        <w:rPr>
          <w:noProof/>
        </w:rPr>
        <w:t>, amelyet Madagaszkár, Mauritius, a Seychelle-szigetek és Zimbabwe 2012. május 14. óta ideiglenesen alkalmaz.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A GPM-bizottság</w:t>
      </w:r>
    </w:p>
    <w:p>
      <w:pPr>
        <w:rPr>
          <w:noProof/>
        </w:rPr>
      </w:pPr>
      <w:r>
        <w:rPr>
          <w:noProof/>
        </w:rPr>
        <w:t xml:space="preserve">Az GPM-bizottság egy a Megállapodás 64. cikkének megfelelően létrehozott szerv. E bizottság az EU és a GPM-államok (Madagaszkár, Mauritius, Seychelle-szigetek és Zimbabwe) képviselőiből áll. A GPM-bizottság elfogadja eljárási szabályzatát, társelnökei pedig az EU egy képviselője, valamint az ESA-államok egy képviselője. </w:t>
      </w:r>
    </w:p>
    <w:p>
      <w:pPr>
        <w:rPr>
          <w:rFonts w:eastAsia="Arial Unicode MS"/>
          <w:noProof/>
        </w:rPr>
      </w:pPr>
      <w:r>
        <w:rPr>
          <w:noProof/>
        </w:rPr>
        <w:t>A GPM-bizottság a Megállapodás végrehajtásához szükséges valamennyi üggyel foglalkozik, többek között a fejlesztési együttműködéssel is. A GPM-bizottság a feladatainak ellátása során a) létrehozhat és felügyelhet bármilyen, a megállapodás végrehajtásához szükséges különleges bizottságot vagy testületet, b) ülésezhet a Felek által elfogadott bármilyen időpontban, c) a Megállapodás szerinti összes kérdést megfontolhatja, és funkciói gyakorlása során megfelelő intézkedéseket hozhat, d) a Megállapodásban meghatározott esetekben döntést hozhat vagy ajánlást tehet, valamint e) elfogadhatja a Megállapodás – beleértve a II. mellékletben felsorolt aláíró ESA-államok jegyzékének és az 1. jegyzőkönyv rendelkezéseinek – módosításait.</w:t>
      </w:r>
    </w:p>
    <w:p>
      <w:pPr>
        <w:rPr>
          <w:rFonts w:eastAsia="Arial Unicode MS"/>
          <w:noProof/>
        </w:rPr>
      </w:pPr>
      <w:r>
        <w:rPr>
          <w:noProof/>
        </w:rPr>
        <w:t>A GPM-bizottság szükség szerint felülvizsgálhatja a Megállapodást, valamint annak végrehajtását, működését és eredményességét, és módosítására megfelelő javaslatokat tehet a Feleknek.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A GPM-bizottság tervezett jogi aktusa</w:t>
      </w:r>
    </w:p>
    <w:p>
      <w:pPr>
        <w:rPr>
          <w:rFonts w:eastAsia="Arial Unicode MS"/>
          <w:noProof/>
        </w:rPr>
      </w:pPr>
      <w:r>
        <w:rPr>
          <w:noProof/>
        </w:rPr>
        <w:t>2019 májusában és júniusában a GPM-bizottságnak nyolc ülése során határozatot kell elfogadnia az 1. jegyzőkönyv bizonyos, a „származó termék” fogalmának meghatározására és a közigazgatási együttműködés módszereire vonatkozó rendelkezéseinek módosításáról (a továbbiakban: a tervezett jogi aktus).</w:t>
      </w:r>
    </w:p>
    <w:p>
      <w:pPr>
        <w:rPr>
          <w:rFonts w:eastAsia="Arial Unicode MS"/>
          <w:noProof/>
        </w:rPr>
      </w:pPr>
      <w:r>
        <w:rPr>
          <w:noProof/>
        </w:rPr>
        <w:t>A tervezett jogi aktus célja a származási szabályokra vonatkozó rendelkezések legújabb fejlemények szerinti aktualizálása, valamint egyszerűbb és rugalmasabb származási szabályok biztosítása a gazdasági szereplők számára az alábbi módosítások elfogadásával:</w:t>
      </w:r>
    </w:p>
    <w:p>
      <w:pPr>
        <w:pStyle w:val="Bullet0"/>
        <w:numPr>
          <w:ilvl w:val="0"/>
          <w:numId w:val="12"/>
        </w:numPr>
        <w:rPr>
          <w:rFonts w:eastAsia="Arial Unicode MS"/>
          <w:noProof/>
        </w:rPr>
      </w:pPr>
      <w:r>
        <w:rPr>
          <w:noProof/>
        </w:rPr>
        <w:t>A Megállapodás 1. jegyzőkönyve 6. cikkének 2. bekezdését helyesbíteni kell a „hajójuk” és „feldolgozóhajójuk” fogalmak meghatározása tekintetében;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 xml:space="preserve">Egy új, „Könyvelés szerinti elkülönítés” című 13. cikket kell beszúrni a Megállapodás 1. jegyzőkönyvének III. címe alá annak érdekében, hogy a gazdasági szereplők e raktározási módszer alkalmazásával csökkenthessék költségeiket; </w:t>
      </w:r>
    </w:p>
    <w:p>
      <w:pPr>
        <w:pStyle w:val="Bullet0"/>
        <w:rPr>
          <w:noProof/>
        </w:rPr>
      </w:pPr>
      <w:r>
        <w:rPr>
          <w:noProof/>
        </w:rPr>
        <w:t>A „Közvetlen szállítás” című 14. cikket fel kell váltani „A változtatás tilalma” című 15. cikkel annak érdekében, hogy a gazdasági szereplők nagyobb rugalmasságot élvezhessenek az importáló ország vámhatóságai számára átadandó bizonyítékok tekintetében, ha a származó áruk átrakodása vagy vámraktározása harmadik országban történik;</w:t>
      </w:r>
    </w:p>
    <w:p>
      <w:pPr>
        <w:pStyle w:val="Bullet0"/>
        <w:rPr>
          <w:noProof/>
        </w:rPr>
      </w:pPr>
      <w:r>
        <w:rPr>
          <w:noProof/>
        </w:rPr>
        <w:t>Egy új 17. cikket kell beilleszteni a Megállapodás 1. jegyzőkönyvének III. címe alá annak érdekében, hogy a gazdasági szereplők anélkül szállíthassanak különböző eredetű cukrot, hogy azt külön raktárakban kellene tárolniuk;</w:t>
      </w:r>
    </w:p>
    <w:p>
      <w:pPr>
        <w:pStyle w:val="Bullet0"/>
        <w:rPr>
          <w:noProof/>
        </w:rPr>
      </w:pPr>
      <w:r>
        <w:rPr>
          <w:noProof/>
        </w:rPr>
        <w:t>A Megállapodás 1. jegyzőkönyve IV. címének 16. cikkét (amely az új számozás szerint a 18. cikk) módosítani kell annak érdekében, hogy a gazdasági szereplők nagyobb rugalmasságot élvezhessenek a származási igazolásra vonatkozó követelmények teljesítése tekintetében;</w:t>
      </w:r>
    </w:p>
    <w:p>
      <w:pPr>
        <w:pStyle w:val="Bullet0"/>
        <w:rPr>
          <w:noProof/>
        </w:rPr>
      </w:pPr>
      <w:r>
        <w:rPr>
          <w:noProof/>
        </w:rPr>
        <w:t>Az 1. jegyzőkönyv II. mellékletét módosítani kell annak érdekében, hogy az tükrözze a Vámigazgatások Világszervezetének a Harmonizált Áruleíró- és Kódrendszerréről (a továbbiakban: harmonizált rendszer) szóló egyezménye által szabályozott nómenklatúra 2012. január 1-jei és 2017. január 1-jei módosításait. Ezek a módosítások nem változtatják meg a származási szabályokat. A következő HR-vámtarifaszámok módosultak vagy frissültek: ex 12. árucsoport, ex1211, ex121190, ex3002, 4104–4106, 4107, 4109 (törölve), ex4114, 8485 (törölve), ex8486 és 8487;</w:t>
      </w:r>
    </w:p>
    <w:p>
      <w:pPr>
        <w:pStyle w:val="Bullet0"/>
        <w:rPr>
          <w:noProof/>
        </w:rPr>
      </w:pPr>
      <w:r>
        <w:rPr>
          <w:noProof/>
        </w:rPr>
        <w:t>Horvátország uniós csatlakozását követően az 1. jegyzőkönyv IV. mellékletét ki kell egészíteni az említett mellékletben szereplő nyilatkozat horvát nyelvű változatával;</w:t>
      </w:r>
    </w:p>
    <w:p>
      <w:pPr>
        <w:pStyle w:val="Bullet0"/>
        <w:rPr>
          <w:noProof/>
        </w:rPr>
      </w:pPr>
      <w:r>
        <w:rPr>
          <w:noProof/>
        </w:rPr>
        <w:t>A Megállapodás 1. jegyzőkönyvének az EU tengerentúli országait és területeit felsoroló IX. mellékletét módosítani kell, hogy – tekintettel a jegyzékben szereplő egyes területek jogállásának közelmúltbeli változására – az az EUMSZ II. mellékletének megfelelően tükrözze a tengerentúli országokat és területeket felsoroló jegyék változásait, és ezáltal könnyebbé váljon a származási kumulációra vonatkozó rendelkezések alkalmazása.</w:t>
      </w:r>
    </w:p>
    <w:p>
      <w:pPr>
        <w:rPr>
          <w:rFonts w:eastAsia="Arial Unicode MS"/>
          <w:noProof/>
        </w:rPr>
      </w:pPr>
      <w:r>
        <w:rPr>
          <w:noProof/>
        </w:rPr>
        <w:t>A Megállapodás 1. jegyzőkönyvében és annak mellékleteiben szükséges módosítások nagy számára való tekintettel az egyértelműség érdekében a jegyzőkönyvet teljes egészében fel kell váltani.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Az Unió által képviselendő álláspont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A „származó termék” fogalmának meghatározásáról és a közigazgatási együttműködés módszereiről szóló 1. jegyzőkönyvet 2007-ben írták alá. Az eredeti 1. jegyzőkönyv egyes rendelkezései nem naprakészek és nem veszik figyelembe a származási szabályokkal kapcsolatos legújabb fejleményeket, és ennek következtében a Megállapodás által biztosított preferenciális elbánás alkalmazása akadályokba ütközik. A módosítások egyszerűsítik a származási szabályokkal kapcsolatos követelményeket és eljárásokat és rugalmasabbá teszik azokat a teljesítésük megkönnyítése érdekében. Ez az egyszerűsítés elősegíti a kereskedelmet és optimalizálja a gazdasági szereplők számára biztosított kedvezményes elbánás alkalmazhatóságát. A javasolt módosítások továbbá elősegítik a regionális integrációt és a gazdasági fejlődést az ESA-államokban azáltal, hogy több lehetőséget kínálnak a gazdasági szereplőknek a származási szabályok teljesítésére.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A Megállapodás 1. jegyzőkönyvének II. mellékletében említett termékek (vámtarifaszámok és megnevezés) módosítása szükséges a Megállapodás szövegének és a Vámigazgatások Világszervezete által a harmonizált rendszer 2012-es és 2017-es kiadású nómenklatúráján végzett módosítások összehangolásához, valamint hogy a termékmegnevezések és a HR-osztályozás összhangban legyen a harmonizált rendszerrel.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Végezetül a Megállapodás 1. jegyzőkönyvének IX. melléklete felsorolja az EU tengerentúli országait és területeit. A jegyzőkönyv alkalmazásában a „tengerentúli országok és területek” az Európai Unió működéséről szóló szerződés II. mellékletében említett országokat és területeket jelentik. A jegyzéket aktualizálni kell, hogy az tükrözze az egyes tengerentúli országok és területek jogállásának közelmúltbeli változását.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A javasolt határozat megfelel az Európai Uniót a Megállapodás rendelkezései értelmében terhelő kötelezettségeknek.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Jogalap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Eljárási jogalap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Alapelvek</w:t>
      </w:r>
    </w:p>
    <w:p>
      <w:pPr>
        <w:rPr>
          <w:noProof/>
        </w:rPr>
      </w:pPr>
      <w:r>
        <w:rPr>
          <w:noProof/>
        </w:rPr>
        <w:t>Az Európai Unió működéséről szóló szerződés (a továbbiakban: EUMSZ) 218. cikkének (9) bekezdése határozatok elfogadásáról rendelkezik „</w:t>
      </w:r>
      <w:r>
        <w:rPr>
          <w:i/>
          <w:noProof/>
        </w:rPr>
        <w:t>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t>A „</w:t>
      </w:r>
      <w:r>
        <w:rPr>
          <w:i/>
          <w:noProof/>
        </w:rPr>
        <w:t>joghatással bíró jogi aktus</w:t>
      </w:r>
      <w:r>
        <w:rPr>
          <w:noProof/>
        </w:rPr>
        <w:t>” fogalmába beletartoznak a nemzetközi jognak a kérdéses szervet szabályozó szabályai szerint joghatással bíró jogi aktusok. Ezenfelül a fogalom magában foglalja azokat az eszközöket is, amelyek a nemzetközi jog szerint nem bírnak kötelező erővel, de „</w:t>
      </w:r>
      <w:r>
        <w:rPr>
          <w:i/>
          <w:noProof/>
        </w:rPr>
        <w:t>meghatározó módon befolyásolják az uniós jogalkotó által [...] elfogadott szabályozás tartalmát</w:t>
      </w:r>
      <w:r>
        <w:rPr>
          <w:noProof/>
        </w:rPr>
        <w:t>”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GPM-bizottság által elfogadandó jogi aktus joghatással bíró jogi aktus, és a Megállapodás 13., 64. és 68. cikkével összhangban a nemzetközi jog értelmében kötelező erejű. A tervezett jogi aktus nem egészíti ki és nem is módosítja a Megállapodás intézményi kereteit.</w:t>
      </w:r>
    </w:p>
    <w:p>
      <w:pPr>
        <w:rPr>
          <w:noProof/>
        </w:rPr>
      </w:pPr>
      <w:r>
        <w:rPr>
          <w:noProof/>
        </w:rPr>
        <w:t>Ezért a javasolt határozat eljárási jogalapja az EUMSZ 218. cikkének (9) bekezdése.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Anyagi jogalap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Alapelvek</w:t>
      </w:r>
    </w:p>
    <w:p>
      <w:pPr>
        <w:rPr>
          <w:noProof/>
        </w:rPr>
      </w:pPr>
      <w:r>
        <w:rPr>
          <w:noProof/>
        </w:rPr>
        <w:t>Az EUMSZ 218. cikkének (9) 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csak járulékos jellegű, az EUMSZ 218. cikkének (9) bekezdése szerinti határozatot egyetlen anyagi jogalapra, azaz az elsődleges, illetve döntő jellegű célkitűzés vagy összetevő által megkövetelt jogalapra kell alapítani.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tervezett jogi aktus elsődleges célkitűzése és tartalma a közös kereskedelempolitikával kapcsolatos.</w:t>
      </w:r>
    </w:p>
    <w:p>
      <w:pPr>
        <w:rPr>
          <w:i/>
          <w:noProof/>
        </w:rPr>
      </w:pPr>
      <w:r>
        <w:rPr>
          <w:noProof/>
        </w:rPr>
        <w:t>Ezért a javasolt határozat anyagi jogalapja az EUMSZ 207. cikke.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Következtetés</w:t>
      </w:r>
    </w:p>
    <w:p>
      <w:pPr>
        <w:rPr>
          <w:noProof/>
        </w:rPr>
      </w:pPr>
      <w:r>
        <w:rPr>
          <w:noProof/>
        </w:rPr>
        <w:t>A javasolt határozat jogalapja ezért a 207. cikk, összefüggésben az EUMSZ 218. cikkének (9) bekezdésével.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A tervezett jogi aktus kihirdetése</w:t>
      </w:r>
    </w:p>
    <w:p>
      <w:pPr>
        <w:rPr>
          <w:noProof/>
        </w:rPr>
      </w:pPr>
      <w:r>
        <w:rPr>
          <w:noProof/>
        </w:rPr>
        <w:t xml:space="preserve">Mivel a GPM-bizottság jogi aktusa módosítani fogja az egyrészről a kelet- és dél-afrikai államok, másrészről az Európai Közösség és tagállamai közötti gazdasági partnerségi megállapodás kereteinek létrehozásáról szóló átmeneti megállapodást, elfogadását követően helyénvaló kihirdetni azt az </w:t>
      </w:r>
      <w:r>
        <w:rPr>
          <w:i/>
          <w:noProof/>
        </w:rPr>
        <w:t>Európai Unió Hivatalos Lapjában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2019/0029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az egyrészről a kelet- és dél-afrikai államok, másrészről az Európai Közösség és tagállamai közötti gazdasági partnerségi megállapodás kereteinek létrehozásáról szóló átmeneti megállapodás alapján létrejött gazdasági partnerségi megállapodással foglalkozó bizottságban az említett megállapodás 1. jegyzőkönyve bizonyos, a „származó termék” fogalmának meghatározására és a közigazgatási együttműködés módszereire vonatkozó rendelkezéseinek módosításáról szóló határozat elfogadása céljából képviselendő álláspontról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207. cikkére, összefüggésben a 218. cikke (9) 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egyrészről a kelet- és dél-afrikai államok, másrészről az Európai Közösség és tagállamai közötti gazdasági partnerségi megállapodás kereteinek létrehozásáról szóló átmeneti megállapodást (a továbbiakban: a Megállapodás) az Unió a 2012. július 13-i 2012/196/EK tanácsi határozattal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megkötötte, és az 2012. május 14-én ideiglenes alkalmazásba lépett.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Megállapodás 13. és 68. cikke, valamint a Megállapodás 1. jegyzőkönyvének 44. cikke értelmében a gazdasági partnerségi megállapodással foglalkozó bizottság módosításokat fogadhat el a Megállapodás 1. jegyzőkönyvének rendelkezéseihez.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bizottság *2019 májusában és júniusában* nyolc ülést tart, melyeken határozatot fogad el az 1. jegyzőkönyv bizonyos, a „származó termék” fogalmának meghatározásáról és a közigazgatási együttműködés módszereiről szóló rendelkezéseinek módosításáról.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Mivel a tervezett határozat kötelező érvényű lesz az Unióra nézve, helyénvaló meghatározni az Unió nevében a gazdasági partnerségi megállapodással foglalkozó bizottságban képviselendő álláspontot.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A „származó termék” fogalmának meghatározásáról és a közigazgatási együttműködés módszereiről szóló, 2007-ben kötött 1. jegyzőkönyv bizonyos rendelkezéseinek módosításával a származási szabályokat aktualizálni kell a legújabb fejleményeknek megfelelően annak érdekében, hogy rugalmasabb és egyszerűbb származási szabályok bevezetése révén egyszerűbbé váljon a kereskedelem a gazdasági szereplők számára, és optimalizálódjon a preferenciális elbánást kihasználók aránya.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Megállapodás 1. jegyzőkönyvének II. mellékletében említett termékek (vámtarifaszámok és megnevezés) módosítása szükséges a Megállapodás szövegének és a Vámigazgatások Világszervezete által a harmonizált rendszer 2012-es és 2017-es kiadású nómenklatúráján végzett módosítások összehangolásához, valamint hogy a termékmegnevezések és a HR-osztályozás összhangban legyen a harmonizált rendszerrel.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 Megállapodás 1. jegyzőkönyvének IX. melléklete felsorolja az EU tengerentúli országait és területeit. A jegyzőkönyv alkalmazásában a „tengerentúli országok és területek” az Európai Unió működéséről szóló szerződés II. mellékletében említett országokat és területeket jelentik. A jegyzéket aktualizálni kell, hogy az tükrözze az egyes tengerentúli országok és területek jogállásának közelmúltbeli változását.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 cikk</w:t>
      </w:r>
    </w:p>
    <w:p>
      <w:pPr>
        <w:jc w:val="left"/>
        <w:rPr>
          <w:i/>
          <w:noProof/>
        </w:rPr>
      </w:pPr>
      <w:r>
        <w:rPr>
          <w:noProof/>
        </w:rPr>
        <w:t>A gazdasági partnerségi megállapodással foglalkozó bizottság nyolc ülésén az Unió által képviselendő álláspont az említett bizottság jogi aktusának e határozathoz csatolt tervezetén alapul.</w:t>
      </w:r>
    </w:p>
    <w:p>
      <w:pPr>
        <w:pStyle w:val="Titrearticle"/>
        <w:rPr>
          <w:noProof/>
        </w:rPr>
      </w:pPr>
      <w:r>
        <w:rPr>
          <w:noProof/>
        </w:rPr>
        <w:t>2. cikk</w:t>
      </w:r>
    </w:p>
    <w:p>
      <w:pPr>
        <w:rPr>
          <w:noProof/>
        </w:rPr>
      </w:pPr>
      <w:r>
        <w:rPr>
          <w:noProof/>
        </w:rPr>
        <w:t>Ennek a határozatnak a Bizottság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A Tanács határozata (2009. július 13.) az egyrészről a kelet- és dél-afrikai államok, másrészről az Európai Közösség és tagállamai közötti gazdasági partnerségi megállapodás kereteit létrehozó átmeneti megállapodás aláírásáról és ideiglenes alkalmazásáról (HL L 111., 2012.4.24., 1. o.)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A Bíróság 2014. október 7-i ítélete, Németország kontra Tanács, C-399/12, ECLI:EU:C:2014:2258, 61–64. pont.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HL L 111., 2014.4.24., 1. 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B4E52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0725F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D5E84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94E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AEE80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6D41B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75688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03E9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4 09:13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344635F-FC9D-4583-886D-72916E0BC9C6"/>
    <w:docVar w:name="LW_COVERPAGE_TYPE" w:val="1"/>
    <w:docVar w:name="LW_CROSSREFERENCE" w:val="&lt;UNUSED&gt;"/>
    <w:docVar w:name="LW_DocType" w:val="COM"/>
    <w:docVar w:name="LW_EMISSION" w:val="2019.2.7."/>
    <w:docVar w:name="LW_EMISSION_ISODATE" w:val="2019-02-07"/>
    <w:docVar w:name="LW_EMISSION_LOCATION" w:val="BRX"/>
    <w:docVar w:name="LW_EMISSION_PREFIX" w:val="Brüssze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9"/>
    <w:docVar w:name="LW_REF.II.NEW.CP_YEAR" w:val="2019"/>
    <w:docVar w:name="LW_REF.INST.NEW" w:val="COM"/>
    <w:docVar w:name="LW_REF.INST.NEW_ADOPTED" w:val="final"/>
    <w:docVar w:name="LW_REF.INST.NEW_TEXT" w:val="(2019) 5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z egyrészr\u337?l a kelet- és dél-afrikai államok, másrészr\u337?l az Európai Közösség és tagállamai közötti gazdasági partnerségi megállapodás kereteinek létrehozásáról szóló átmeneti megállapodás alapján létrejött gazdasági partnerségi megállapodással foglalkozó bizottságban az említett megállapodás 1. jegyz\u337?könyve bizonyos, a \u8222?származó termék\u8221? fogalmának meghatározására és a közigazgatási együttm\u369?ködés módszereire vonatkozó rendelkezéseinek módosításáról szóló határozat elfogadása céljából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2177A6-9E8A-4624-9864-644F3BE1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1735</Words>
  <Characters>12531</Characters>
  <Application>Microsoft Office Word</Application>
  <DocSecurity>0</DocSecurity>
  <Lines>212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2019-01-28T15:46:00Z</dcterms:created>
  <dcterms:modified xsi:type="dcterms:W3CDTF">2019-02-04T08:13:00Z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