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7C3E400A-A075-4600-9DF1-F3EAE470C96F" style="width:450.75pt;height:41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0" w:name="_GoBack"/>
      <w:bookmarkEnd w:id="0"/>
    </w:p>
    <w:p>
      <w:pPr>
        <w:pStyle w:val="Annexetitre"/>
        <w:rPr>
          <w:noProof/>
        </w:rPr>
      </w:pPr>
      <w:r>
        <w:rPr>
          <w:noProof/>
        </w:rPr>
        <w:t>PRÍLOHA</w:t>
      </w:r>
    </w:p>
    <w:p>
      <w:pPr>
        <w:rPr>
          <w:noProof/>
        </w:rPr>
      </w:pPr>
    </w:p>
    <w:p>
      <w:pPr>
        <w:pStyle w:val="Heading1"/>
        <w:numPr>
          <w:ilvl w:val="0"/>
          <w:numId w:val="1"/>
        </w:numPr>
        <w:rPr>
          <w:noProof/>
        </w:rPr>
      </w:pPr>
      <w:r>
        <w:rPr>
          <w:noProof/>
        </w:rPr>
        <w:t>CIELE</w:t>
      </w:r>
    </w:p>
    <w:p>
      <w:pPr>
        <w:rPr>
          <w:noProof/>
        </w:rPr>
      </w:pPr>
      <w:r>
        <w:rPr>
          <w:noProof/>
        </w:rPr>
        <w:t>Komisia by sa mala v priebehu rokovaní snažiť dosiahnuť konkrétne ciele, ktoré sú podrobne uvedené ďalej, a zároveň zabezpečiť, aby bol výsledok rokovaní v súlade s vnútornými pravidlami Únie týkajúcimi sa elektronických dôkazov, a to aj v podobe, do akej sa vyvinú na základe rokovaní spoluzákonodarcov Únie v rámci legislatívneho postupu, a nakoniec aj v ich konečnej podobe, ktorá sa prijme. Uvedené vnútorné pravidlá budú východiskom pre rokovaciu pozíciu Únie.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Stanoviť spoločné pravidlá a riešiť kolíziu právnych poriadkov vo vzťahu k príkazom na poskytnutie elektronických dôkazov v podobe obsahových a neobsahových údajov, ktoré boli vydané justičným orgánom jednej zmluvnej strany a adresované poskytovateľovi služieb, na ktorého sa vzťahuje právo druhej zmluvnej strany. Tým by sa malo znížiť riziko fragmentácie postupov a právnych predpisov a mala by sa zvýšiť právna istota medzi Úniou a Spojenými štátmi americkými pri získavaní elektronických dôkazov v trestnom konaní.</w:t>
      </w:r>
    </w:p>
    <w:p>
      <w:pPr>
        <w:pStyle w:val="NumPar1"/>
        <w:rPr>
          <w:noProof/>
        </w:rPr>
      </w:pPr>
      <w:r>
        <w:rPr>
          <w:noProof/>
        </w:rPr>
        <w:t>Umožniť, aby prenos elektronických dôkazov žiadajúcemu orgánu, ako sa stanovuje odseku 1, na recipročnom základe uskutočňoval priamo poskytovateľ služieb.</w:t>
      </w:r>
    </w:p>
    <w:p>
      <w:pPr>
        <w:pStyle w:val="NumPar1"/>
        <w:rPr>
          <w:noProof/>
        </w:rPr>
      </w:pPr>
      <w:r>
        <w:rPr>
          <w:noProof/>
        </w:rPr>
        <w:t>Zabezpečiť rešpektovanie základných práv, slobôd a všeobecných zásad práva EÚ zakotvených v zmluvách o Európskej únii a v Charte základných práv vrátane primeranosti, procesných práv, prezumpcie neviny a práv osôb, proti ktorým sa vedie trestné konanie, na obhajobu, ako aj práva na súkromie a ochranu osobných údajov a údajov z komunikácie pri ich spracúvaní, a to aj pri prenosoch orgánom presadzovania práva v tretích krajinách, a všetkých povinností orgánov presadzovania práva a justičných orgánov v tejto súvislosti.</w:t>
      </w:r>
    </w:p>
    <w:p>
      <w:pPr>
        <w:rPr>
          <w:noProof/>
        </w:rPr>
      </w:pPr>
      <w:r>
        <w:rPr>
          <w:noProof/>
        </w:rPr>
        <w:t>V záujme dosiahnutia cieľov stanovených v časti 1 by dohoda mala pokrývať najmä tieto prvky:</w:t>
      </w:r>
    </w:p>
    <w:p>
      <w:pPr>
        <w:pStyle w:val="Heading1"/>
        <w:rPr>
          <w:noProof/>
        </w:rPr>
      </w:pPr>
      <w:r>
        <w:rPr>
          <w:noProof/>
        </w:rPr>
        <w:t>POVAHA A ROZSAH PÔSOBNOSTI DOHODY</w:t>
      </w:r>
    </w:p>
    <w:p>
      <w:pPr>
        <w:pStyle w:val="NumPar1"/>
        <w:rPr>
          <w:noProof/>
        </w:rPr>
      </w:pPr>
      <w:r>
        <w:rPr>
          <w:noProof/>
        </w:rPr>
        <w:t>Dohoda by sa mala vzťahovať na trestné konania, ktoré zahŕňajú fázu pred súdnym konaním, ako aj fázu samotného konania.</w:t>
      </w:r>
    </w:p>
    <w:p>
      <w:pPr>
        <w:pStyle w:val="NumPar1"/>
        <w:rPr>
          <w:noProof/>
        </w:rPr>
      </w:pPr>
      <w:r>
        <w:rPr>
          <w:noProof/>
        </w:rPr>
        <w:t>Dohodou by sa mali vytvárať recipročné práva a povinnosti zmluvných strán.</w:t>
      </w:r>
    </w:p>
    <w:p>
      <w:pPr>
        <w:pStyle w:val="NumPar1"/>
        <w:rPr>
          <w:noProof/>
        </w:rPr>
      </w:pPr>
      <w:r>
        <w:rPr>
          <w:noProof/>
        </w:rPr>
        <w:t>V dohode by sa mali vymedziť údaje, na ktoré sa dohoda bude vzťahovať, a ich druhy vrátane obsahových a neobsahových údajov.</w:t>
      </w:r>
    </w:p>
    <w:p>
      <w:pPr>
        <w:pStyle w:val="NumPar1"/>
        <w:rPr>
          <w:noProof/>
        </w:rPr>
      </w:pPr>
      <w:r>
        <w:rPr>
          <w:noProof/>
        </w:rPr>
        <w:t>V dohode by sa mal vymedziť presný rozsah jej pôsobnosti z hľadiska trestných činov, na ktoré sa vzťahuje, a prahových hodnôt.</w:t>
      </w:r>
    </w:p>
    <w:p>
      <w:pPr>
        <w:pStyle w:val="NumPar1"/>
        <w:rPr>
          <w:noProof/>
        </w:rPr>
      </w:pPr>
      <w:r>
        <w:rPr>
          <w:noProof/>
        </w:rPr>
        <w:t>V dohode by sa mali stanoviť podmienky, ktoré musia byť splnené, aby justičný orgán mohol vydať príkaz, a spôsoby, akými môže byť príkaz doručený.</w:t>
      </w:r>
    </w:p>
    <w:p>
      <w:pPr>
        <w:pStyle w:val="NumPar1"/>
        <w:rPr>
          <w:noProof/>
        </w:rPr>
      </w:pPr>
      <w:r>
        <w:rPr>
          <w:noProof/>
        </w:rPr>
        <w:t>Dohoda by mala obsahovať ustanovenie poskytujúce dotknutým osobám účinné prostriedky nápravy počas trestného konania. V dohode by sa takisto malo vymedziť, za akých okolností má poskytovateľ služieb právo namietať voči príkazu.</w:t>
      </w:r>
    </w:p>
    <w:p>
      <w:pPr>
        <w:pStyle w:val="NumPar1"/>
        <w:rPr>
          <w:noProof/>
        </w:rPr>
      </w:pPr>
      <w:r>
        <w:rPr>
          <w:noProof/>
        </w:rPr>
        <w:t>V dohode by sa mala stanoviť lehota na poskytnutie údajov, na ktoré sa príkaz vzťahuje.</w:t>
      </w:r>
    </w:p>
    <w:p>
      <w:pPr>
        <w:pStyle w:val="NumPar1"/>
        <w:rPr>
          <w:noProof/>
        </w:rPr>
      </w:pPr>
      <w:r>
        <w:rPr>
          <w:noProof/>
        </w:rPr>
        <w:t>Dohodou by nemali byť dotknuté iné existujúce medzinárodné dohody o justičnej spolupráci v trestných veciach medzi orgánmi, ako je Dohoda o vzájomnej právnej pomoci medzi EÚ a USA.</w:t>
      </w:r>
    </w:p>
    <w:p>
      <w:pPr>
        <w:pStyle w:val="NumPar1"/>
        <w:rPr>
          <w:noProof/>
        </w:rPr>
      </w:pPr>
      <w:r>
        <w:rPr>
          <w:noProof/>
        </w:rPr>
        <w:t>V dvojstranných vzťahoch medzi Úniou a Spojenými štátmi americkými by dohoda mala mať prednosť pred Dohovorom Rady Európy o počítačovej kriminalite a akoukoľvek dohodou alebo opatrením, ku ktorým sa dospeje pri rokovaniach o druhom dodatkovom protokole k tomuto dohovoru, pokiaľ budú ustanovenia danej dohody alebo daného opatrenia upravovať otázky, ktoré sú predmetom dohody.</w:t>
      </w:r>
    </w:p>
    <w:p>
      <w:pPr>
        <w:pStyle w:val="Heading1"/>
        <w:rPr>
          <w:noProof/>
        </w:rPr>
      </w:pPr>
      <w:r>
        <w:rPr>
          <w:noProof/>
        </w:rPr>
        <w:t>ZÁRUKY</w:t>
      </w:r>
    </w:p>
    <w:p>
      <w:pPr>
        <w:pStyle w:val="NumPar1"/>
        <w:rPr>
          <w:noProof/>
        </w:rPr>
      </w:pPr>
      <w:r>
        <w:rPr>
          <w:noProof/>
        </w:rPr>
        <w:t>Dohoda by mala byť recipročná, pokiaľ ide o kategórie osôb, ktorých údaje sa podľa nej nesmú vyžadovať. Dohodou by sa nemali diskriminovať osoby z rôznych členských štátov.</w:t>
      </w:r>
    </w:p>
    <w:p>
      <w:pPr>
        <w:pStyle w:val="NumPar1"/>
        <w:rPr>
          <w:noProof/>
        </w:rPr>
      </w:pPr>
      <w:r>
        <w:rPr>
          <w:noProof/>
        </w:rPr>
        <w:t>Dohodou by sa mala na základe odkazu na Dohodu medzi EÚ a USA o ochrane osobných údajov a súkromia, ktorá je inak známa aj ako „zastrešujúca dohoda“ a ktorá nadobudla platnosť 1. februára 2017, zaistiť uplatniteľnosť danej dohody.</w:t>
      </w:r>
    </w:p>
    <w:p>
      <w:pPr>
        <w:pStyle w:val="NumPar1"/>
        <w:rPr>
          <w:noProof/>
        </w:rPr>
      </w:pPr>
      <w:r>
        <w:rPr>
          <w:noProof/>
        </w:rPr>
        <w:t>Dohodou by sa mala zastrešujúca dohoda doplniť o dodatočné záruky, ktorými sa zohľadní úroveň citlivosti dotknutých kategórií údajov a jedinečné požiadavky vyplývajúce z toho, že prenos elektronických dôkazov budú uskutočňovať priamo poskytovatelia služieb, a nebude sa uskutočňovať medzi orgánmi.</w:t>
      </w:r>
    </w:p>
    <w:p>
      <w:pPr>
        <w:pStyle w:val="NumPar1"/>
        <w:rPr>
          <w:noProof/>
        </w:rPr>
      </w:pPr>
      <w:r>
        <w:rPr>
          <w:noProof/>
        </w:rPr>
        <w:t>Dodatočné záruky, pokiaľ ide o ochranu súkromia a osobných údajov, ktoré by sa mali preskúmať vzhľadom na rozsah pôsobnosti dohody, by mali okrem iného zahŕňať: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Konkrétne určenie účelov, na ktoré sa môžu osobné údaje a údaje z elektronickej komunikácie žiadať a prenášať.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Požiadavku, aby bol príkaz obmedzený na osobné údaje a údaje z elektronickej komunikácie, ktoré sú nevyhnutné a primerané vo vzťahu k účelom, na ktoré sa k nim pristupuje.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Požiadavku, aby používanie údajov ďalšími orgánmi USA, ktoré nie sú viazané zastrešujúcou dohodou, a ich sprístupnenie týmto orgánom podliehalo oznámeniu príslušnému justičnému orgánu určenému v členskom štáte, v ktorom má poskytovateľ služieb sídlo alebo zastúpenie, a predchádzajúcemu povoleniu týmto orgánom a aby k nemu mohlo dôjsť len vtedy, ak sa zaistí, že prijímajúci orgán bude účinne chrániť osobné údaje a údaje z elektronickej komunikácie v súlade s ustanoveniami dohody. Pri zvažovaní takéhoto predchádzajúceho povolenia by príslušný justičný orgán mal náležite zohľadniť všetky relevantné faktory vrátane závažnosti trestného činu a účelu, na ktorý sa údaje pôvodne preniesli.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Požiadavku, aby sa následné prenosy do ďalších tretích krajín mohli uskutočňovať len orgánom presadzovania práva zodpovedným za predchádzanie trestným činom vrátane terorizmu, ich vyšetrovanie, odhaľovanie alebo stíhanie a aby podliehali oznámeniu príslušnému justičnému orgánu určenému členským štátom, v ktorom má poskytovateľ služieb sídlo alebo zastúpenie, a predchádzajúcemu povoleniu týmto orgánom. Pri zvažovaní takéhoto predchádzajúceho povolenia by príslušný justičný orgán mal zohľadniť faktory stanovené v článku 7 ods. 2 zastrešujúcej dohody.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V dohode sa môžu stanoviť výnimočné okolnosti, za ktorých sa následný prenos môže uskutočniť bez predchádzajúceho povolenia, ako je prípad závažného a bezprostredného ohrozenia verejnej bezpečnosti členského štátu alebo tretej krajiny, a záruky potrebné v tejto súvislosti.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Oznámenie incidentu v oblasti bezpečnosti informácií príslušnému orgánu určenému členským štátom, v ktorom má poskytovateľ služieb sídlo alebo zastúpenie, sa vykoná v súlade s podmienkami článku 10 ods. 2 zastrešujúcej dohody.</w:t>
      </w:r>
    </w:p>
    <w:p>
      <w:pPr>
        <w:pStyle w:val="NumPar1"/>
        <w:rPr>
          <w:noProof/>
        </w:rPr>
      </w:pPr>
      <w:r>
        <w:rPr>
          <w:noProof/>
        </w:rPr>
        <w:t>Dodatočné záruky, pokiaľ ide o procesné práva, ktoré by sa mali preskúmať vzhľadom na rozsah pôsobnosti dohody, by mali okrem iného zahŕňať: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Primerané záruky s cieľom zabezpečiť, že nebude možné žiadať o údaje na použitie v trestnom konaní, ktoré by mohlo viesť k trestu smrti.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Primerané podmienky, ktorými sa zabezpečí nevyhnutnosť a primeranosť príkazov na poskytnutie prístupu k elektronickým dôkazom, pričom sa podľa potreby bude rozlišovať najmä medzi jednotlivými kategóriami údajov.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Procesné záruky pre fyzické osoby, na ktoré sa vzťahuje príkaz na poskytnutie údajov v rámci trestného konania.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Osobitné záruky v súvislosti s údajmi chránenými výsadami a imunitami.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Záruky zachovania dôvernosti pre orgány a poskytovateľov služieb vrátane požiadaviek na nezverejňovanie.</w:t>
      </w:r>
    </w:p>
    <w:p>
      <w:pPr>
        <w:pStyle w:val="Heading1"/>
        <w:rPr>
          <w:noProof/>
        </w:rPr>
      </w:pPr>
      <w:r>
        <w:rPr>
          <w:noProof/>
        </w:rPr>
        <w:t>SPRÁVA DOHODY</w:t>
      </w:r>
    </w:p>
    <w:p>
      <w:pPr>
        <w:pStyle w:val="NumPar1"/>
        <w:rPr>
          <w:noProof/>
        </w:rPr>
      </w:pPr>
      <w:r>
        <w:rPr>
          <w:noProof/>
        </w:rPr>
        <w:t>V dohode by sa malo stanoviť, že zmluvné strany vykonávajú pravidelné spoločné preskúmania uplatňovania dohody a preskúmavajú, ako ju čo najúčinnejšie využiť. Na tento účel by sa na oboch stranách mali zhromažďovať štatistické údaje na uľahčenie tohto procesu.</w:t>
      </w:r>
    </w:p>
    <w:p>
      <w:pPr>
        <w:pStyle w:val="NumPar1"/>
        <w:rPr>
          <w:noProof/>
        </w:rPr>
      </w:pPr>
      <w:r>
        <w:rPr>
          <w:noProof/>
        </w:rPr>
        <w:t>Dohoda by mala obsahovať ustanovenie o jej trvaní. To, či má byť dohoda uzavretá na neobmedzený alebo obmedzený čas, sa posúdi na základe výsledkov rokovaní. V každom prípade by sa malo do dohody zahrnúť ustanovenie vyžadujúce, aby sa dohoda vo vhodnom čase preskúmala.</w:t>
      </w:r>
    </w:p>
    <w:p>
      <w:pPr>
        <w:pStyle w:val="NumPar1"/>
        <w:rPr>
          <w:noProof/>
        </w:rPr>
      </w:pPr>
      <w:r>
        <w:rPr>
          <w:noProof/>
        </w:rPr>
        <w:t>V dohode by sa malo stanoviť, že strany navzájom konzultujú s cieľom uľahčiť riešenie akéhokoľvek sporu týkajúceho sa výkladu alebo uplatňovania dohody.</w:t>
      </w:r>
    </w:p>
    <w:p>
      <w:pPr>
        <w:pStyle w:val="NumPar1"/>
        <w:rPr>
          <w:noProof/>
        </w:rPr>
      </w:pPr>
      <w:r>
        <w:rPr>
          <w:noProof/>
        </w:rPr>
        <w:t>V dohode by sa mala stanoviť možnosť pozastavenia a ukončenia dohody jednou zo strán v prípade, že spor nebude možné vyriešiť uvedeným konzultačným postupom.</w:t>
      </w:r>
    </w:p>
    <w:p>
      <w:pPr>
        <w:pStyle w:val="NumPar1"/>
        <w:rPr>
          <w:noProof/>
        </w:rPr>
      </w:pPr>
      <w:r>
        <w:rPr>
          <w:noProof/>
        </w:rPr>
        <w:t>Dohoda by mala obsahovať ustanovenie o jej územnej pôsobnosti.</w:t>
      </w:r>
    </w:p>
    <w:p>
      <w:pPr>
        <w:pStyle w:val="NumPar1"/>
        <w:rPr>
          <w:noProof/>
        </w:rPr>
      </w:pPr>
      <w:r>
        <w:rPr>
          <w:noProof/>
        </w:rPr>
        <w:t>Znenia dohody vo všetkých úradných jazykoch Únie budú rovnako autentické.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38E69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DD008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62096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7EBB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F9A02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C1A48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84E4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5CF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7 17:50:1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C3E400A-A075-4600-9DF1-F3EAE470C96F"/>
    <w:docVar w:name="LW_COVERPAGE_TYPE" w:val="1"/>
    <w:docVar w:name="LW_CROSSREFERENCE" w:val="&lt;UNUSED&gt;"/>
    <w:docVar w:name="LW_DocType" w:val="ANNEX"/>
    <w:docVar w:name="LW_EMISSION" w:val="5. 2. 2019"/>
    <w:docVar w:name="LW_EMISSION_ISODATE" w:val="2019-02-05"/>
    <w:docVar w:name="LW_EMISSION_LOCATION" w:val="BRX"/>
    <w:docVar w:name="LW_EMISSION_PREFIX" w:val="V Bruseli"/>
    <w:docVar w:name="LW_EMISSION_SUFFIX" w:val="&lt;EMPTY&gt;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o poverení za\u269?a\u357? rokovania so zrete\u318?om na dohodu medzi Európskou úniou a Spojenými \u353?tátmi americkými o cezhrani\u269?nom prístupe k elektronickým dôkazom v oblasti justi\u269?nej spolupráce v trestných veciach_x000b_"/>
    <w:docVar w:name="LW_OBJETACTEPRINCIPAL.CP" w:val="o poverení za\u269?a\u357? rokovania so zrete\u318?om na dohodu medzi Európskou úniou a Spojenými \u353?tátmi americkými o cezhrani\u269?nom prístupe k elektronickým dôkazom v oblasti justi\u269?nej spolupráce v trestných veciach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A"/>
    <w:docVar w:name="LW_TYPE.DOC.CP" w:val="PRÍLOHA"/>
    <w:docVar w:name="LW_TYPEACTEPRINCIPAL" w:val="odporú\u269?aniu na ROZHODNUTIE RADY"/>
    <w:docVar w:name="LW_TYPEACTEPRINCIPAL.CP" w:val="odporú\u269?aniu na ROZHODNUT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0B85AD-5B9C-4141-BF75-C75A5E88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1177</Words>
  <Characters>6805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 Tjabbe (HOME)</dc:creator>
  <cp:lastModifiedBy>DIGIT/C6</cp:lastModifiedBy>
  <cp:revision>10</cp:revision>
  <dcterms:created xsi:type="dcterms:W3CDTF">2019-02-07T10:21:00Z</dcterms:created>
  <dcterms:modified xsi:type="dcterms:W3CDTF">2019-02-07T16:50:00Z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