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AA2E087D-4BAF-4002-AFD8-9CA0A484F845" style="width:450.75pt;height:41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0" w:name="_GoBack"/>
      <w:bookmarkEnd w:id="0"/>
    </w:p>
    <w:p>
      <w:pPr>
        <w:pStyle w:val="Annexetitre"/>
        <w:rPr>
          <w:noProof/>
        </w:rPr>
      </w:pPr>
      <w:r>
        <w:rPr>
          <w:noProof/>
        </w:rPr>
        <w:t>ANNESS</w:t>
      </w:r>
    </w:p>
    <w:p>
      <w:pPr>
        <w:rPr>
          <w:noProof/>
        </w:rPr>
      </w:pPr>
    </w:p>
    <w:p>
      <w:pPr>
        <w:pStyle w:val="Heading1"/>
        <w:numPr>
          <w:ilvl w:val="0"/>
          <w:numId w:val="1"/>
        </w:numPr>
        <w:rPr>
          <w:noProof/>
        </w:rPr>
      </w:pPr>
      <w:r>
        <w:rPr>
          <w:noProof/>
        </w:rPr>
        <w:t xml:space="preserve">OBJETTIVI </w:t>
      </w:r>
    </w:p>
    <w:p>
      <w:pPr>
        <w:rPr>
          <w:noProof/>
        </w:rPr>
      </w:pPr>
      <w:r>
        <w:rPr>
          <w:noProof/>
        </w:rPr>
        <w:t>Jenħtieġ li l-Kummissjoni matul in-negozjati timmira li tikseb l-objettivi speċifiċi indikati fid-dettal aktar ’l isfel, filwaqt li tiżgura li l-eżitu tan-negozjati jkunu kompatibbli mar-regoli interni tal-Unjoni dwar l-evidenza elettronika, inkluż huma u jevolvu fil-proċedura leġiżlattiva mill-koleġiżlaturi tal-Unjoni u, eventwalment, fil-forma finali adottata tagħhom. Dawn ir-regoli interni se jservu bħala l-linja bażi għall-pożizzjoni ta’ negozjar tal-Unjoni.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L-istabbiliment ta’ regoli komuni, u l-indirizzar ta’ konflitti tal-liġijiet għal ordnijiet biex tinkiseb evidenza elettronika fil-forma ta’ data tal-kontenut u mhux tal-kontenut, minn awtorità ġudizzjarja f’parti kontraenti waħda, indirizzata lil provditur ta' servizz li huwa soġġett għal-liġi tal-parti kontraenti l-oħra. Dan għandu jnaqqas ir-riskju ta’ frammentazzjoni tal-prattiki u r-regoli legali u jsaħħaħ iċ-ċertezza tad-dritt bejn l-Unjoni u l-Istati Uniti tal-Amerka meta tinkiseb l-evidenza elettronika fi proċedimenti kriminali.</w:t>
      </w:r>
    </w:p>
    <w:p>
      <w:pPr>
        <w:pStyle w:val="NumPar1"/>
        <w:rPr>
          <w:noProof/>
        </w:rPr>
      </w:pPr>
      <w:r>
        <w:rPr>
          <w:noProof/>
        </w:rPr>
        <w:t>Jiġi permess it-trasferiment tal-evidenza elettronika direttament fuq bażi reċiproka mingħand provditur ta' servizz għal awtorità rikjedenti kif stipulat fil-paragrafu 1.</w:t>
      </w:r>
    </w:p>
    <w:p>
      <w:pPr>
        <w:pStyle w:val="NumPar1"/>
        <w:rPr>
          <w:noProof/>
        </w:rPr>
      </w:pPr>
      <w:r>
        <w:rPr>
          <w:noProof/>
        </w:rPr>
        <w:t>Jiġi żgurat ir-rispett għad-drittijiet u l-libertajiet fundamentali u l-prinċipji ġenerali tad-dritt tal-UE kif imnaqqxa fit-Trattati u fil-Karta tad-Drittijiet Fundamentali tal-Unjoni Ewropea, inkluż il-proporzjonalità, id-drittijiet proċedurali, il-preżunzjoni ta’ innoċenza u d-drittijiet ta’ difiża ta’ persuni soġġetti għal proċedimenti kriminali, kif ukoll il-privatezza u l-protezzjoni tad-</w:t>
      </w:r>
      <w:r>
        <w:rPr>
          <w:i/>
          <w:noProof/>
        </w:rPr>
        <w:t>data</w:t>
      </w:r>
      <w:r>
        <w:rPr>
          <w:noProof/>
        </w:rPr>
        <w:t xml:space="preserve"> personali u d-</w:t>
      </w:r>
      <w:r>
        <w:rPr>
          <w:i/>
          <w:noProof/>
        </w:rPr>
        <w:t>data</w:t>
      </w:r>
      <w:r>
        <w:rPr>
          <w:noProof/>
        </w:rPr>
        <w:t xml:space="preserve"> ta’ komunikazzjoni meta tali </w:t>
      </w:r>
      <w:r>
        <w:rPr>
          <w:i/>
          <w:noProof/>
        </w:rPr>
        <w:t>data</w:t>
      </w:r>
      <w:r>
        <w:rPr>
          <w:noProof/>
        </w:rPr>
        <w:t xml:space="preserve"> tiġi pproċessata, inklużi trasferimenti għall-awtoritajiet tal-infurzar tal-liġi f’pajjiżi terzi, u kwalunkwe obbligu li jaqa’ fuq l-awtoritajiet tal-infurzar tal-liġi u ġudizzjarji f'dan ir-rigward.</w:t>
      </w:r>
    </w:p>
    <w:p>
      <w:pPr>
        <w:rPr>
          <w:noProof/>
        </w:rPr>
      </w:pPr>
      <w:r>
        <w:rPr>
          <w:noProof/>
        </w:rPr>
        <w:t>Biex jinkisbu l-objettivi indikati fil-parti 1, jenħtieġ li l-ftehim jindirizza b’mod partikolari l-elementi li ġejjin:</w:t>
      </w:r>
    </w:p>
    <w:p>
      <w:pPr>
        <w:pStyle w:val="Heading1"/>
        <w:rPr>
          <w:noProof/>
        </w:rPr>
      </w:pPr>
      <w:r>
        <w:rPr>
          <w:noProof/>
        </w:rPr>
        <w:t>IN-NATURA U L-AMBITU TAL-FTEHIM</w:t>
      </w:r>
    </w:p>
    <w:p>
      <w:pPr>
        <w:pStyle w:val="NumPar1"/>
        <w:rPr>
          <w:noProof/>
        </w:rPr>
      </w:pPr>
      <w:r>
        <w:rPr>
          <w:noProof/>
        </w:rPr>
        <w:t xml:space="preserve">Jenħtieġ li l-ftehim ikun japplika għall-proċedimenti kriminali li jinkludu kemm il-fażi ta’ qabel il-proċess kif ukoll il-fażi ta’ matul il-proċess. </w:t>
      </w:r>
    </w:p>
    <w:p>
      <w:pPr>
        <w:pStyle w:val="NumPar1"/>
        <w:rPr>
          <w:noProof/>
        </w:rPr>
      </w:pPr>
      <w:r>
        <w:rPr>
          <w:noProof/>
        </w:rPr>
        <w:t>Jenħtieġ li l-ftehim joħloq drittijiet u obbligi reċiproċi għall-partijiet.</w:t>
      </w:r>
    </w:p>
    <w:p>
      <w:pPr>
        <w:pStyle w:val="NumPar1"/>
        <w:rPr>
          <w:noProof/>
        </w:rPr>
      </w:pPr>
      <w:r>
        <w:rPr>
          <w:noProof/>
        </w:rPr>
        <w:t xml:space="preserve">Jenħtieġ li l-ftehim jistipula d-definizzjonijiet u t-tipi ta’ </w:t>
      </w:r>
      <w:r>
        <w:rPr>
          <w:i/>
          <w:noProof/>
        </w:rPr>
        <w:t>data</w:t>
      </w:r>
      <w:r>
        <w:rPr>
          <w:noProof/>
        </w:rPr>
        <w:t xml:space="preserve"> li għandhom jiġu koperti, inkluż </w:t>
      </w:r>
      <w:r>
        <w:rPr>
          <w:i/>
          <w:noProof/>
        </w:rPr>
        <w:t>data</w:t>
      </w:r>
      <w:r>
        <w:rPr>
          <w:noProof/>
        </w:rPr>
        <w:t xml:space="preserve"> tal-kontenut u mhux tal-kontenut.</w:t>
      </w:r>
    </w:p>
    <w:p>
      <w:pPr>
        <w:pStyle w:val="NumPar1"/>
        <w:rPr>
          <w:noProof/>
        </w:rPr>
      </w:pPr>
      <w:r>
        <w:rPr>
          <w:noProof/>
        </w:rPr>
        <w:t>Jenħtieġ li l-ftehim jiddefinixxi l-kamp ta' applikazzjoni eżatt tiegħu f’termini tar-reati koperti u l-limiti.</w:t>
      </w:r>
    </w:p>
    <w:p>
      <w:pPr>
        <w:pStyle w:val="NumPar1"/>
        <w:rPr>
          <w:noProof/>
        </w:rPr>
      </w:pPr>
      <w:r>
        <w:rPr>
          <w:noProof/>
        </w:rPr>
        <w:t xml:space="preserve">Jenħtieġ li l-ftehim jistipula liema kundizzjonijiet iridu jiġu ssodisfati qabel ma awtorità ġudizzjarja tkun tista’ toħroġ ordni, u l-modi li bihom ordni tista’ tinħareġ. </w:t>
      </w:r>
    </w:p>
    <w:p>
      <w:pPr>
        <w:pStyle w:val="NumPar1"/>
        <w:rPr>
          <w:noProof/>
        </w:rPr>
      </w:pPr>
      <w:r>
        <w:rPr>
          <w:noProof/>
        </w:rPr>
        <w:t>Jenħtieġ li l-ftehim jinkludi klawsola li tippermetti li jkun hemm rimedji ġudizjarji effettivi għas-suġġetti tad-</w:t>
      </w:r>
      <w:r>
        <w:rPr>
          <w:i/>
          <w:noProof/>
        </w:rPr>
        <w:t>data</w:t>
      </w:r>
      <w:r>
        <w:rPr>
          <w:noProof/>
        </w:rPr>
        <w:t xml:space="preserve"> matul il-proċedimenti kriminali. Jenħtieġ li l-ftehim jiddefinixxi f’liema ċirkustanzi provditur ta' servizz ikollu d-dritt li joġġezzjona għal ordni. </w:t>
      </w:r>
    </w:p>
    <w:p>
      <w:pPr>
        <w:pStyle w:val="NumPar1"/>
        <w:rPr>
          <w:noProof/>
        </w:rPr>
      </w:pPr>
      <w:r>
        <w:rPr>
          <w:noProof/>
        </w:rPr>
        <w:lastRenderedPageBreak/>
        <w:t>Jenħtieġ li l-ftehim jiddefinixxi l-perjodu ta’ żmien biex tingħata d-</w:t>
      </w:r>
      <w:r>
        <w:rPr>
          <w:i/>
          <w:noProof/>
        </w:rPr>
        <w:t>data</w:t>
      </w:r>
      <w:r>
        <w:rPr>
          <w:noProof/>
        </w:rPr>
        <w:t xml:space="preserve"> koperta mill-ordni. </w:t>
      </w:r>
    </w:p>
    <w:p>
      <w:pPr>
        <w:pStyle w:val="NumPar1"/>
        <w:rPr>
          <w:noProof/>
        </w:rPr>
      </w:pPr>
      <w:r>
        <w:rPr>
          <w:noProof/>
        </w:rPr>
        <w:t xml:space="preserve">Jenħtieġ li jkun mingħajr preġudizzju għal ftehimiet internazzjonali eżistenti oħrajn dwar il-kooperazzjoni ġudizzjarja f'materji kriminali bejn l-awtoritajiet, bħall-Ftehim bejn l-UE u l-Istati Uniti dwar l-Assistenza Legali Reċiproka. </w:t>
      </w:r>
    </w:p>
    <w:p>
      <w:pPr>
        <w:pStyle w:val="NumPar1"/>
        <w:rPr>
          <w:noProof/>
        </w:rPr>
      </w:pPr>
      <w:r>
        <w:rPr>
          <w:noProof/>
        </w:rPr>
        <w:t>Jenħtieġ li l-ftehim, fir-relazzjonijiet bilaterali bejn l-Unjoni Ewropea u l-Istati Uniti tal-Amerka, jieħu preċedenza fuq il-Konvenzjoni dwar iċ-Ċiberkriminalità tal-Kunsill tal-Ewropa u fuq kwalunkwe ftehim jew arranġament li jkun sar fin-negozjati tat-Tieni Protokoll Addizzjonali għall-Kovenzjoni dwar iċ-Ċiberkriminalità tal-Kunsill tal-Ewropa, sa fejn id-dispożizzjonijiet ta’ wieħed minn dawn tal-aħħar ikopru kwistjonijiet koperti minn dan il-Ftehim.</w:t>
      </w:r>
    </w:p>
    <w:p>
      <w:pPr>
        <w:pStyle w:val="Heading1"/>
        <w:rPr>
          <w:noProof/>
        </w:rPr>
      </w:pPr>
      <w:r>
        <w:rPr>
          <w:noProof/>
        </w:rPr>
        <w:t>SALVAGWARDJI</w:t>
      </w:r>
    </w:p>
    <w:p>
      <w:pPr>
        <w:pStyle w:val="NumPar1"/>
        <w:rPr>
          <w:noProof/>
        </w:rPr>
      </w:pPr>
      <w:r>
        <w:rPr>
          <w:noProof/>
        </w:rPr>
        <w:t>Jenħtieġ li l-ftehim ikun reċiproku f’termini tal-kategoriji ta’ persuni li d-</w:t>
      </w:r>
      <w:r>
        <w:rPr>
          <w:i/>
          <w:noProof/>
        </w:rPr>
        <w:t>data</w:t>
      </w:r>
      <w:r>
        <w:rPr>
          <w:noProof/>
        </w:rPr>
        <w:t xml:space="preserve"> tagħhom ma tistax tintalab skont dan il-ftehim. Jenħtieġ li l-ftehim ma jiddiskriminax bejn persuni minn Stati Membri differenti.  </w:t>
      </w:r>
    </w:p>
    <w:p>
      <w:pPr>
        <w:pStyle w:val="NumPar1"/>
        <w:rPr>
          <w:noProof/>
        </w:rPr>
      </w:pPr>
      <w:r>
        <w:rPr>
          <w:noProof/>
        </w:rPr>
        <w:t>Jenħtieġ li l-ftehim jagħmel applikabbli b’referenza l-Ftehim bejn l-UE u l-Istati Uniti dwar il-Protezzjoni tad-</w:t>
      </w:r>
      <w:r>
        <w:rPr>
          <w:i/>
          <w:noProof/>
        </w:rPr>
        <w:t>Data</w:t>
      </w:r>
      <w:r>
        <w:rPr>
          <w:noProof/>
        </w:rPr>
        <w:t xml:space="preserve"> u l-Privatezza, magħruf ukoll bħala l-“Ftehim Umbrella”, li daħal fis-seħħ fl-1 ta’ Frar 2017. </w:t>
      </w:r>
    </w:p>
    <w:p>
      <w:pPr>
        <w:pStyle w:val="NumPar1"/>
        <w:rPr>
          <w:noProof/>
        </w:rPr>
      </w:pPr>
      <w:r>
        <w:rPr>
          <w:noProof/>
        </w:rPr>
        <w:t>Jenħtieġ li l-ftehim jikkomplementa l-Ftehim Umbrella b'salvagwardji addizzjonali li jqisu l-livell ta’ sensittività tal-kategoriji tad-</w:t>
      </w:r>
      <w:r>
        <w:rPr>
          <w:i/>
          <w:noProof/>
        </w:rPr>
        <w:t>data</w:t>
      </w:r>
      <w:r>
        <w:rPr>
          <w:noProof/>
        </w:rPr>
        <w:t xml:space="preserve"> kkonċernati u r-rekwiżiti uniċi tat-trasferiment tal-evidenza elettronika direttament mill-provdituri ta’ servizzi minflok bejn l-awtoritajiet. </w:t>
      </w:r>
    </w:p>
    <w:p>
      <w:pPr>
        <w:pStyle w:val="NumPar1"/>
        <w:rPr>
          <w:noProof/>
        </w:rPr>
      </w:pPr>
      <w:r>
        <w:rPr>
          <w:noProof/>
        </w:rPr>
        <w:t>Is-salvagwardji addizzjonali għall-privatezza u l-protezzjoni tad-</w:t>
      </w:r>
      <w:r>
        <w:rPr>
          <w:i/>
          <w:noProof/>
        </w:rPr>
        <w:t>data</w:t>
      </w:r>
      <w:r>
        <w:rPr>
          <w:noProof/>
        </w:rPr>
        <w:t>, li għandhom jiġu rieżaminati soġġetti għall-ambitu tal-ftehim, jenħtieġ li jinkludu fost l-oħrajn: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L-ispeċifikazzjoni tal-iskopijiet li għalihom id-</w:t>
      </w:r>
      <w:r>
        <w:rPr>
          <w:i/>
          <w:noProof/>
        </w:rPr>
        <w:t>data</w:t>
      </w:r>
      <w:r>
        <w:rPr>
          <w:noProof/>
        </w:rPr>
        <w:t xml:space="preserve"> personali u d-</w:t>
      </w:r>
      <w:r>
        <w:rPr>
          <w:i/>
          <w:noProof/>
        </w:rPr>
        <w:t>data</w:t>
      </w:r>
      <w:r>
        <w:rPr>
          <w:noProof/>
        </w:rPr>
        <w:t xml:space="preserve"> dwar il-komunikazzjoni elettronika jistgħu jintalbu u jiġu ttrasferiti.</w:t>
      </w:r>
    </w:p>
    <w:p>
      <w:pPr>
        <w:pStyle w:val="Point1letter"/>
        <w:rPr>
          <w:noProof/>
        </w:rPr>
      </w:pPr>
      <w:r>
        <w:rPr>
          <w:noProof/>
        </w:rPr>
        <w:t xml:space="preserve">Ir-rekwiżit li l-ordni jkun limitat għal </w:t>
      </w:r>
      <w:r>
        <w:rPr>
          <w:i/>
          <w:noProof/>
        </w:rPr>
        <w:t>data</w:t>
      </w:r>
      <w:r>
        <w:rPr>
          <w:noProof/>
        </w:rPr>
        <w:t xml:space="preserve"> personali u </w:t>
      </w:r>
      <w:r>
        <w:rPr>
          <w:i/>
          <w:noProof/>
        </w:rPr>
        <w:t>data</w:t>
      </w:r>
      <w:r>
        <w:rPr>
          <w:noProof/>
        </w:rPr>
        <w:t xml:space="preserve"> dwar il-komunikazzjoni elettronika li hija neċessarja u proporzjonata b’rabta mal-finijiet li għalihom huma aċċessati. </w:t>
      </w:r>
    </w:p>
    <w:p>
      <w:pPr>
        <w:pStyle w:val="Point1letter"/>
        <w:rPr>
          <w:noProof/>
        </w:rPr>
      </w:pPr>
      <w:r>
        <w:rPr>
          <w:noProof/>
        </w:rPr>
        <w:t>Ir-rekwiżit li l-użu minn u l-iżvelar lil awtoritajiet oħrajn tal-Istati Uniti li mhumiex marbutin mill-Ftehim Umbrella huwa soġġett għan-notifika lil, u awtorizzazzjoni mingħand l-awtorità ġudizzjarja kompetenti maħtura fl-Istat Membru li fih huwa stabbilit jew irrappreżentat il-provditur ta' servizz, u jistgħu jsiru biss jekk l-awtorità riċeventi tipproteġi b’mod effettiv id-</w:t>
      </w:r>
      <w:r>
        <w:rPr>
          <w:i/>
          <w:noProof/>
        </w:rPr>
        <w:t>data</w:t>
      </w:r>
      <w:r>
        <w:rPr>
          <w:noProof/>
        </w:rPr>
        <w:t xml:space="preserve"> personali u d-</w:t>
      </w:r>
      <w:r>
        <w:rPr>
          <w:i/>
          <w:noProof/>
        </w:rPr>
        <w:t>data</w:t>
      </w:r>
      <w:r>
        <w:rPr>
          <w:noProof/>
        </w:rPr>
        <w:t xml:space="preserve"> tal-komunikazzjoni elettronika f’konformità mad-dispożizzjonijiet tal-ftehim. Meta tikkunsidra tali awtorizzazzjoni minn qabel, l-awtorità ġudizzjarja kompetenti jenħtieġ li tqis kif xieraq il-fatturi rilevanti kollha, inkluża s-serjetà tar-reat u l-għan li għalih id-</w:t>
      </w:r>
      <w:r>
        <w:rPr>
          <w:i/>
          <w:noProof/>
        </w:rPr>
        <w:t>data</w:t>
      </w:r>
      <w:r>
        <w:rPr>
          <w:noProof/>
        </w:rPr>
        <w:t xml:space="preserve"> tkun ġiet inizjalment trasferita.</w:t>
      </w:r>
    </w:p>
    <w:p>
      <w:pPr>
        <w:pStyle w:val="Point1letter"/>
        <w:rPr>
          <w:noProof/>
        </w:rPr>
      </w:pPr>
      <w:r>
        <w:rPr>
          <w:noProof/>
        </w:rPr>
        <w:t xml:space="preserve">Ir-rekwiżit li t-trasferiment ulterjuri lejn pajjiżi terzi oħrajn jista’ jsir biss lil awtoritajiet tal-infurzar tal-liġi responsabbli għall-prevenzjoni, l-investigazzjoni, il-kxif jew il-prosekuzzjoni tar-reati kriminali, inkluż it-terroriżmu, u li jenħtieġ ikun soġġett għal notifika lil, u awtorizzazzjoni minn qabel mill-awtorità ġudizzjarja kompetenti maħtura mill-Istat Membru li fih il-provditur ta' servizz huwa stabbilit jew rappreżentat. Meta tqis tali </w:t>
      </w:r>
      <w:r>
        <w:rPr>
          <w:noProof/>
        </w:rPr>
        <w:lastRenderedPageBreak/>
        <w:t xml:space="preserve">awtorizzazzjoni minn qabel, l-awtorità ġudizzjarja kompetenti jenħtieġ li tqis il-fatturi kif stipulat fl-Artikolu 7(2) tal-Ftehim Umbrella. </w:t>
      </w:r>
    </w:p>
    <w:p>
      <w:pPr>
        <w:pStyle w:val="Point1letter"/>
        <w:rPr>
          <w:noProof/>
        </w:rPr>
      </w:pPr>
      <w:r>
        <w:rPr>
          <w:noProof/>
        </w:rPr>
        <w:t xml:space="preserve">Il-ftehim jista’ jqis iċ-ċirkostanzi ta' eċċezzjoni u s-salvagwardji meħtieġa meta t-trasferiment ulterjuri jista’ jseħħ mingħajr awtorizzazzjoni minn qabel, f’każ ta’ theddida serja u imminenti għas-sigurtà pubblika ta’ Stat Membru jew ta’ pajjiż terz. </w:t>
      </w:r>
    </w:p>
    <w:p>
      <w:pPr>
        <w:pStyle w:val="Point1letter"/>
        <w:rPr>
          <w:noProof/>
        </w:rPr>
      </w:pPr>
      <w:r>
        <w:rPr>
          <w:noProof/>
        </w:rPr>
        <w:t xml:space="preserve">In-notifika ta’ inċident marbut mas-sigurtà tal-informazzjoni lill-awtorità kompetenti maħtura mill-Istat Membru li fih huwa stabbilit jew irrappreżentat il-provditur ta' servizz għandha ssir skont il-kundizzjonijiet tal-Artikolu 10(2) tal-Ftehim Umbrella.  </w:t>
      </w:r>
    </w:p>
    <w:p>
      <w:pPr>
        <w:pStyle w:val="NumPar1"/>
        <w:rPr>
          <w:noProof/>
        </w:rPr>
      </w:pPr>
      <w:r>
        <w:rPr>
          <w:noProof/>
        </w:rPr>
        <w:t>Is-salvagwardji addizzjonali għad-drittijiet proċedurali, li għandhom jiġu rieżaminati soġġetti għall-ambitu tal-ftehim, jenħtieġ li jinkludu fost l-oħrajn: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Is-salvagwardji xierqa biex jiġi żgurat li ma tkunx tista’ tintalab </w:t>
      </w:r>
      <w:r>
        <w:rPr>
          <w:i/>
          <w:noProof/>
        </w:rPr>
        <w:t>data</w:t>
      </w:r>
      <w:r>
        <w:rPr>
          <w:noProof/>
        </w:rPr>
        <w:t xml:space="preserve"> għall-użu fi proċedimenti kriminali li jistgħu jwasslu għall-piena tal-mewt.  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Il-kundizzjonijiet adegwati biex tiġi żgurata n-neċessità u l-proporzjonalità tal-ordnijiet għall-aċċess għall-evidenza elettronika, b’distinzjoni partikolari bejn il-kategoriji tad-</w:t>
      </w:r>
      <w:r>
        <w:rPr>
          <w:i/>
          <w:noProof/>
        </w:rPr>
        <w:t>data</w:t>
      </w:r>
      <w:r>
        <w:rPr>
          <w:noProof/>
        </w:rPr>
        <w:t xml:space="preserve"> kif xieraq.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Is-salvagwardji proċedurali għal individwi soġġetti għal ordni għad-</w:t>
      </w:r>
      <w:r>
        <w:rPr>
          <w:i/>
          <w:noProof/>
        </w:rPr>
        <w:t>data</w:t>
      </w:r>
      <w:r>
        <w:rPr>
          <w:noProof/>
        </w:rPr>
        <w:t xml:space="preserve"> fil-qafas ta’ proċedimenti kriminali.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Is-salvagwardji speċifiċi għad-</w:t>
      </w:r>
      <w:r>
        <w:rPr>
          <w:i/>
          <w:noProof/>
        </w:rPr>
        <w:t>data</w:t>
      </w:r>
      <w:r>
        <w:rPr>
          <w:noProof/>
        </w:rPr>
        <w:t xml:space="preserve"> protetta minn privileġġi u immunitajiet,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Is-salvagwardji tal-kunfidenzjalità għall-awtoritajiet u l-provdituri ta’ servizzi, inklużi klawżoli ta’ nuqqas ta’ żvelar.</w:t>
      </w:r>
    </w:p>
    <w:p>
      <w:pPr>
        <w:pStyle w:val="Heading1"/>
        <w:rPr>
          <w:noProof/>
        </w:rPr>
      </w:pPr>
      <w:r>
        <w:rPr>
          <w:noProof/>
        </w:rPr>
        <w:t>GOVERNANZA TAL-FTEHIM</w:t>
      </w:r>
    </w:p>
    <w:p>
      <w:pPr>
        <w:pStyle w:val="NumPar1"/>
        <w:rPr>
          <w:noProof/>
        </w:rPr>
      </w:pPr>
      <w:r>
        <w:rPr>
          <w:noProof/>
        </w:rPr>
        <w:t xml:space="preserve">Jenħtieġ li l-ftehim jistipula li l-partijiet għandhom jagħmlu rieżamijiet konġunti perjodiċi tal-applikazzjoni tal-Ftehim u jeżaminaw kif jagħmlu l-aktar użu effettiv tiegħu. Jenħtieġ li jinġabru statistiċi miż-żewġ naħat biex dan il-proċess jiġi ffaċilitat. </w:t>
      </w:r>
    </w:p>
    <w:p>
      <w:pPr>
        <w:pStyle w:val="NumPar1"/>
        <w:rPr>
          <w:noProof/>
        </w:rPr>
      </w:pPr>
      <w:r>
        <w:rPr>
          <w:noProof/>
        </w:rPr>
        <w:t xml:space="preserve">Jenħtieġ li l-ftehim ikun jinkludi klawsola dwar id-durata tiegħu. Jekk id-durata għandhiex tkun indefinita jew definita għandu jkun ivvalutat fid-dawl tar-riżultati tan-negozjati. F’kull każ, jenħtieġ li tkun inkluża dispożizzjoni li tirrikjedi rieżami tal-ftehim fi żmien debitu. </w:t>
      </w:r>
    </w:p>
    <w:p>
      <w:pPr>
        <w:pStyle w:val="NumPar1"/>
        <w:rPr>
          <w:noProof/>
        </w:rPr>
      </w:pPr>
      <w:r>
        <w:rPr>
          <w:noProof/>
        </w:rPr>
        <w:t xml:space="preserve">Jenħtieġ li l-ftehim jistipula li jenħtieġ li l-partijiet jikkonsultaw lil xulxin sabiex jiffaċilitaw ir-riżolviment ta’ kwalunkwe tilwima rigward l-interpretazzjoni jew l-applikazzjoni ta’ dan il-ftehim. </w:t>
      </w:r>
    </w:p>
    <w:p>
      <w:pPr>
        <w:pStyle w:val="NumPar1"/>
        <w:rPr>
          <w:noProof/>
        </w:rPr>
      </w:pPr>
      <w:r>
        <w:rPr>
          <w:noProof/>
        </w:rPr>
        <w:t>Jenħtieġ li l-ftehim jipprevedi l-possibbiltà ta’ sospensjoni u terminazzjoni tal-ftehim minn kwalunkwe Parti fil-każ li l-proċedura ta’ konsultazzjoni msemmija qabel ma tkunx tista’ ssolvi t-tilwima.</w:t>
      </w:r>
    </w:p>
    <w:p>
      <w:pPr>
        <w:pStyle w:val="NumPar1"/>
        <w:rPr>
          <w:noProof/>
        </w:rPr>
      </w:pPr>
      <w:r>
        <w:rPr>
          <w:noProof/>
        </w:rPr>
        <w:t xml:space="preserve">Jenħtieġ li l-ftehim ikun jinkludi klawsola li tindirizza l-applikazzjoni territorjali tiegħu. </w:t>
      </w:r>
    </w:p>
    <w:p>
      <w:pPr>
        <w:pStyle w:val="NumPar1"/>
        <w:rPr>
          <w:noProof/>
        </w:rPr>
      </w:pPr>
      <w:r>
        <w:rPr>
          <w:noProof/>
        </w:rPr>
        <w:t xml:space="preserve">Il-ftehim se jkun ugwalment awtentiku fil-lingwi uffiċjali kollha tal-Unjoni. 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38E69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DD008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62096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7EBB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F9A02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C1A48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84E4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5CF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7 17:52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r-"/>
    <w:docVar w:name="LW_ACCOMPAGNANT.CP" w:val="tar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A2E087D-4BAF-4002-AFD8-9CA0A484F845"/>
    <w:docVar w:name="LW_COVERPAGE_TYPE" w:val="1"/>
    <w:docVar w:name="LW_CROSSREFERENCE" w:val="&lt;UNUSED&gt;"/>
    <w:docVar w:name="LW_DocType" w:val="ANNEX"/>
    <w:docVar w:name="LW_EMISSION" w:val="5.2.2019"/>
    <w:docVar w:name="LW_EMISSION_ISODATE" w:val="2019-02-05"/>
    <w:docVar w:name="LW_EMISSION_LOCATION" w:val="BRX"/>
    <w:docVar w:name="LW_EMISSION_PREFIX" w:val="Brussell, 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tawtorizza l-ftu\u295? tan-negozjati bil-\u295?sieb ta\u8217? ftehim bejn l-Unjoni Ewropea u l-Istati Uniti tal-Amerka dwar l-a\u267?\u267?ess transfruntier g\u295?all-evidenza elettronika g\u295?all-kooperazzjoni \u289?udizzjarja f'materji kriminali_x000b_"/>
    <w:docVar w:name="LW_OBJETACTEPRINCIPAL.CP" w:val="li tawtorizza l-ftu\u295? tan-negozjati bil-\u295?sieb ta\u8217? ftehim bejn l-Unjoni Ewropea u l-Istati Uniti tal-Amerka dwar l-a\u267?\u267?ess transfruntier g\u295?all-evidenza elettronika g\u295?all-kooperazzjoni \u289?udizzjarja f'materji kriminali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Rakkomandazzjoni g\u295?al DE\u266?I\u379?JONI TAL-KUNSILL"/>
    <w:docVar w:name="LW_TYPEACTEPRINCIPAL.CP" w:val="Rakkomandazzjoni g\u295?al 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4B439C-DB21-458B-A48F-35BCD8FF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1063</Words>
  <Characters>7691</Characters>
  <Application>Microsoft Office Word</Application>
  <DocSecurity>0</DocSecurity>
  <Lines>128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 Tjabbe (HOME)</dc:creator>
  <cp:lastModifiedBy>WES PDFC Administrator</cp:lastModifiedBy>
  <cp:revision>10</cp:revision>
  <dcterms:created xsi:type="dcterms:W3CDTF">2019-02-07T11:20:00Z</dcterms:created>
  <dcterms:modified xsi:type="dcterms:W3CDTF">2019-02-07T16:52:00Z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