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7FA5C93-CA67-4B8C-966B-D83D3FC917DE" style="width:450.75pt;height:465.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t>MELLÉKLET</w:t>
      </w:r>
    </w:p>
    <w:p>
      <w:pPr>
        <w:rPr>
          <w:noProof/>
        </w:rPr>
      </w:pPr>
    </w:p>
    <w:tbl>
      <w:tblPr>
        <w:tblW w:w="9087" w:type="dxa"/>
        <w:tblInd w:w="93" w:type="dxa"/>
        <w:tblLook w:val="04A0" w:firstRow="1" w:lastRow="0" w:firstColumn="1" w:lastColumn="0" w:noHBand="0" w:noVBand="1"/>
      </w:tblPr>
      <w:tblGrid>
        <w:gridCol w:w="1337"/>
        <w:gridCol w:w="4500"/>
        <w:gridCol w:w="3250"/>
      </w:tblGrid>
      <w:tr>
        <w:trPr>
          <w:trHeight w:val="630"/>
        </w:trPr>
        <w:tc>
          <w:tcPr>
            <w:tcW w:w="1337" w:type="dxa"/>
            <w:tcBorders>
              <w:top w:val="single" w:sz="8" w:space="0" w:color="auto"/>
              <w:left w:val="single" w:sz="8" w:space="0" w:color="auto"/>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noProof/>
              </w:rPr>
              <w:t>Az előírás száma</w:t>
            </w:r>
          </w:p>
        </w:tc>
        <w:tc>
          <w:tcPr>
            <w:tcW w:w="450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noProof/>
              </w:rPr>
              <w:t>A napirendi pont címe</w:t>
            </w:r>
          </w:p>
        </w:tc>
        <w:tc>
          <w:tcPr>
            <w:tcW w:w="3250" w:type="dxa"/>
            <w:tcBorders>
              <w:top w:val="single" w:sz="8" w:space="0" w:color="auto"/>
              <w:left w:val="nil"/>
              <w:bottom w:val="single" w:sz="4" w:space="0" w:color="auto"/>
              <w:right w:val="single" w:sz="4" w:space="0" w:color="auto"/>
            </w:tcBorders>
            <w:shd w:val="clear" w:color="auto" w:fill="auto"/>
            <w:hideMark/>
          </w:tcPr>
          <w:p>
            <w:pPr>
              <w:spacing w:before="0" w:after="0"/>
              <w:jc w:val="left"/>
              <w:rPr>
                <w:rFonts w:eastAsia="Times New Roman"/>
                <w:b/>
                <w:bCs/>
                <w:noProof/>
                <w:szCs w:val="24"/>
              </w:rPr>
            </w:pPr>
            <w:r>
              <w:rPr>
                <w:b/>
                <w:noProof/>
              </w:rPr>
              <w:t>A dokumentum hivatkozási száma</w:t>
            </w:r>
            <w:r>
              <w:rPr>
                <w:rStyle w:val="FootnoteReference"/>
                <w:b/>
                <w:noProof/>
              </w:rPr>
              <w:footnoteReference w:id="1"/>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0</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nemzetközi egészjárműtípus-jóváhagyásra vonatkozó egységes rendelkezésekről szóló 0. számú ENSZ-előírás 01. módosítássorozatára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p>
          <w:p>
            <w:pPr>
              <w:rPr>
                <w:rFonts w:ascii="Times" w:hAnsi="Times" w:cs="Times"/>
                <w:noProof/>
                <w:sz w:val="20"/>
                <w:szCs w:val="20"/>
              </w:rPr>
            </w:pPr>
            <w:r>
              <w:rPr>
                <w:rFonts w:ascii="Times" w:hAnsi="Times"/>
                <w:noProof/>
                <w:sz w:val="20"/>
              </w:rPr>
              <w:t>ECE/TRANS/WP.29/2018/82</w:t>
            </w:r>
          </w:p>
          <w:p>
            <w:pPr>
              <w:rPr>
                <w:rFonts w:ascii="Times" w:hAnsi="Times" w:cs="Times"/>
                <w:noProof/>
                <w:sz w:val="20"/>
                <w:szCs w:val="20"/>
              </w:rPr>
            </w:pP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3</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3. számú ENSZ-előírás 03. módosítássorozatára (fényvisszaverő eszközök)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ECE/TRANS/WP.29/2018/91/Rev.1</w:t>
            </w:r>
          </w:p>
        </w:tc>
      </w:tr>
      <w:tr>
        <w:trPr>
          <w:trHeight w:val="705"/>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4. számú ENSZ-előírás 01. módosítássorozatára (hátsó rendszámtábla-világítás)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ECE/TRANS/WP.29/2018/92/Rev.1</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6. számú ENSZ-előírás 02. módosítássorozatára (irányjelző lámpák)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ECE/TRANS/WP.29/2018/93/Rev.1</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7. számú ENSZ-előírás 03. módosítássorozatára (helyzetjelző, fék- és méretjelző lámpák)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ECE/TRANS/WP.29/2018/94/Rev.1</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9. számú ENSZ-előírás 08. módosítássorozatára (háromkerekű járművek zajkibocsátása)</w:t>
            </w:r>
          </w:p>
          <w:p>
            <w:pPr>
              <w:rPr>
                <w:rFonts w:ascii="Times" w:hAnsi="Times" w:cs="Times"/>
                <w:noProof/>
                <w:sz w:val="20"/>
                <w:szCs w:val="20"/>
              </w:rPr>
            </w:pP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ECE/TRANS/WP.29/2019/6</w:t>
            </w:r>
          </w:p>
        </w:tc>
      </w:tr>
      <w:tr>
        <w:trPr>
          <w:trHeight w:val="510"/>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10. számú ENSZ-előírás új 06. módosítássorozatára (elektromágneses összeférhetőség)</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ECE/TRANS/WP.29/2019/20</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19</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19. számú ENSZ-előírás 05. módosítássorozatára (elülső ködlámpák)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ECE/TRANS/WP.29/2018/95/Rev.1</w:t>
            </w:r>
          </w:p>
        </w:tc>
      </w:tr>
      <w:tr>
        <w:trPr>
          <w:trHeight w:val="765"/>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23</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23. számú ENSZ-előírás 01. módosítássorozatára (tolatólámpák)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ECE/TRANS/WP.29/2018/96/Rev.1</w:t>
            </w:r>
          </w:p>
        </w:tc>
      </w:tr>
      <w:tr>
        <w:trPr>
          <w:trHeight w:val="585"/>
        </w:trPr>
        <w:tc>
          <w:tcPr>
            <w:tcW w:w="1337" w:type="dxa"/>
            <w:tcBorders>
              <w:top w:val="nil"/>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27</w:t>
            </w:r>
          </w:p>
        </w:tc>
        <w:tc>
          <w:tcPr>
            <w:tcW w:w="450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27. számú ENSZ-előírás 05. módosítássorozatára (elakadásjelző háromszög) </w:t>
            </w:r>
          </w:p>
        </w:tc>
        <w:tc>
          <w:tcPr>
            <w:tcW w:w="3250" w:type="dxa"/>
            <w:tcBorders>
              <w:top w:val="nil"/>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ECE/TRANS/WP.29/2018/97/Rev.1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38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38. számú ENSZ-előírás 01. módosítássorozatára (hátsó ködlámpák)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ECE/TRANS/WP.29/2018/98/Rev.1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41</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41. számú ENSZ-előírás 04. módosítássorozatának 7. kiegészítésére</w:t>
            </w:r>
            <w:r>
              <w:rPr>
                <w:rFonts w:ascii="Times" w:hAnsi="Times" w:cs="Times"/>
                <w:noProof/>
                <w:sz w:val="20"/>
                <w:szCs w:val="20"/>
              </w:rPr>
              <w:br/>
            </w:r>
            <w:r>
              <w:rPr>
                <w:rFonts w:ascii="Times" w:hAnsi="Times"/>
                <w:noProof/>
                <w:sz w:val="20"/>
              </w:rPr>
              <w:t>(motorkerékpárok zajkibocsátása)</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ECE/TRANS/WP.29/2019/3</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48. számú ENSZ-előírás 06. módosítássorozatának 12. kiegészítésére (világító- és fényjelző berendezések beépítése)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ECE/TRANS/WP.29/2018/99/Rev.2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48. számú ENSZ-előírás 05. módosítássorozatának 13. kiegészítésére (világító- és fényjelző berendezések beépítése)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ECE/TRANS/WP.29/2018/100/Rev.1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48. számú ENSZ-előírás 04. módosítássorozatának 18. kiegészítésére (világító- és fényjelző berendezések beépítése)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48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48. számú ENSZ-előírás 03. módosítássorozatának 6. kiegészítésére (világító- és fényjelző berendezések beépítése)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50</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az 50. számú ENSZ-előírás 01. módosítássorozatára (segédmotoros kerékpárok és motorkerékpárok helyzetjelző, fék- és irányjelző lámpái)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ECE/TRANS/WP.29/2018/103/Rev.1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51</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az 51. számú ENSZ-előírás 03. módosítássorozatának 5. kiegészítésére </w:t>
            </w:r>
            <w:r>
              <w:rPr>
                <w:rFonts w:ascii="Times" w:hAnsi="Times" w:cs="Times"/>
                <w:noProof/>
                <w:sz w:val="20"/>
                <w:szCs w:val="20"/>
              </w:rPr>
              <w:br/>
            </w:r>
            <w:r>
              <w:rPr>
                <w:rFonts w:ascii="Times" w:hAnsi="Times"/>
                <w:noProof/>
                <w:sz w:val="20"/>
              </w:rPr>
              <w:t>(M és N kategóriájú járművek zajszintje)</w:t>
            </w:r>
          </w:p>
          <w:p>
            <w:pPr>
              <w:rPr>
                <w:rFonts w:ascii="Times" w:hAnsi="Times" w:cs="Times"/>
                <w:noProof/>
                <w:sz w:val="20"/>
                <w:szCs w:val="20"/>
              </w:rPr>
            </w:pP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ECE/TRANS/WP.29/2019/4/Rev.1</w:t>
            </w:r>
          </w:p>
          <w:p>
            <w:pPr>
              <w:rPr>
                <w:rFonts w:ascii="Times" w:hAnsi="Times" w:cs="Times"/>
                <w:noProof/>
                <w:sz w:val="20"/>
                <w:szCs w:val="20"/>
              </w:rPr>
            </w:pP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az 53. számú ENSZ-előírás 02. módosítássorozatának 2. kiegészítésére (világító- és fényjelző berendezések beépítése L3 kategóriájú járművekbe)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ECE/TRANS/WP.29/2018/86/Rev.1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az 53. számú ENSZ-előírás 01. módosítássorozatának 20. kiegészítésére (világító- és fényjelző berendezések beépítése L3 kategóriájú járművekbe)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ECE/TRANS/WP.29/2018/87/Rev.2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az 53. számú ENSZ-előírás 02. módosítássorozatának 2. kiegészítésére (világító- és fényjelző berendezések beépítése L3 kategóriájú járművekbe)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ECE/TRANS/WP.29/2018/104/Rev.1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az 53. számú ENSZ-előírás 01. módosítássorozatának 20. kiegészítésére (világító- és fényjelző berendezések beépítése L3 kategóriájú járművekbe)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ECE/TRANS/WP.29/2018/105</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az 53. számú ENSZ-előírás 02. módosítássorozatának 3. kiegészítésére (világító- és fényjelző berendezések beépítése L3 kategóriájú járművekbe)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ECE/TRANS/WP.29/2019/17</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az 53. számú ENSZ-előírás 01. módosítássorozatának 21. kiegészítésére (világító- és fényjelző berendezések beépítése L3 kategóriájú járművekbe)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ECE/TRANS/WP.29/2019/18</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55</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az 55. számú ENSZ-előírás 2. felülvizsgálatának 1. helyesbítésére (mechanikus kapcsolószerkezetek)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58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az 58. számú ENSZ-előírás 3. felülvizsgálatának 1. helyesbítésére (hátsó aláfutásgátlók)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62</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62. számú ENSZ-előírás 3. kiegészítésére (lopás elleni védelem segédmotoros kerékpárok/motorkerékpárok részére)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ECE/TRANS/WP.29/2019/8</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67. számú ENSZ-előírás 01. módosítássorozatának 16. kiegészítésére (LPG-üzemű járművek)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ECE/TRANS/WP.29/2019/9</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67. számú ENSZ-előírás 02. módosítássorozatának 1. kiegészítésére (LPG-üzemű járművek)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ECE/TRANS/WP.29/2019/10</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69</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69. számú ENSZ-előírás 02. módosítássorozatára (lassú járművek hátsó figyelmeztető táblái)</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ECE/TRANS/WP.29/2018/106/Rev.1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70</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70. számú ENSZ-előírás 02. módosítássorozatára (nehéz és hosszú járművek hátsó figyelmeztető táblái)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ECE/TRANS/WP.29/2018/107/Rev.1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az 73. számú ENSZ-előírás 01. módosítássorozatának 2. kiegészítésére </w:t>
            </w:r>
            <w:r>
              <w:rPr>
                <w:rFonts w:ascii="Times" w:hAnsi="Times" w:cs="Times"/>
                <w:noProof/>
                <w:sz w:val="20"/>
                <w:szCs w:val="20"/>
              </w:rPr>
              <w:br/>
            </w:r>
            <w:r>
              <w:rPr>
                <w:rFonts w:ascii="Times" w:hAnsi="Times"/>
                <w:noProof/>
                <w:sz w:val="20"/>
              </w:rPr>
              <w:t>(oldalsó aláfutásgátlók)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74</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74. számú ENSZ-előírás 01. módosítássorozatának 11. kiegészítésére (világító- és fényjelző eszközök beépítése segédmotoros kerékpárokba)</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ECE/TRANS/WP.29/2018/108/Rev.2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77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77. számú ENSZ-előírás 01. módosítássorozatára (várakozást jelző lámpák)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ECE/TRANS/WP.29/2018/109/Rev.1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86</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86. számú ENSZ-előírás 01. módosítássorozatának 1. kiegészítésére (világító- és fényjelző berendezések beépítése mezőgazdasági járművekbe)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ECE/TRANS/WP.29/2018/110/Rev.1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86</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86. számú ENSZ-előírás eredeti változatának 7. kiegészítésére (világító- és fényjelző berendezések beépítése mezőgazdasági járművekbe)</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87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87. számú ENSZ-előírás 01. módosítássorozatára (nappali menetjelző lámpák)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ECE/TRANS/WP.29/2018/112/Rev.1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91</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91. számú ENSZ-előírás 01. módosítássorozatára (oldalsó helyzetjelző lámpák)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ECE/TRANS/WP.29/2018/113/Rev.1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92</w:t>
            </w:r>
          </w:p>
        </w:tc>
        <w:tc>
          <w:tcPr>
            <w:tcW w:w="4500" w:type="dxa"/>
            <w:tcBorders>
              <w:top w:val="single" w:sz="4" w:space="0" w:color="auto"/>
              <w:left w:val="nil"/>
              <w:bottom w:val="single" w:sz="4" w:space="0" w:color="auto"/>
              <w:right w:val="single" w:sz="4" w:space="0" w:color="auto"/>
            </w:tcBorders>
            <w:shd w:val="clear" w:color="auto" w:fill="auto"/>
          </w:tcPr>
          <w:p>
            <w:pPr>
              <w:ind w:left="57"/>
              <w:rPr>
                <w:rFonts w:ascii="Times" w:hAnsi="Times" w:cs="Times"/>
                <w:noProof/>
                <w:sz w:val="20"/>
                <w:szCs w:val="20"/>
              </w:rPr>
            </w:pPr>
            <w:r>
              <w:rPr>
                <w:rFonts w:ascii="Times" w:hAnsi="Times"/>
                <w:noProof/>
                <w:sz w:val="20"/>
              </w:rPr>
              <w:t>Javaslat a 92. számú ENSZ-előírás 02. módosítássorozatára (kipufogó-hangtompító csererendszerek motorkerékpárokba)</w:t>
            </w:r>
          </w:p>
          <w:p>
            <w:pPr>
              <w:rPr>
                <w:rFonts w:ascii="Times" w:hAnsi="Times" w:cs="Times"/>
                <w:noProof/>
                <w:sz w:val="20"/>
                <w:szCs w:val="20"/>
              </w:rPr>
            </w:pP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ECE/TRANS/WP.29/2019/7</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98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98. számú ENSZ-előírás 02. módosítássorozatára (gázkisüléses fényforrással ellátott fényszórók)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ECE/TRANS/WP.29/2018/114/Rev.1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104</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104. számú ENSZ-előírás 01. módosítássorozatára (fényvisszaverő jelzések)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ECE/TRANS/WP.29/2018/115/Rev.1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106</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106. számú ENSZ-előírás eredeti módosítássorozatának 17. kiegészítésére </w:t>
            </w:r>
            <w:r>
              <w:rPr>
                <w:rFonts w:ascii="Times" w:hAnsi="Times" w:cs="Times"/>
                <w:noProof/>
                <w:sz w:val="20"/>
                <w:szCs w:val="20"/>
              </w:rPr>
              <w:br/>
            </w:r>
            <w:r>
              <w:rPr>
                <w:rFonts w:ascii="Times" w:hAnsi="Times"/>
                <w:noProof/>
                <w:sz w:val="20"/>
              </w:rPr>
              <w:t>(mezőgazdasági járművek  és pótkocsijuk gumiabroncsai)</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ECE/TRANS/WP.29/2019/5</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az 107. számú ENSZ-előírás 08. módosítássorozatának 1. kiegészítésére </w:t>
            </w:r>
            <w:r>
              <w:rPr>
                <w:rFonts w:ascii="Times" w:hAnsi="Times" w:cs="Times"/>
                <w:noProof/>
                <w:sz w:val="20"/>
                <w:szCs w:val="20"/>
              </w:rPr>
              <w:br/>
            </w:r>
            <w:r>
              <w:rPr>
                <w:rFonts w:ascii="Times" w:hAnsi="Times"/>
                <w:noProof/>
                <w:sz w:val="20"/>
              </w:rPr>
              <w:t>(M2 és M3 kategóriájú járművek)</w:t>
            </w:r>
          </w:p>
          <w:p>
            <w:pPr>
              <w:rPr>
                <w:rFonts w:ascii="Times" w:hAnsi="Times" w:cs="Times"/>
                <w:noProof/>
                <w:sz w:val="20"/>
                <w:szCs w:val="20"/>
              </w:rPr>
            </w:pP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ECE/TRANS/WP.29/2019/12</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107. számú ENSZ-előírás 4. felülvizsgálatának 2. helyesbítésére (M2 és M3 kategóriájú járművek)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ECE/TRANS/WP.29/2019/23</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107. számú ENSZ-előírás 5. felülvizsgálatának 2. helyesbítésére (M2 és M3 kategóriájú járművek)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ECE/TRANS/WP.29/2019/24</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107. számú ENSZ-előírás 6. felülvizsgálatának 3. helyesbítésére (M2 és M3 kategóriájú járművek)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ECE/TRANS/WP.29/2019/25</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107. számú ENSZ-előírás 7. felülvizsgálatának 2. helyesbítésére (M2 és M3 kategóriájú járművek)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ECE/TRANS/WP.29/2019/26</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107</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107. számú ENSZ-előírás 8. felülvizsgálatának 1. helyesbítésére (M2 és M3 kategóriájú járművek)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ECE/TRANS/WP.29/2019/27</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110</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110. számú ENSZ-előírás 03. módosítássorozatának 2. kiegészítésére (CNG- és LNG-üzemű járművek)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ECE/TRANS/WP.29/2019/13</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110</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110. számú ENSZ-előírás 04. módosítássorozatára (CNG- és LNG-üzemű járművek)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ECE/TRANS/WP.29/2019/16</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112</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112. számú ENSZ-előírás 02. módosítássorozatára (aszimmetrikus tompított fényt kibocsátó fényszórók)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ECE/TRANS/WP.29/2018/116/Rev.1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113. számú ENSZ-előírás 03. módosítássorozatára (szimmetrikus tompított fényt kibocsátó fényszórók)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ECE/TRANS/WP.29/2018/117/Rev.1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116</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116. számú ENSZ-előírás 6. kiegészítésére (lopásvédelem és riasztórendszerek)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ECE/TRANS/WP.29/2019/14</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119</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119. számú ENSZ-előírás 02. módosítássorozatára (kanyarodási lámpák)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ECE/TRANS/WP.29/2018/118/Rev.1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122</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122. számú ENSZ-előírás 5. kiegészítésére (fűtési rendszerek)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ECE/TRANS/WP.29/2019/15</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123</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123. számú ENSZ-előírás 02. módosítássorozatára (adaptív fényszórórendszerek [AFS])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ECE/TRANS/WP.29/2018/119/Rev.1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128</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Javaslat a 128. számú ENSZ-előírás eredeti változatának 9. kiegészítésére (LED-es fényforrások)</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ECE/TRANS/WP.29/2019/19</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Új ENSZ-előírás</w:t>
            </w:r>
          </w:p>
        </w:tc>
        <w:tc>
          <w:tcPr>
            <w:tcW w:w="4500" w:type="dxa"/>
            <w:tcBorders>
              <w:top w:val="single" w:sz="4" w:space="0" w:color="auto"/>
              <w:left w:val="nil"/>
              <w:bottom w:val="single" w:sz="4" w:space="0" w:color="auto"/>
              <w:right w:val="single" w:sz="4" w:space="0" w:color="auto"/>
            </w:tcBorders>
            <w:shd w:val="clear" w:color="auto" w:fill="auto"/>
          </w:tcPr>
          <w:p>
            <w:pPr>
              <w:pStyle w:val="SingleTxtG"/>
              <w:ind w:left="5" w:right="240" w:hanging="5"/>
              <w:jc w:val="left"/>
              <w:rPr>
                <w:rFonts w:ascii="Times" w:hAnsi="Times" w:cs="Times"/>
                <w:noProof/>
                <w:sz w:val="20"/>
                <w:szCs w:val="20"/>
              </w:rPr>
            </w:pPr>
            <w:r>
              <w:rPr>
                <w:rFonts w:ascii="Times" w:hAnsi="Times"/>
                <w:noProof/>
                <w:sz w:val="20"/>
              </w:rPr>
              <w:t>Javaslat a gépjárműveknek a kerékpárok észlelését szolgáló holttérfigyelő rendszerek tekintetében történő jóváhagyására vonatkozó egységes rendelkezésekről szóló új ENSZ-előírásra</w:t>
            </w:r>
          </w:p>
        </w:tc>
        <w:tc>
          <w:tcPr>
            <w:tcW w:w="3250" w:type="dxa"/>
            <w:tcBorders>
              <w:top w:val="single" w:sz="4" w:space="0" w:color="auto"/>
              <w:left w:val="nil"/>
              <w:bottom w:val="single" w:sz="4" w:space="0" w:color="auto"/>
              <w:right w:val="single" w:sz="4" w:space="0" w:color="auto"/>
            </w:tcBorders>
            <w:shd w:val="clear" w:color="auto" w:fill="auto"/>
          </w:tcPr>
          <w:p>
            <w:pPr>
              <w:pStyle w:val="SingleTxtG"/>
              <w:ind w:left="147" w:right="141"/>
              <w:rPr>
                <w:rFonts w:ascii="Times" w:hAnsi="Times" w:cs="Times"/>
                <w:noProof/>
                <w:sz w:val="20"/>
                <w:szCs w:val="20"/>
              </w:rPr>
            </w:pPr>
            <w:r>
              <w:rPr>
                <w:rFonts w:ascii="Times" w:hAnsi="Times"/>
                <w:noProof/>
                <w:sz w:val="20"/>
              </w:rPr>
              <w:t>ECE/TRANS/WP.29/2019/28</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Új ENSZ-előírás</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fényjelző berendezésekről szóló új ENSZ-előírásra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ECE/TRANS/WP.29/2018/157</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Új ENSZ-előírás</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az útmegvilágítási eszközökről szóló új ENSZ-előírásra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ECE/TRANS/WP.29/2018/158/Rev.1</w:t>
            </w:r>
          </w:p>
        </w:tc>
      </w:tr>
      <w:tr>
        <w:trPr>
          <w:trHeight w:val="51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pPr>
              <w:rPr>
                <w:rFonts w:ascii="Times" w:hAnsi="Times" w:cs="Times"/>
                <w:noProof/>
                <w:sz w:val="20"/>
                <w:szCs w:val="20"/>
              </w:rPr>
            </w:pPr>
            <w:r>
              <w:rPr>
                <w:rFonts w:ascii="Times" w:hAnsi="Times"/>
                <w:noProof/>
                <w:sz w:val="20"/>
              </w:rPr>
              <w:t>Új ENSZ-előírás</w:t>
            </w:r>
          </w:p>
        </w:tc>
        <w:tc>
          <w:tcPr>
            <w:tcW w:w="450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 xml:space="preserve">Javaslat a fényvisszaverő eszközökről szóló új ENSZ-előírásra </w:t>
            </w:r>
          </w:p>
        </w:tc>
        <w:tc>
          <w:tcPr>
            <w:tcW w:w="3250" w:type="dxa"/>
            <w:tcBorders>
              <w:top w:val="single" w:sz="4" w:space="0" w:color="auto"/>
              <w:left w:val="nil"/>
              <w:bottom w:val="single" w:sz="4" w:space="0" w:color="auto"/>
              <w:right w:val="single" w:sz="4" w:space="0" w:color="auto"/>
            </w:tcBorders>
            <w:shd w:val="clear" w:color="auto" w:fill="auto"/>
          </w:tcPr>
          <w:p>
            <w:pPr>
              <w:rPr>
                <w:rFonts w:ascii="Times" w:hAnsi="Times" w:cs="Times"/>
                <w:noProof/>
                <w:sz w:val="20"/>
                <w:szCs w:val="20"/>
              </w:rPr>
            </w:pPr>
            <w:r>
              <w:rPr>
                <w:rFonts w:ascii="Times" w:hAnsi="Times"/>
                <w:noProof/>
                <w:sz w:val="20"/>
              </w:rPr>
              <w:t>ECE/TRANS/WP.29/2018/159/Rev.1</w:t>
            </w:r>
          </w:p>
        </w:tc>
      </w:tr>
    </w:tbl>
    <w:p>
      <w:pPr>
        <w:spacing w:before="0" w:after="200" w:line="276" w:lineRule="auto"/>
        <w:jc w:val="left"/>
        <w:rPr>
          <w:rFonts w:asciiTheme="minorHAnsi" w:hAnsiTheme="minorHAnsi" w:cstheme="minorBidi"/>
          <w:noProof/>
          <w:sz w:val="22"/>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Cs w:val="24"/>
              </w:rPr>
            </w:pPr>
            <w:r>
              <w:rPr>
                <w:b/>
                <w:noProof/>
              </w:rPr>
              <w:t>Az egységesített állásfoglalás száma</w:t>
            </w:r>
          </w:p>
        </w:tc>
        <w:tc>
          <w:tcPr>
            <w:tcW w:w="4678" w:type="dxa"/>
            <w:shd w:val="clear" w:color="auto" w:fill="auto"/>
            <w:hideMark/>
          </w:tcPr>
          <w:p>
            <w:pPr>
              <w:spacing w:before="0" w:after="0"/>
              <w:jc w:val="left"/>
              <w:rPr>
                <w:rFonts w:eastAsia="Times New Roman"/>
                <w:b/>
                <w:bCs/>
                <w:noProof/>
                <w:szCs w:val="24"/>
              </w:rPr>
            </w:pPr>
            <w:r>
              <w:rPr>
                <w:b/>
                <w:noProof/>
              </w:rPr>
              <w:t>A napirendi pont címe</w:t>
            </w:r>
          </w:p>
        </w:tc>
        <w:tc>
          <w:tcPr>
            <w:tcW w:w="2977" w:type="dxa"/>
            <w:shd w:val="clear" w:color="auto" w:fill="auto"/>
            <w:hideMark/>
          </w:tcPr>
          <w:p>
            <w:pPr>
              <w:spacing w:before="0" w:after="0"/>
              <w:jc w:val="left"/>
              <w:rPr>
                <w:rFonts w:eastAsia="Times New Roman"/>
                <w:b/>
                <w:bCs/>
                <w:noProof/>
                <w:szCs w:val="24"/>
              </w:rPr>
            </w:pPr>
            <w:r>
              <w:rPr>
                <w:b/>
                <w:noProof/>
              </w:rPr>
              <w:t>A dokumentum hivatkozási száma</w:t>
            </w:r>
          </w:p>
        </w:tc>
      </w:tr>
      <w:tr>
        <w:trPr>
          <w:trHeight w:val="600"/>
        </w:trPr>
        <w:tc>
          <w:tcPr>
            <w:tcW w:w="1291" w:type="dxa"/>
            <w:shd w:val="clear" w:color="auto" w:fill="auto"/>
          </w:tcPr>
          <w:p>
            <w:pPr>
              <w:rPr>
                <w:rFonts w:ascii="Times" w:hAnsi="Times" w:cs="Times"/>
                <w:noProof/>
                <w:sz w:val="20"/>
                <w:szCs w:val="20"/>
              </w:rPr>
            </w:pPr>
            <w:r>
              <w:rPr>
                <w:rFonts w:ascii="Times" w:hAnsi="Times"/>
                <w:noProof/>
                <w:sz w:val="20"/>
              </w:rPr>
              <w:t xml:space="preserve">R.E.5 </w:t>
            </w:r>
          </w:p>
        </w:tc>
        <w:tc>
          <w:tcPr>
            <w:tcW w:w="4678" w:type="dxa"/>
            <w:shd w:val="clear" w:color="auto" w:fill="auto"/>
          </w:tcPr>
          <w:p>
            <w:pPr>
              <w:pStyle w:val="SingleTxtG"/>
              <w:ind w:left="0" w:right="238" w:hanging="6"/>
              <w:jc w:val="left"/>
              <w:rPr>
                <w:rFonts w:ascii="Times" w:hAnsi="Times" w:cs="Times"/>
                <w:noProof/>
                <w:sz w:val="20"/>
                <w:szCs w:val="20"/>
              </w:rPr>
            </w:pPr>
            <w:r>
              <w:rPr>
                <w:rFonts w:ascii="Times" w:hAnsi="Times"/>
                <w:noProof/>
                <w:sz w:val="20"/>
              </w:rPr>
              <w:t>Javaslat a fényforrás-kategóriákra vonatkozó egységes előírásokra vonatkozó egységesített állásfoglalás (R.E.5) 3. módosítására</w:t>
            </w:r>
          </w:p>
          <w:p>
            <w:pPr>
              <w:rPr>
                <w:rFonts w:ascii="Times" w:hAnsi="Times" w:cs="Times"/>
                <w:noProof/>
                <w:sz w:val="20"/>
                <w:szCs w:val="20"/>
              </w:rPr>
            </w:pPr>
          </w:p>
        </w:tc>
        <w:tc>
          <w:tcPr>
            <w:tcW w:w="2977" w:type="dxa"/>
            <w:shd w:val="clear" w:color="auto" w:fill="auto"/>
          </w:tcPr>
          <w:p>
            <w:pPr>
              <w:rPr>
                <w:rFonts w:ascii="Times" w:hAnsi="Times" w:cs="Times"/>
                <w:noProof/>
                <w:sz w:val="20"/>
                <w:szCs w:val="20"/>
              </w:rPr>
            </w:pPr>
            <w:r>
              <w:rPr>
                <w:rFonts w:ascii="Times" w:hAnsi="Times"/>
                <w:noProof/>
                <w:sz w:val="20"/>
              </w:rPr>
              <w:t>ECE/TRANS/WP.29/2019/29</w:t>
            </w:r>
          </w:p>
        </w:tc>
      </w:tr>
    </w:tbl>
    <w:p>
      <w:pPr>
        <w:pStyle w:val="Default"/>
        <w:rPr>
          <w:rFonts w:ascii="MS Mincho" w:eastAsia="MS Mincho"/>
          <w:noProof/>
          <w:color w:val="auto"/>
        </w:rPr>
      </w:pPr>
    </w:p>
    <w:p>
      <w:pPr>
        <w:pStyle w:val="Default"/>
        <w:rPr>
          <w:rFonts w:ascii="MS Mincho" w:eastAsia="MS Mincho"/>
          <w:noProof/>
          <w:color w:val="auto"/>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4678"/>
        <w:gridCol w:w="2977"/>
      </w:tblGrid>
      <w:tr>
        <w:trPr>
          <w:trHeight w:val="465"/>
        </w:trPr>
        <w:tc>
          <w:tcPr>
            <w:tcW w:w="1291" w:type="dxa"/>
            <w:shd w:val="clear" w:color="auto" w:fill="auto"/>
            <w:hideMark/>
          </w:tcPr>
          <w:p>
            <w:pPr>
              <w:spacing w:before="0" w:after="0"/>
              <w:jc w:val="left"/>
              <w:rPr>
                <w:rFonts w:eastAsia="Times New Roman"/>
                <w:b/>
                <w:bCs/>
                <w:noProof/>
                <w:szCs w:val="24"/>
              </w:rPr>
            </w:pPr>
            <w:r>
              <w:rPr>
                <w:b/>
                <w:noProof/>
              </w:rPr>
              <w:t>Az 1958. évi felülvizsgált megállapodás</w:t>
            </w:r>
          </w:p>
        </w:tc>
        <w:tc>
          <w:tcPr>
            <w:tcW w:w="4678" w:type="dxa"/>
            <w:shd w:val="clear" w:color="auto" w:fill="auto"/>
            <w:hideMark/>
          </w:tcPr>
          <w:p>
            <w:pPr>
              <w:spacing w:before="0" w:after="0"/>
              <w:jc w:val="left"/>
              <w:rPr>
                <w:rFonts w:eastAsia="Times New Roman"/>
                <w:b/>
                <w:bCs/>
                <w:noProof/>
                <w:szCs w:val="24"/>
              </w:rPr>
            </w:pPr>
            <w:r>
              <w:rPr>
                <w:b/>
                <w:noProof/>
              </w:rPr>
              <w:t>A napirendi pont címe</w:t>
            </w:r>
          </w:p>
        </w:tc>
        <w:tc>
          <w:tcPr>
            <w:tcW w:w="2977" w:type="dxa"/>
            <w:shd w:val="clear" w:color="auto" w:fill="auto"/>
            <w:hideMark/>
          </w:tcPr>
          <w:p>
            <w:pPr>
              <w:spacing w:before="0" w:after="0"/>
              <w:jc w:val="left"/>
              <w:rPr>
                <w:rFonts w:eastAsia="Times New Roman"/>
                <w:b/>
                <w:bCs/>
                <w:noProof/>
                <w:szCs w:val="24"/>
              </w:rPr>
            </w:pPr>
            <w:r>
              <w:rPr>
                <w:b/>
                <w:noProof/>
              </w:rPr>
              <w:t>A dokumentum hivatkozási száma</w:t>
            </w:r>
          </w:p>
        </w:tc>
      </w:tr>
      <w:tr>
        <w:trPr>
          <w:trHeight w:val="600"/>
        </w:trPr>
        <w:tc>
          <w:tcPr>
            <w:tcW w:w="1291" w:type="dxa"/>
            <w:shd w:val="clear" w:color="auto" w:fill="auto"/>
          </w:tcPr>
          <w:p>
            <w:pPr>
              <w:rPr>
                <w:rFonts w:ascii="Times" w:hAnsi="Times" w:cs="Times"/>
                <w:noProof/>
                <w:sz w:val="20"/>
                <w:szCs w:val="20"/>
              </w:rPr>
            </w:pPr>
            <w:r>
              <w:rPr>
                <w:rFonts w:ascii="Times" w:hAnsi="Times"/>
                <w:noProof/>
                <w:sz w:val="20"/>
              </w:rPr>
              <w:t xml:space="preserve">4. jegyzék </w:t>
            </w:r>
          </w:p>
        </w:tc>
        <w:tc>
          <w:tcPr>
            <w:tcW w:w="4678" w:type="dxa"/>
            <w:shd w:val="clear" w:color="auto" w:fill="auto"/>
          </w:tcPr>
          <w:p>
            <w:pPr>
              <w:pStyle w:val="SingleTxtG"/>
              <w:ind w:left="0" w:right="238" w:hanging="6"/>
              <w:jc w:val="left"/>
              <w:rPr>
                <w:rFonts w:ascii="Times" w:hAnsi="Times" w:cs="Times"/>
                <w:noProof/>
                <w:sz w:val="20"/>
                <w:szCs w:val="20"/>
              </w:rPr>
            </w:pPr>
            <w:r>
              <w:rPr>
                <w:rFonts w:ascii="Times" w:hAnsi="Times"/>
                <w:noProof/>
                <w:sz w:val="20"/>
              </w:rPr>
              <w:t>Javaslat az 1958. évi megállapodás 4. jegyzékének módosítására</w:t>
            </w:r>
          </w:p>
        </w:tc>
        <w:tc>
          <w:tcPr>
            <w:tcW w:w="2977" w:type="dxa"/>
            <w:shd w:val="clear" w:color="auto" w:fill="auto"/>
          </w:tcPr>
          <w:p>
            <w:pPr>
              <w:rPr>
                <w:rFonts w:ascii="Times" w:hAnsi="Times" w:cs="Times"/>
                <w:noProof/>
                <w:sz w:val="20"/>
                <w:szCs w:val="20"/>
              </w:rPr>
            </w:pPr>
            <w:r>
              <w:rPr>
                <w:rFonts w:ascii="Times" w:hAnsi="Times"/>
                <w:noProof/>
                <w:sz w:val="20"/>
              </w:rPr>
              <w:t>ECE/TRANS/WP.29/2018/165</w:t>
            </w:r>
          </w:p>
        </w:tc>
      </w:tr>
    </w:tbl>
    <w:p>
      <w:pPr>
        <w:pStyle w:val="Default"/>
        <w:rPr>
          <w:rFonts w:eastAsia="MS Mincho"/>
          <w:noProof/>
          <w:color w:val="auto"/>
        </w:rPr>
      </w:pPr>
      <w:r>
        <w:rPr>
          <w:rFonts w:hint="eastAsia"/>
          <w:noProof/>
          <w:color w:val="auto"/>
        </w:rPr>
        <w:t xml:space="preserve"> </w:t>
      </w:r>
    </w:p>
    <w:p>
      <w:pPr>
        <w:rPr>
          <w:noProof/>
        </w:rPr>
      </w:pPr>
    </w:p>
    <w:sectPr>
      <w:footerReference w:type="default" r:id="rId16"/>
      <w:footerReference w:type="first" r:id="rId17"/>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sz w:val="18"/>
        </w:rPr>
      </w:pPr>
      <w:r>
        <w:rPr>
          <w:rStyle w:val="FootnoteReference"/>
        </w:rPr>
        <w:footnoteRef/>
      </w:r>
      <w:r>
        <w:tab/>
      </w:r>
      <w:r>
        <w:rPr>
          <w:sz w:val="18"/>
        </w:rPr>
        <w:t xml:space="preserve">Az alábbi táblázatban említett dokumentumok az alábbi weboldalon érhetők el: </w:t>
      </w:r>
    </w:p>
    <w:p>
      <w:pPr>
        <w:pStyle w:val="FootnoteText"/>
        <w:rPr>
          <w:sz w:val="18"/>
        </w:rPr>
      </w:pPr>
      <w:hyperlink r:id="rId1">
        <w:r>
          <w:rPr>
            <w:rStyle w:val="Hyperlink"/>
            <w:sz w:val="18"/>
          </w:rPr>
          <w:t>http://www.unece.org/trans/main/wp29/wp29wgs/wp29gen/gen2018.html</w:t>
        </w:r>
      </w:hyperlink>
    </w:p>
    <w:p>
      <w:pPr>
        <w:pStyle w:val="FootnoteText"/>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942D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C83C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D4DD18"/>
    <w:lvl w:ilvl="0">
      <w:start w:val="1"/>
      <w:numFmt w:val="decimal"/>
      <w:pStyle w:val="ListNumber2"/>
      <w:lvlText w:val="%1."/>
      <w:lvlJc w:val="left"/>
      <w:pPr>
        <w:tabs>
          <w:tab w:val="num" w:pos="643"/>
        </w:tabs>
        <w:ind w:left="643" w:hanging="360"/>
      </w:pPr>
    </w:lvl>
  </w:abstractNum>
  <w:abstractNum w:abstractNumId="4">
    <w:nsid w:val="FFFFFF81"/>
    <w:multiLevelType w:val="singleLevel"/>
    <w:tmpl w:val="82B0373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AB94DC2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6168A06"/>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923A696E"/>
    <w:lvl w:ilvl="0">
      <w:start w:val="1"/>
      <w:numFmt w:val="decimal"/>
      <w:pStyle w:val="ListNumber"/>
      <w:lvlText w:val="%1."/>
      <w:lvlJc w:val="left"/>
      <w:pPr>
        <w:tabs>
          <w:tab w:val="num" w:pos="360"/>
        </w:tabs>
        <w:ind w:left="360" w:hanging="360"/>
      </w:pPr>
    </w:lvl>
  </w:abstractNum>
  <w:abstractNum w:abstractNumId="8">
    <w:nsid w:val="FFFFFF89"/>
    <w:multiLevelType w:val="singleLevel"/>
    <w:tmpl w:val="240C621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9"/>
  </w:num>
  <w:num w:numId="11">
    <w:abstractNumId w:val="13"/>
  </w:num>
  <w:num w:numId="12">
    <w:abstractNumId w:val="21"/>
  </w:num>
  <w:num w:numId="13">
    <w:abstractNumId w:val="12"/>
  </w:num>
  <w:num w:numId="14">
    <w:abstractNumId w:val="14"/>
  </w:num>
  <w:num w:numId="15">
    <w:abstractNumId w:val="10"/>
  </w:num>
  <w:num w:numId="16">
    <w:abstractNumId w:val="20"/>
  </w:num>
  <w:num w:numId="17">
    <w:abstractNumId w:val="9"/>
  </w:num>
  <w:num w:numId="18">
    <w:abstractNumId w:val="15"/>
  </w:num>
  <w:num w:numId="19">
    <w:abstractNumId w:val="17"/>
  </w:num>
  <w:num w:numId="20">
    <w:abstractNumId w:val="18"/>
  </w:num>
  <w:num w:numId="21">
    <w:abstractNumId w:val="11"/>
  </w:num>
  <w:num w:numId="22">
    <w:abstractNumId w:val="16"/>
  </w:num>
  <w:num w:numId="23">
    <w:abstractNumId w:val="22"/>
  </w:num>
  <w:num w:numId="24">
    <w:abstractNumId w:val="19"/>
  </w:num>
  <w:num w:numId="25">
    <w:abstractNumId w:val="13"/>
  </w:num>
  <w:num w:numId="26">
    <w:abstractNumId w:val="21"/>
  </w:num>
  <w:num w:numId="27">
    <w:abstractNumId w:val="12"/>
  </w:num>
  <w:num w:numId="28">
    <w:abstractNumId w:val="14"/>
  </w:num>
  <w:num w:numId="29">
    <w:abstractNumId w:val="10"/>
  </w:num>
  <w:num w:numId="30">
    <w:abstractNumId w:val="20"/>
  </w:num>
  <w:num w:numId="31">
    <w:abstractNumId w:val="9"/>
  </w:num>
  <w:num w:numId="32">
    <w:abstractNumId w:val="15"/>
  </w:num>
  <w:num w:numId="33">
    <w:abstractNumId w:val="17"/>
  </w:num>
  <w:num w:numId="34">
    <w:abstractNumId w:val="18"/>
  </w:num>
  <w:num w:numId="35">
    <w:abstractNumId w:val="11"/>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6:25: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ACCOMPAGNANT" w:val="a következ\u337?höz:"/>
    <w:docVar w:name="LW_ACCOMPAGNANT.CP" w:val="a következ\u337?höz:"/>
    <w:docVar w:name="LW_ANNEX_NBR_FIRST" w:val="1"/>
    <w:docVar w:name="LW_ANNEX_NBR_LAST" w:val="1"/>
    <w:docVar w:name="LW_ANNEX_UNIQUE" w:val="1"/>
    <w:docVar w:name="LW_CORRIGENDUM" w:val="&lt;UNUSED&gt;"/>
    <w:docVar w:name="LW_COVERPAGE_EXISTS" w:val="True"/>
    <w:docVar w:name="LW_COVERPAGE_GUID" w:val="97FA5C93-CA67-4B8C-966B-D83D3FC917DE"/>
    <w:docVar w:name="LW_COVERPAGE_TYPE" w:val="1"/>
    <w:docVar w:name="LW_CROSSREFERENCE" w:val="&lt;UNUSED&gt;"/>
    <w:docVar w:name="LW_DocType" w:val="ANNEX"/>
    <w:docVar w:name="LW_EMISSION" w:val="2019.2.11."/>
    <w:docVar w:name="LW_EMISSION_ISODATE" w:val="2019-02-11"/>
    <w:docVar w:name="LW_EMISSION_LOCATION" w:val="BRX"/>
    <w:docVar w:name="LW_EMISSION_PREFIX" w:val="Brüsszel, "/>
    <w:docVar w:name="LW_EMISSION_SUFFIX" w:val=" "/>
    <w:docVar w:name="LW_ID_DOCSTRUCTURE" w:val="COM/ANNEX"/>
    <w:docVar w:name="LW_ID_DOCTYPE" w:val="SG-017"/>
    <w:docVar w:name="LW_LANGUE" w:val="HU"/>
    <w:docVar w:name="LW_LEVEL_OF_SENSITIVITY" w:val="Standard treatment"/>
    <w:docVar w:name="LW_NOM.INST" w:val="EURÓPAI BIZOTTSÁG"/>
    <w:docVar w:name="LW_NOM.INST_JOINTDOC" w:val="&lt;EMPTY&gt;"/>
    <w:docVar w:name="LW_OBJETACTEPRINCIPAL" w:val="az Európai Unió által az ENSZ Európai Gazdasági Bizottságának megfelel\u337? bizottságaiban az ENSZ 0., 3., 4., 6., 7., 9., 10., 19., 23., 27., 38., 41., 48., 50., 51., 53., 55., 58., 62., 67., 69., 70., 73., 74., 77., 86., 87., 91., 92., 98., 104., 106., 107., 110., 112., 113., 116., 119., 122., 123. és 128. számú el\u337?írásának módosítására irányuló javaslatok, az R.E 5 számú egységesített állásfoglalás módosítására irányuló javaslat, négy új ENSZ-el\u337?írásra irányuló javaslat, valamint az 1958. évi megállapodás 4. jegyzékének módosítására irányuló javaslat tekintetében képviselend\u337? álláspontról"/>
    <w:docVar w:name="LW_OBJETACTEPRINCIPAL.CP" w:val="az Európai Unió által az ENSZ Európai Gazdasági Bizottságának megfelel\u337? bizottságaiban az ENSZ 0., 3., 4., 6., 7., 9., 10., 19., 23., 27., 38., 41., 48., 50., 51., 53., 55., 58., 62., 67., 69., 70., 73., 74., 77., 86., 87., 91., 92., 98., 104., 106., 107., 110., 112., 113., 116., 119., 122., 123. és 128. számú el\u337?írásának módosítására irányuló javaslatok, az R.E 5 számú egységesített állásfoglalás módosítására irányuló javaslat, négy új ENSZ-el\u337?írásra irányuló javaslat, valamint az 1958. évi megállapodás 4. jegyzékének módosítására irányuló javaslat tekintetében képviselend\u337? álláspontról"/>
    <w:docVar w:name="LW_PART_NBR" w:val="1"/>
    <w:docVar w:name="LW_PART_NBR_TOTAL" w:val="1"/>
    <w:docVar w:name="LW_REF.INST.NEW" w:val="COM"/>
    <w:docVar w:name="LW_REF.INST.NEW_ADOPTED" w:val="final"/>
    <w:docVar w:name="LW_REF.INST.NEW_TEXT" w:val="(2019) 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MELLÉKLET"/>
    <w:docVar w:name="LW_TYPE.DOC.CP" w:val="MELLÉKLET"/>
    <w:docVar w:name="LW_TYPEACTEPRINCIPAL" w:val="Javaslat_x000b_A Tanács határozata"/>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hu-HU"/>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ingleTxtGChar">
    <w:name w:val="_ Single Txt_G Char"/>
    <w:link w:val="SingleTxtG"/>
    <w:rPr>
      <w:lang w:val="hu-HU"/>
    </w:rPr>
  </w:style>
  <w:style w:type="paragraph" w:customStyle="1" w:styleId="SingleTxtG">
    <w:name w:val="_ Single Txt_G"/>
    <w:basedOn w:val="Normal"/>
    <w:link w:val="SingleTxtGChar"/>
    <w:pPr>
      <w:suppressAutoHyphens/>
      <w:spacing w:before="0" w:line="240" w:lineRule="atLeast"/>
      <w:ind w:left="1134" w:right="1134"/>
    </w:pPr>
    <w:rPr>
      <w:rFonts w:asciiTheme="minorHAnsi" w:hAnsiTheme="minorHAnsi" w:cstheme="minorBidi"/>
      <w:sz w:val="22"/>
    </w:rPr>
  </w:style>
  <w:style w:type="paragraph" w:styleId="ListNumber5">
    <w:name w:val="List Number 5"/>
    <w:basedOn w:val="Normal"/>
    <w:semiHidden/>
    <w:pPr>
      <w:numPr>
        <w:numId w:val="9"/>
      </w:numPr>
      <w:suppressAutoHyphens/>
      <w:spacing w:before="0" w:after="0" w:line="240" w:lineRule="atLeast"/>
      <w:jc w:val="left"/>
    </w:pPr>
    <w:rPr>
      <w:rFonts w:eastAsia="Times New Roman"/>
      <w:sz w:val="20"/>
      <w:szCs w:val="20"/>
    </w:rPr>
  </w:style>
  <w:style w:type="paragraph" w:customStyle="1" w:styleId="Default">
    <w:name w:val="Default"/>
    <w:basedOn w:val="Normal"/>
    <w:pPr>
      <w:autoSpaceDE w:val="0"/>
      <w:autoSpaceDN w:val="0"/>
      <w:spacing w:before="0" w:after="0"/>
      <w:jc w:val="left"/>
    </w:pPr>
    <w:rPr>
      <w:rFonts w:eastAsia="SimSun"/>
      <w:color w:val="000000"/>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432">
      <w:bodyDiv w:val="1"/>
      <w:marLeft w:val="0"/>
      <w:marRight w:val="0"/>
      <w:marTop w:val="0"/>
      <w:marBottom w:val="0"/>
      <w:divBdr>
        <w:top w:val="none" w:sz="0" w:space="0" w:color="auto"/>
        <w:left w:val="none" w:sz="0" w:space="0" w:color="auto"/>
        <w:bottom w:val="none" w:sz="0" w:space="0" w:color="auto"/>
        <w:right w:val="none" w:sz="0" w:space="0" w:color="auto"/>
      </w:divBdr>
    </w:div>
    <w:div w:id="450436389">
      <w:bodyDiv w:val="1"/>
      <w:marLeft w:val="0"/>
      <w:marRight w:val="0"/>
      <w:marTop w:val="0"/>
      <w:marBottom w:val="0"/>
      <w:divBdr>
        <w:top w:val="none" w:sz="0" w:space="0" w:color="auto"/>
        <w:left w:val="none" w:sz="0" w:space="0" w:color="auto"/>
        <w:bottom w:val="none" w:sz="0" w:space="0" w:color="auto"/>
        <w:right w:val="none" w:sz="0" w:space="0" w:color="auto"/>
      </w:divBdr>
    </w:div>
    <w:div w:id="1276327042">
      <w:bodyDiv w:val="1"/>
      <w:marLeft w:val="0"/>
      <w:marRight w:val="0"/>
      <w:marTop w:val="0"/>
      <w:marBottom w:val="0"/>
      <w:divBdr>
        <w:top w:val="none" w:sz="0" w:space="0" w:color="auto"/>
        <w:left w:val="none" w:sz="0" w:space="0" w:color="auto"/>
        <w:bottom w:val="none" w:sz="0" w:space="0" w:color="auto"/>
        <w:right w:val="none" w:sz="0" w:space="0" w:color="auto"/>
      </w:divBdr>
    </w:div>
    <w:div w:id="1751465643">
      <w:bodyDiv w:val="1"/>
      <w:marLeft w:val="0"/>
      <w:marRight w:val="0"/>
      <w:marTop w:val="0"/>
      <w:marBottom w:val="0"/>
      <w:divBdr>
        <w:top w:val="none" w:sz="0" w:space="0" w:color="auto"/>
        <w:left w:val="none" w:sz="0" w:space="0" w:color="auto"/>
        <w:bottom w:val="none" w:sz="0" w:space="0" w:color="auto"/>
        <w:right w:val="none" w:sz="0" w:space="0" w:color="auto"/>
      </w:divBdr>
    </w:div>
    <w:div w:id="1767771731">
      <w:bodyDiv w:val="1"/>
      <w:marLeft w:val="0"/>
      <w:marRight w:val="0"/>
      <w:marTop w:val="0"/>
      <w:marBottom w:val="0"/>
      <w:divBdr>
        <w:top w:val="none" w:sz="0" w:space="0" w:color="auto"/>
        <w:left w:val="none" w:sz="0" w:space="0" w:color="auto"/>
        <w:bottom w:val="none" w:sz="0" w:space="0" w:color="auto"/>
        <w:right w:val="none" w:sz="0" w:space="0" w:color="auto"/>
      </w:divBdr>
    </w:div>
    <w:div w:id="1815756432">
      <w:bodyDiv w:val="1"/>
      <w:marLeft w:val="0"/>
      <w:marRight w:val="0"/>
      <w:marTop w:val="0"/>
      <w:marBottom w:val="0"/>
      <w:divBdr>
        <w:top w:val="none" w:sz="0" w:space="0" w:color="auto"/>
        <w:left w:val="none" w:sz="0" w:space="0" w:color="auto"/>
        <w:bottom w:val="none" w:sz="0" w:space="0" w:color="auto"/>
        <w:right w:val="none" w:sz="0" w:space="0" w:color="auto"/>
      </w:divBdr>
    </w:div>
    <w:div w:id="18364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gen20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3189-CF79-488D-9648-680B5E44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943</Words>
  <Characters>8226</Characters>
  <Application>Microsoft Office Word</Application>
  <DocSecurity>0</DocSecurity>
  <Lines>357</Lines>
  <Paragraphs>223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BRASSART Odile (GROW)</dc:creator>
  <cp:lastModifiedBy>DIGIT/C6</cp:lastModifiedBy>
  <cp:revision>8</cp:revision>
  <cp:lastPrinted>2019-01-10T13:37:00Z</cp:lastPrinted>
  <dcterms:created xsi:type="dcterms:W3CDTF">2019-02-08T14:06:00Z</dcterms:created>
  <dcterms:modified xsi:type="dcterms:W3CDTF">2019-02-08T15:25:00Z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1</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1</vt:lpwstr>
  </property>
  <property fmtid="{D5CDD505-2E9C-101B-9397-08002B2CF9AE}" pid="13" name="DQCStatus">
    <vt:lpwstr>Green (DQC version 03)</vt:lpwstr>
  </property>
</Properties>
</file>