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D15B64B9-598C-4374-91AC-145CF7ADA7B2" style="width:450.75pt;height:452.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lastRenderedPageBreak/>
        <w:t>ALLEGATO</w:t>
      </w:r>
    </w:p>
    <w:p>
      <w:pPr>
        <w:rPr>
          <w:noProof/>
        </w:rPr>
      </w:pPr>
    </w:p>
    <w:tbl>
      <w:tblPr>
        <w:tblW w:w="0" w:type="auto"/>
        <w:tblInd w:w="93" w:type="dxa"/>
        <w:tblLook w:val="04A0" w:firstRow="1" w:lastRow="0" w:firstColumn="1" w:lastColumn="0" w:noHBand="0" w:noVBand="1"/>
      </w:tblPr>
      <w:tblGrid>
        <w:gridCol w:w="2149"/>
        <w:gridCol w:w="3797"/>
        <w:gridCol w:w="3250"/>
      </w:tblGrid>
      <w:tr>
        <w:trPr>
          <w:trHeight w:val="630"/>
        </w:trPr>
        <w:tc>
          <w:tcPr>
            <w:tcW w:w="0" w:type="auto"/>
            <w:tcBorders>
              <w:top w:val="single" w:sz="8" w:space="0" w:color="auto"/>
              <w:left w:val="single" w:sz="8" w:space="0" w:color="auto"/>
              <w:bottom w:val="single" w:sz="4" w:space="0" w:color="auto"/>
              <w:right w:val="single" w:sz="4" w:space="0" w:color="auto"/>
            </w:tcBorders>
            <w:shd w:val="clear" w:color="auto" w:fill="auto"/>
            <w:hideMark/>
          </w:tcPr>
          <w:p>
            <w:pPr>
              <w:spacing w:before="0" w:after="0"/>
              <w:jc w:val="left"/>
              <w:rPr>
                <w:rFonts w:eastAsia="Times New Roman"/>
                <w:b/>
                <w:bCs/>
                <w:noProof/>
                <w:szCs w:val="24"/>
              </w:rPr>
            </w:pPr>
            <w:r>
              <w:rPr>
                <w:b/>
                <w:noProof/>
              </w:rPr>
              <w:t>Regolamento n.</w:t>
            </w:r>
          </w:p>
        </w:tc>
        <w:tc>
          <w:tcPr>
            <w:tcW w:w="0" w:type="auto"/>
            <w:tcBorders>
              <w:top w:val="single" w:sz="8" w:space="0" w:color="auto"/>
              <w:left w:val="nil"/>
              <w:bottom w:val="single" w:sz="4" w:space="0" w:color="auto"/>
              <w:right w:val="single" w:sz="4" w:space="0" w:color="auto"/>
            </w:tcBorders>
            <w:shd w:val="clear" w:color="auto" w:fill="auto"/>
            <w:hideMark/>
          </w:tcPr>
          <w:p>
            <w:pPr>
              <w:spacing w:before="0" w:after="0"/>
              <w:jc w:val="left"/>
              <w:rPr>
                <w:rFonts w:eastAsia="Times New Roman"/>
                <w:b/>
                <w:bCs/>
                <w:noProof/>
                <w:szCs w:val="24"/>
              </w:rPr>
            </w:pPr>
            <w:r>
              <w:rPr>
                <w:b/>
                <w:noProof/>
              </w:rPr>
              <w:t>Titolo del punto dell'ordine del giorno</w:t>
            </w:r>
          </w:p>
        </w:tc>
        <w:tc>
          <w:tcPr>
            <w:tcW w:w="0" w:type="auto"/>
            <w:tcBorders>
              <w:top w:val="single" w:sz="8" w:space="0" w:color="auto"/>
              <w:left w:val="nil"/>
              <w:bottom w:val="single" w:sz="4" w:space="0" w:color="auto"/>
              <w:right w:val="single" w:sz="4" w:space="0" w:color="auto"/>
            </w:tcBorders>
            <w:shd w:val="clear" w:color="auto" w:fill="auto"/>
            <w:hideMark/>
          </w:tcPr>
          <w:p>
            <w:pPr>
              <w:spacing w:before="0" w:after="0"/>
              <w:jc w:val="left"/>
              <w:rPr>
                <w:rFonts w:eastAsia="Times New Roman"/>
                <w:b/>
                <w:bCs/>
                <w:noProof/>
                <w:szCs w:val="24"/>
              </w:rPr>
            </w:pPr>
            <w:r>
              <w:rPr>
                <w:b/>
                <w:noProof/>
              </w:rPr>
              <w:t>Documento di riferimento</w:t>
            </w:r>
            <w:r>
              <w:rPr>
                <w:rStyle w:val="FootnoteReference"/>
                <w:b/>
                <w:noProof/>
              </w:rPr>
              <w:footnoteReference w:id="1"/>
            </w:r>
          </w:p>
        </w:tc>
      </w:tr>
      <w:tr>
        <w:trPr>
          <w:trHeight w:val="510"/>
        </w:trPr>
        <w:tc>
          <w:tcPr>
            <w:tcW w:w="0" w:type="auto"/>
            <w:tcBorders>
              <w:top w:val="nil"/>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0</w:t>
            </w:r>
          </w:p>
        </w:tc>
        <w:tc>
          <w:tcPr>
            <w:tcW w:w="0" w:type="auto"/>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Proposta della serie di modifiche 01 del regolamento UN n. 0 relativo a disposizioni uniformi sull'omologazione internazionale globale di tipi di veicoli </w:t>
            </w:r>
          </w:p>
        </w:tc>
        <w:tc>
          <w:tcPr>
            <w:tcW w:w="0" w:type="auto"/>
            <w:tcBorders>
              <w:top w:val="nil"/>
              <w:left w:val="nil"/>
              <w:bottom w:val="single" w:sz="4" w:space="0" w:color="auto"/>
              <w:right w:val="single" w:sz="4" w:space="0" w:color="auto"/>
            </w:tcBorders>
            <w:shd w:val="clear" w:color="auto" w:fill="auto"/>
          </w:tcPr>
          <w:p>
            <w:pPr>
              <w:rPr>
                <w:rFonts w:ascii="Times" w:hAnsi="Times" w:cs="Times"/>
                <w:noProof/>
                <w:sz w:val="20"/>
                <w:szCs w:val="20"/>
              </w:rPr>
            </w:pPr>
          </w:p>
          <w:p>
            <w:pPr>
              <w:rPr>
                <w:rFonts w:ascii="Times" w:hAnsi="Times" w:cs="Times"/>
                <w:noProof/>
                <w:sz w:val="20"/>
                <w:szCs w:val="20"/>
              </w:rPr>
            </w:pPr>
            <w:r>
              <w:rPr>
                <w:rFonts w:ascii="Times" w:hAnsi="Times"/>
                <w:noProof/>
                <w:sz w:val="20"/>
              </w:rPr>
              <w:t>ECE/TRANS/WP.29/2018/82</w:t>
            </w:r>
          </w:p>
          <w:p>
            <w:pPr>
              <w:rPr>
                <w:rFonts w:ascii="Times" w:hAnsi="Times" w:cs="Times"/>
                <w:noProof/>
                <w:sz w:val="20"/>
                <w:szCs w:val="20"/>
              </w:rPr>
            </w:pPr>
          </w:p>
        </w:tc>
      </w:tr>
      <w:tr>
        <w:trPr>
          <w:trHeight w:val="510"/>
        </w:trPr>
        <w:tc>
          <w:tcPr>
            <w:tcW w:w="0" w:type="auto"/>
            <w:tcBorders>
              <w:top w:val="nil"/>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3</w:t>
            </w:r>
          </w:p>
        </w:tc>
        <w:tc>
          <w:tcPr>
            <w:tcW w:w="0" w:type="auto"/>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Proposta della serie di modifiche 03 del regolamento UN n. 3 (Catadiottri) </w:t>
            </w:r>
          </w:p>
        </w:tc>
        <w:tc>
          <w:tcPr>
            <w:tcW w:w="0" w:type="auto"/>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ECE/TRANS/WP.29/2018/91/Rev.1</w:t>
            </w:r>
          </w:p>
        </w:tc>
      </w:tr>
      <w:tr>
        <w:trPr>
          <w:trHeight w:val="705"/>
        </w:trPr>
        <w:tc>
          <w:tcPr>
            <w:tcW w:w="0" w:type="auto"/>
            <w:tcBorders>
              <w:top w:val="nil"/>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4</w:t>
            </w:r>
          </w:p>
        </w:tc>
        <w:tc>
          <w:tcPr>
            <w:tcW w:w="0" w:type="auto"/>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Proposta della serie di modifiche 01 del regolamento UN n. 4 (Illuminazione delle targhe posteriori) </w:t>
            </w:r>
          </w:p>
        </w:tc>
        <w:tc>
          <w:tcPr>
            <w:tcW w:w="0" w:type="auto"/>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ECE/TRANS/WP.29/2018/92/Rev.1</w:t>
            </w:r>
          </w:p>
        </w:tc>
      </w:tr>
      <w:tr>
        <w:trPr>
          <w:trHeight w:val="510"/>
        </w:trPr>
        <w:tc>
          <w:tcPr>
            <w:tcW w:w="0" w:type="auto"/>
            <w:tcBorders>
              <w:top w:val="nil"/>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6</w:t>
            </w:r>
          </w:p>
        </w:tc>
        <w:tc>
          <w:tcPr>
            <w:tcW w:w="0" w:type="auto"/>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Proposta della serie di modifiche 02 del regolamento UN n. 6 (Indicatori di direzione) </w:t>
            </w:r>
          </w:p>
        </w:tc>
        <w:tc>
          <w:tcPr>
            <w:tcW w:w="0" w:type="auto"/>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ECE/TRANS/WP.29/2018/93/Rev.1</w:t>
            </w:r>
          </w:p>
        </w:tc>
      </w:tr>
      <w:tr>
        <w:trPr>
          <w:trHeight w:val="510"/>
        </w:trPr>
        <w:tc>
          <w:tcPr>
            <w:tcW w:w="0" w:type="auto"/>
            <w:tcBorders>
              <w:top w:val="nil"/>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7</w:t>
            </w:r>
          </w:p>
        </w:tc>
        <w:tc>
          <w:tcPr>
            <w:tcW w:w="0" w:type="auto"/>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Proposta della serie di modifiche 03 del regolamento UN n. 7 (Luci di posizione, di arresto e di ingombro) </w:t>
            </w:r>
          </w:p>
        </w:tc>
        <w:tc>
          <w:tcPr>
            <w:tcW w:w="0" w:type="auto"/>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ECE/TRANS/WP.29/2018/94/Rev.1</w:t>
            </w:r>
          </w:p>
        </w:tc>
      </w:tr>
      <w:tr>
        <w:trPr>
          <w:trHeight w:val="510"/>
        </w:trPr>
        <w:tc>
          <w:tcPr>
            <w:tcW w:w="0" w:type="auto"/>
            <w:tcBorders>
              <w:top w:val="nil"/>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9</w:t>
            </w:r>
          </w:p>
        </w:tc>
        <w:tc>
          <w:tcPr>
            <w:tcW w:w="0" w:type="auto"/>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Proposta della serie di modifiche 08 del regolamento UN n. 9 (Rumorosità dei veicoli a tre ruote)</w:t>
            </w:r>
          </w:p>
          <w:p>
            <w:pPr>
              <w:rPr>
                <w:rFonts w:ascii="Times" w:hAnsi="Times" w:cs="Times"/>
                <w:noProof/>
                <w:sz w:val="20"/>
                <w:szCs w:val="20"/>
              </w:rPr>
            </w:pPr>
          </w:p>
        </w:tc>
        <w:tc>
          <w:tcPr>
            <w:tcW w:w="0" w:type="auto"/>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ECE/TRANS/WP.29/2019/6</w:t>
            </w:r>
          </w:p>
        </w:tc>
      </w:tr>
      <w:tr>
        <w:trPr>
          <w:trHeight w:val="510"/>
        </w:trPr>
        <w:tc>
          <w:tcPr>
            <w:tcW w:w="0" w:type="auto"/>
            <w:tcBorders>
              <w:top w:val="nil"/>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10</w:t>
            </w:r>
          </w:p>
        </w:tc>
        <w:tc>
          <w:tcPr>
            <w:tcW w:w="0" w:type="auto"/>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Proposta di una nuova serie di modifiche 06 del regolamento UN n. 10 (Compatibilità elettromagnetica)</w:t>
            </w:r>
          </w:p>
        </w:tc>
        <w:tc>
          <w:tcPr>
            <w:tcW w:w="0" w:type="auto"/>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ECE/TRANS/WP.29/2019/20</w:t>
            </w:r>
          </w:p>
        </w:tc>
      </w:tr>
      <w:tr>
        <w:trPr>
          <w:trHeight w:val="765"/>
        </w:trPr>
        <w:tc>
          <w:tcPr>
            <w:tcW w:w="0" w:type="auto"/>
            <w:tcBorders>
              <w:top w:val="nil"/>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19</w:t>
            </w:r>
          </w:p>
        </w:tc>
        <w:tc>
          <w:tcPr>
            <w:tcW w:w="0" w:type="auto"/>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Proposta della serie di modifiche 05 del regolamento UN n. 19 (Proiettori fendinebbia anteriori) </w:t>
            </w:r>
          </w:p>
        </w:tc>
        <w:tc>
          <w:tcPr>
            <w:tcW w:w="0" w:type="auto"/>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ECE/TRANS/WP.29/2018/95/Rev.1</w:t>
            </w:r>
          </w:p>
        </w:tc>
      </w:tr>
      <w:tr>
        <w:trPr>
          <w:trHeight w:val="765"/>
        </w:trPr>
        <w:tc>
          <w:tcPr>
            <w:tcW w:w="0" w:type="auto"/>
            <w:tcBorders>
              <w:top w:val="nil"/>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23</w:t>
            </w:r>
          </w:p>
        </w:tc>
        <w:tc>
          <w:tcPr>
            <w:tcW w:w="0" w:type="auto"/>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Proposta della serie di modifiche 01 del regolamento UN n. 23 (Proiettori di retromarcia) </w:t>
            </w:r>
          </w:p>
        </w:tc>
        <w:tc>
          <w:tcPr>
            <w:tcW w:w="0" w:type="auto"/>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ECE/TRANS/WP.29/2018/96/Rev.1</w:t>
            </w:r>
          </w:p>
        </w:tc>
      </w:tr>
      <w:tr>
        <w:trPr>
          <w:trHeight w:val="585"/>
        </w:trPr>
        <w:tc>
          <w:tcPr>
            <w:tcW w:w="0" w:type="auto"/>
            <w:tcBorders>
              <w:top w:val="nil"/>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27</w:t>
            </w:r>
          </w:p>
        </w:tc>
        <w:tc>
          <w:tcPr>
            <w:tcW w:w="0" w:type="auto"/>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Proposta della serie di modifiche 05 del regolamento UN n. 27 (Triangoli di segnalazione) </w:t>
            </w:r>
          </w:p>
        </w:tc>
        <w:tc>
          <w:tcPr>
            <w:tcW w:w="0" w:type="auto"/>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ECE/TRANS/WP.29/2018/97/Rev.1</w:t>
            </w:r>
          </w:p>
        </w:tc>
      </w:tr>
      <w:tr>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38</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Proposta della serie di modifiche 01 del regolamento UN n. 38 (Proiettori fendinebbia posteriori) </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ECE/TRANS/WP.29/2018/98/Rev.1</w:t>
            </w:r>
          </w:p>
        </w:tc>
      </w:tr>
      <w:tr>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41</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Proposta di supplemento 7 della serie di modifiche 04 del regolamento UN n. 41</w:t>
            </w:r>
            <w:r>
              <w:rPr>
                <w:rFonts w:ascii="Times" w:hAnsi="Times" w:cs="Times"/>
                <w:noProof/>
                <w:sz w:val="20"/>
                <w:szCs w:val="20"/>
              </w:rPr>
              <w:br/>
            </w:r>
            <w:r>
              <w:rPr>
                <w:rFonts w:ascii="Times" w:hAnsi="Times"/>
                <w:noProof/>
                <w:sz w:val="20"/>
              </w:rPr>
              <w:t>(Emissioni acustiche dei ciclomotori)</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ECE/TRANS/WP.29/2019/3</w:t>
            </w:r>
          </w:p>
        </w:tc>
      </w:tr>
      <w:tr>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48</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Proposta di supplemento 12 della serie di modifiche 06 del regolamento UN n. 48 (Installazione dei dispositivi di illuminazione e di segnalazione luminosa)</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ECE/TRANS/WP.29/2018/99/Rev.2</w:t>
            </w:r>
          </w:p>
        </w:tc>
      </w:tr>
      <w:tr>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48</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Proposta di supplemento 13 della serie di modifiche 05 del regolamento UN n. 48 (Installazione dei dispositivi di illuminazione e di segnalazione luminosa)</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ECE/TRANS/WP.29/2018/100/Rev.1</w:t>
            </w:r>
          </w:p>
        </w:tc>
      </w:tr>
      <w:tr>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48</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Proposta di supplemento 18 della serie di modifiche 04 del regolamento UN n. 48 (Installazione dei dispositivi di illuminazione e di segnalazione luminosa)</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ECE/TRANS/WP.29/2018/101</w:t>
            </w:r>
          </w:p>
        </w:tc>
      </w:tr>
      <w:tr>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48</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Proposta di supplemento 6 della serie di modifiche 03 del regolamento UN n. 48 (Installazione dei dispositivi di illuminazione e di segnalazione luminosa)</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ECE/TRANS/WP.29/2018/102</w:t>
            </w:r>
          </w:p>
        </w:tc>
      </w:tr>
      <w:tr>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50</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Proposta della serie di modifiche 01 del regolamento UN n. 50 (Luci di posizione, luci di arresto e indicatori di direzione per ciclomotori e motocicli) </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ECE/TRANS/WP.29/2018/103/Rev.1</w:t>
            </w:r>
          </w:p>
        </w:tc>
      </w:tr>
      <w:tr>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51</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Proposta di supplemento 5 della serie di modifiche 03 del regolamento UN n. 51 </w:t>
            </w:r>
            <w:r>
              <w:rPr>
                <w:rFonts w:ascii="Times" w:hAnsi="Times" w:cs="Times"/>
                <w:noProof/>
                <w:sz w:val="20"/>
                <w:szCs w:val="20"/>
              </w:rPr>
              <w:br/>
            </w:r>
            <w:r>
              <w:rPr>
                <w:rFonts w:ascii="Times" w:hAnsi="Times"/>
                <w:noProof/>
                <w:sz w:val="20"/>
              </w:rPr>
              <w:t>(Rumorosità dei veicoli di categoria M e N)</w:t>
            </w:r>
          </w:p>
          <w:p>
            <w:pPr>
              <w:rPr>
                <w:rFonts w:ascii="Times" w:hAnsi="Times" w:cs="Times"/>
                <w:noProof/>
                <w:sz w:val="20"/>
                <w:szCs w:val="20"/>
              </w:rPr>
            </w:pP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ECE/TRANS/WP.29/2019/4/Rev.1</w:t>
            </w:r>
          </w:p>
          <w:p>
            <w:pPr>
              <w:rPr>
                <w:rFonts w:ascii="Times" w:hAnsi="Times" w:cs="Times"/>
                <w:noProof/>
                <w:sz w:val="20"/>
                <w:szCs w:val="20"/>
              </w:rPr>
            </w:pPr>
          </w:p>
        </w:tc>
      </w:tr>
      <w:tr>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53</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Proposta di supplemento 2 della serie di modifiche 02 del regolamento UN n. 53 (Installazione dei dispositivi di illuminazione e di segnalazione luminosa per veicoli di categoria L</w:t>
            </w:r>
            <w:r>
              <w:rPr>
                <w:rFonts w:ascii="Times" w:hAnsi="Times"/>
                <w:noProof/>
                <w:sz w:val="20"/>
                <w:vertAlign w:val="subscript"/>
              </w:rPr>
              <w:t>3</w:t>
            </w:r>
            <w:r>
              <w:rPr>
                <w:rFonts w:ascii="Times" w:hAnsi="Times"/>
                <w:noProof/>
                <w:sz w:val="20"/>
              </w:rPr>
              <w:t>)</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ECE/TRANS/WP.29/2018/86/Rev.1</w:t>
            </w:r>
          </w:p>
        </w:tc>
      </w:tr>
      <w:tr>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53</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Proposta di supplemento 20 della serie di modifiche 01 del regolamento UN n. 53 (Installazione dei dispositivi di illuminazione e di segnalazione luminosa per veicoli di categoria L</w:t>
            </w:r>
            <w:r>
              <w:rPr>
                <w:rFonts w:ascii="Times" w:hAnsi="Times"/>
                <w:noProof/>
                <w:sz w:val="20"/>
                <w:vertAlign w:val="subscript"/>
              </w:rPr>
              <w:t>3</w:t>
            </w:r>
            <w:r>
              <w:rPr>
                <w:rFonts w:ascii="Times" w:hAnsi="Times"/>
                <w:noProof/>
                <w:sz w:val="20"/>
              </w:rPr>
              <w:t>)</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ECE/TRANS/WP.29/2018/87/Rev.2</w:t>
            </w:r>
          </w:p>
        </w:tc>
      </w:tr>
      <w:tr>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53</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Proposta di supplemento 2 della serie di modifiche 02 del regolamento UN n. 53 (Installazione dei dispositivi di illuminazione e di segnalazione luminosa per veicoli di categoria L</w:t>
            </w:r>
            <w:r>
              <w:rPr>
                <w:rFonts w:ascii="Times" w:hAnsi="Times"/>
                <w:noProof/>
                <w:sz w:val="20"/>
                <w:vertAlign w:val="subscript"/>
              </w:rPr>
              <w:t>3</w:t>
            </w:r>
            <w:r>
              <w:rPr>
                <w:rFonts w:ascii="Times" w:hAnsi="Times"/>
                <w:noProof/>
                <w:sz w:val="20"/>
              </w:rPr>
              <w:t>)</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ECE/TRANS/WP.29/2018/104/Rev.1</w:t>
            </w:r>
          </w:p>
        </w:tc>
      </w:tr>
      <w:tr>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53</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Proposta di supplemento 20 della serie di modifiche 01 del regolamento UN n. 53 (Installazione dei dispositivi di illuminazione e di segnalazione luminosa per veicoli di categoria L</w:t>
            </w:r>
            <w:r>
              <w:rPr>
                <w:rFonts w:ascii="Times" w:hAnsi="Times"/>
                <w:noProof/>
                <w:sz w:val="20"/>
                <w:vertAlign w:val="subscript"/>
              </w:rPr>
              <w:t>3</w:t>
            </w:r>
            <w:r>
              <w:rPr>
                <w:rFonts w:ascii="Times" w:hAnsi="Times"/>
                <w:noProof/>
                <w:sz w:val="20"/>
              </w:rPr>
              <w:t>)</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ECE/TRANS/WP.29/2018/105</w:t>
            </w:r>
          </w:p>
        </w:tc>
      </w:tr>
      <w:tr>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53</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Proposta di supplemento 3 della serie di modifiche 02 del regolamento UN n. 53 (Installazione dei dispositivi di illuminazione e di segnalazione luminosa per veicoli di categoria L</w:t>
            </w:r>
            <w:r>
              <w:rPr>
                <w:rFonts w:ascii="Times" w:hAnsi="Times"/>
                <w:noProof/>
                <w:sz w:val="20"/>
                <w:vertAlign w:val="subscript"/>
              </w:rPr>
              <w:t>3</w:t>
            </w:r>
            <w:r>
              <w:rPr>
                <w:rFonts w:ascii="Times" w:hAnsi="Times"/>
                <w:noProof/>
                <w:sz w:val="20"/>
              </w:rPr>
              <w:t>)</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ECE/TRANS/WP.29/2019/17</w:t>
            </w:r>
          </w:p>
        </w:tc>
      </w:tr>
      <w:tr>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53</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Proposta di supplemento 21 della serie di modifiche 01 del regolamento UN n. 53 (Installazione dei dispositivi di illuminazione e di segnalazione luminosa per veicoli di categoria L</w:t>
            </w:r>
            <w:r>
              <w:rPr>
                <w:rFonts w:ascii="Times" w:hAnsi="Times"/>
                <w:noProof/>
                <w:sz w:val="20"/>
                <w:vertAlign w:val="subscript"/>
              </w:rPr>
              <w:t>3</w:t>
            </w:r>
            <w:r>
              <w:rPr>
                <w:rFonts w:ascii="Times" w:hAnsi="Times"/>
                <w:noProof/>
                <w:sz w:val="20"/>
              </w:rPr>
              <w:t>)</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ECE/TRANS/WP.29/2019/18</w:t>
            </w:r>
          </w:p>
        </w:tc>
      </w:tr>
      <w:tr>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55</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Proposta di rettifica 1 della revisione 2 del regolamento UN n. 55 (Componenti di attacco meccanico)</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ECE/TRANS/WP.29/2019/21</w:t>
            </w:r>
          </w:p>
        </w:tc>
      </w:tr>
      <w:tr>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58</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Proposta di rettifica 1 della revisione 3 del regolamento UN n. 58 (Protezione antincastro posteriore) </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ECE/TRANS/WP.29/2019/22</w:t>
            </w:r>
          </w:p>
        </w:tc>
      </w:tr>
      <w:tr>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62</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Proposta di supplemento 3 del regolamento UN n. 62 (Protezione dall'uso non autorizzato di ciclomotori/motocicli)</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ECE/TRANS/WP.29/2019/8</w:t>
            </w:r>
          </w:p>
        </w:tc>
      </w:tr>
      <w:tr>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67</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Proposta di supplemento 16 della serie di modifiche 01 del regolamento UN n. 67 (Veicoli che utilizzano GPL)</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ECE/TRANS/WP.29/2019/9</w:t>
            </w:r>
          </w:p>
        </w:tc>
      </w:tr>
      <w:tr>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67</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Proposta di supplemento 1 della serie di modifiche 02 del regolamento UN n. 67 (Veicoli che utilizzano GPL)</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ECE/TRANS/WP.29/2019/10</w:t>
            </w:r>
          </w:p>
        </w:tc>
      </w:tr>
      <w:tr>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69</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Proposta della serie di modifiche 02 del regolamento UN n. 69 (Targhe di segnalazione posteriori destinate ai veicoli lenti)</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ECE/TRANS/WP.29/2018/106/Rev.1</w:t>
            </w:r>
          </w:p>
        </w:tc>
      </w:tr>
      <w:tr>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70</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Proposta della serie di modifiche 02 del regolamento UN n. 70 (Targhe di segnalazione posteriori destinate ai veicoli pesanti e lunghi) </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ECE/TRANS/WP.29/2018/107/Rev.1</w:t>
            </w:r>
          </w:p>
        </w:tc>
      </w:tr>
      <w:tr>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73</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Proposta di supplemento 2 della serie di modifiche 01 del regolamento UN n. 73 </w:t>
            </w:r>
            <w:r>
              <w:rPr>
                <w:rFonts w:ascii="Times" w:hAnsi="Times" w:cs="Times"/>
                <w:noProof/>
                <w:sz w:val="20"/>
                <w:szCs w:val="20"/>
              </w:rPr>
              <w:br/>
            </w:r>
            <w:r>
              <w:rPr>
                <w:rFonts w:ascii="Times" w:hAnsi="Times"/>
                <w:noProof/>
                <w:sz w:val="20"/>
              </w:rPr>
              <w:t>(Dispositivi di protezione laterale)</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ECE/TRANS/WP.29/2019/11</w:t>
            </w:r>
          </w:p>
        </w:tc>
      </w:tr>
      <w:tr>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74</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Proposta di supplemento 11 della serie di modifiche 01 del regolamento UN n. 74 (Installazione dei dispositivi di illuminazione e di segnalazione luminosa per ciclomotori)</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ECE/TRANS/WP.29/2018/108/Rev.2</w:t>
            </w:r>
          </w:p>
        </w:tc>
      </w:tr>
      <w:tr>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77</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Proposta della serie di modifiche 01 del regolamento UN n. 77 (Luci di stazionamento) </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ECE/TRANS/WP.29/2018/109/Rev.1</w:t>
            </w:r>
          </w:p>
        </w:tc>
      </w:tr>
      <w:tr>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86</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Proposta di supplemento 1 della serie di modifiche 01 del regolamento UN n. 86 (Installazione dei dispositivi di illuminazione e di segnalazione luminosa per veicoli agricoli)</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ECE/TRANS/WP.29/2018/110/Rev.1</w:t>
            </w:r>
          </w:p>
        </w:tc>
      </w:tr>
      <w:tr>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86</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Proposta di supplemento 7 della versione originale del regolamento UN n. 86 (Installazione dei dispositivi di illuminazione e di segnalazione luminosa per veicoli agricoli)</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ECE/TRANS/WP.29/2018/111</w:t>
            </w:r>
          </w:p>
        </w:tc>
      </w:tr>
      <w:tr>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87</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Proposta della serie di modifiche 01 del regolamento UN n. 87 (Luci di marcia diurne)</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ECE/TRANS/WP.29/2018/112/Rev.1</w:t>
            </w:r>
          </w:p>
        </w:tc>
      </w:tr>
      <w:tr>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91</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Proposta della serie di modifiche 01 del regolamento UN n. 91 (Luci di posizione laterali)</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ECE/TRANS/WP.29/2018/113/Rev.1</w:t>
            </w:r>
          </w:p>
        </w:tc>
      </w:tr>
      <w:tr>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92</w:t>
            </w:r>
          </w:p>
        </w:tc>
        <w:tc>
          <w:tcPr>
            <w:tcW w:w="0" w:type="auto"/>
            <w:tcBorders>
              <w:top w:val="single" w:sz="4" w:space="0" w:color="auto"/>
              <w:left w:val="nil"/>
              <w:bottom w:val="single" w:sz="4" w:space="0" w:color="auto"/>
              <w:right w:val="single" w:sz="4" w:space="0" w:color="auto"/>
            </w:tcBorders>
            <w:shd w:val="clear" w:color="auto" w:fill="auto"/>
          </w:tcPr>
          <w:p>
            <w:pPr>
              <w:ind w:left="57"/>
              <w:rPr>
                <w:rFonts w:ascii="Times" w:hAnsi="Times" w:cs="Times"/>
                <w:noProof/>
                <w:sz w:val="20"/>
                <w:szCs w:val="20"/>
              </w:rPr>
            </w:pPr>
            <w:r>
              <w:rPr>
                <w:rFonts w:ascii="Times" w:hAnsi="Times"/>
                <w:noProof/>
                <w:sz w:val="20"/>
              </w:rPr>
              <w:t>Proposta della serie di modifiche 02 del regolamento UN n. 92 (Sistemi di silenziatori dello scarico di ricambio per motocicli)</w:t>
            </w:r>
          </w:p>
          <w:p>
            <w:pPr>
              <w:rPr>
                <w:rFonts w:ascii="Times" w:hAnsi="Times" w:cs="Times"/>
                <w:noProof/>
                <w:sz w:val="20"/>
                <w:szCs w:val="20"/>
              </w:rPr>
            </w:pP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ECE/TRANS/WP.29/2019/7</w:t>
            </w:r>
          </w:p>
        </w:tc>
      </w:tr>
      <w:tr>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98</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Proposta della serie di modifiche 02 del regolamento UN n. 98 (Proiettori muniti di sorgente luminosa a scarica di gas)</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ECE/TRANS/WP.29/2018/114/Rev.1</w:t>
            </w:r>
          </w:p>
        </w:tc>
      </w:tr>
      <w:tr>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104</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Proposta della serie di modifiche 01 del regolamento UN n. 104 (Contrassegni retroriflettenti) </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ECE/TRANS/WP.29/2018/115/Rev.1</w:t>
            </w:r>
          </w:p>
        </w:tc>
      </w:tr>
      <w:tr>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106</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Proposta di supplemento 17 della serie originale di modifiche del regolamento UN n. 106 </w:t>
            </w:r>
            <w:r>
              <w:rPr>
                <w:rFonts w:ascii="Times" w:hAnsi="Times" w:cs="Times"/>
                <w:noProof/>
                <w:sz w:val="20"/>
                <w:szCs w:val="20"/>
              </w:rPr>
              <w:br/>
            </w:r>
            <w:r>
              <w:rPr>
                <w:rFonts w:ascii="Times" w:hAnsi="Times"/>
                <w:noProof/>
                <w:sz w:val="20"/>
              </w:rPr>
              <w:t>(Pneumatici destinati ai veicoli agricoli e ai loro rimorchi)</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ECE/TRANS/WP.29/2019/5</w:t>
            </w:r>
          </w:p>
        </w:tc>
      </w:tr>
      <w:tr>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107</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Proposta di supplemento 1 della serie di modifiche 08 del regolamento UN n. 107 </w:t>
            </w:r>
            <w:r>
              <w:rPr>
                <w:rFonts w:ascii="Times" w:hAnsi="Times" w:cs="Times"/>
                <w:noProof/>
                <w:sz w:val="20"/>
                <w:szCs w:val="20"/>
              </w:rPr>
              <w:br/>
            </w:r>
            <w:r>
              <w:rPr>
                <w:rFonts w:ascii="Times" w:hAnsi="Times"/>
                <w:noProof/>
                <w:sz w:val="20"/>
              </w:rPr>
              <w:t>(Veicoli di categoria M</w:t>
            </w:r>
            <w:r>
              <w:rPr>
                <w:rFonts w:ascii="Times" w:hAnsi="Times"/>
                <w:noProof/>
                <w:sz w:val="20"/>
                <w:vertAlign w:val="subscript"/>
              </w:rPr>
              <w:t>2</w:t>
            </w:r>
            <w:r>
              <w:rPr>
                <w:rFonts w:ascii="Times" w:hAnsi="Times"/>
                <w:noProof/>
                <w:sz w:val="20"/>
              </w:rPr>
              <w:t xml:space="preserve"> e M</w:t>
            </w:r>
            <w:r>
              <w:rPr>
                <w:rFonts w:ascii="Times" w:hAnsi="Times"/>
                <w:noProof/>
                <w:sz w:val="20"/>
                <w:vertAlign w:val="subscript"/>
              </w:rPr>
              <w:t>3</w:t>
            </w:r>
            <w:r>
              <w:rPr>
                <w:rFonts w:ascii="Times" w:hAnsi="Times"/>
                <w:noProof/>
                <w:sz w:val="20"/>
              </w:rPr>
              <w:t>)</w:t>
            </w:r>
          </w:p>
          <w:p>
            <w:pPr>
              <w:rPr>
                <w:rFonts w:ascii="Times" w:hAnsi="Times" w:cs="Times"/>
                <w:noProof/>
                <w:sz w:val="20"/>
                <w:szCs w:val="20"/>
              </w:rPr>
            </w:pP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ECE/TRANS/WP.29/2019/12</w:t>
            </w:r>
          </w:p>
        </w:tc>
      </w:tr>
      <w:tr>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107</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Proposta di rettifica 2 della revisione 4 del regolamento UN n. 107 (Veicoli di categoria M</w:t>
            </w:r>
            <w:r>
              <w:rPr>
                <w:rFonts w:ascii="Times" w:hAnsi="Times"/>
                <w:noProof/>
                <w:sz w:val="20"/>
                <w:vertAlign w:val="subscript"/>
              </w:rPr>
              <w:t>2</w:t>
            </w:r>
            <w:r>
              <w:rPr>
                <w:rFonts w:ascii="Times" w:hAnsi="Times"/>
                <w:noProof/>
                <w:sz w:val="20"/>
              </w:rPr>
              <w:t xml:space="preserve"> e M</w:t>
            </w:r>
            <w:r>
              <w:rPr>
                <w:rFonts w:ascii="Times" w:hAnsi="Times"/>
                <w:noProof/>
                <w:sz w:val="20"/>
                <w:vertAlign w:val="subscript"/>
              </w:rPr>
              <w:t>3</w:t>
            </w:r>
            <w:r>
              <w:rPr>
                <w:rFonts w:ascii="Times" w:hAnsi="Times"/>
                <w:noProof/>
                <w:sz w:val="20"/>
              </w:rPr>
              <w:t>)</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ECE/TRANS/WP.29/2019/23</w:t>
            </w:r>
          </w:p>
        </w:tc>
      </w:tr>
      <w:tr>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107</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Proposta di rettifica 2 della revisione 5 del regolamento UN n. 107 (Veicoli di categoria M</w:t>
            </w:r>
            <w:r>
              <w:rPr>
                <w:rFonts w:ascii="Times" w:hAnsi="Times"/>
                <w:noProof/>
                <w:sz w:val="20"/>
                <w:vertAlign w:val="subscript"/>
              </w:rPr>
              <w:t>2</w:t>
            </w:r>
            <w:r>
              <w:rPr>
                <w:rFonts w:ascii="Times" w:hAnsi="Times"/>
                <w:noProof/>
                <w:sz w:val="20"/>
              </w:rPr>
              <w:t xml:space="preserve"> e M</w:t>
            </w:r>
            <w:r>
              <w:rPr>
                <w:rFonts w:ascii="Times" w:hAnsi="Times"/>
                <w:noProof/>
                <w:sz w:val="20"/>
                <w:vertAlign w:val="subscript"/>
              </w:rPr>
              <w:t>3</w:t>
            </w:r>
            <w:r>
              <w:rPr>
                <w:rFonts w:ascii="Times" w:hAnsi="Times"/>
                <w:noProof/>
                <w:sz w:val="20"/>
              </w:rPr>
              <w:t>)</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ECE/TRANS/WP.29/2019/24</w:t>
            </w:r>
          </w:p>
        </w:tc>
      </w:tr>
      <w:tr>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107</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Proposta di rettifica 3 della revisione 6 del regolamento UN n. 107 (Veicoli di categoria M</w:t>
            </w:r>
            <w:r>
              <w:rPr>
                <w:rFonts w:ascii="Times" w:hAnsi="Times"/>
                <w:noProof/>
                <w:sz w:val="20"/>
                <w:vertAlign w:val="subscript"/>
              </w:rPr>
              <w:t>2</w:t>
            </w:r>
            <w:r>
              <w:rPr>
                <w:rFonts w:ascii="Times" w:hAnsi="Times"/>
                <w:noProof/>
                <w:sz w:val="20"/>
              </w:rPr>
              <w:t xml:space="preserve"> e M</w:t>
            </w:r>
            <w:r>
              <w:rPr>
                <w:rFonts w:ascii="Times" w:hAnsi="Times"/>
                <w:noProof/>
                <w:sz w:val="20"/>
                <w:vertAlign w:val="subscript"/>
              </w:rPr>
              <w:t>3</w:t>
            </w:r>
            <w:r>
              <w:rPr>
                <w:rFonts w:ascii="Times" w:hAnsi="Times"/>
                <w:noProof/>
                <w:sz w:val="20"/>
              </w:rPr>
              <w:t>)</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ECE/TRANS/WP.29/2019/25</w:t>
            </w:r>
          </w:p>
        </w:tc>
      </w:tr>
      <w:tr>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107</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Proposta di rettifica 2 della revisione 7 del regolamento UN n. 107 (Veicoli di categoria M</w:t>
            </w:r>
            <w:r>
              <w:rPr>
                <w:rFonts w:ascii="Times" w:hAnsi="Times"/>
                <w:noProof/>
                <w:sz w:val="20"/>
                <w:vertAlign w:val="subscript"/>
              </w:rPr>
              <w:t>2</w:t>
            </w:r>
            <w:r>
              <w:rPr>
                <w:rFonts w:ascii="Times" w:hAnsi="Times"/>
                <w:noProof/>
                <w:sz w:val="20"/>
              </w:rPr>
              <w:t xml:space="preserve"> e M</w:t>
            </w:r>
            <w:r>
              <w:rPr>
                <w:rFonts w:ascii="Times" w:hAnsi="Times"/>
                <w:noProof/>
                <w:sz w:val="20"/>
                <w:vertAlign w:val="subscript"/>
              </w:rPr>
              <w:t>3</w:t>
            </w:r>
            <w:r>
              <w:rPr>
                <w:rFonts w:ascii="Times" w:hAnsi="Times"/>
                <w:noProof/>
                <w:sz w:val="20"/>
              </w:rPr>
              <w:t>)</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ECE/TRANS/WP.29/2019/26</w:t>
            </w:r>
          </w:p>
        </w:tc>
      </w:tr>
      <w:tr>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107</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Proposta di rettifica 1 della revisione 8 del regolamento UN n. 107 (Veicoli di categoria M</w:t>
            </w:r>
            <w:r>
              <w:rPr>
                <w:rFonts w:ascii="Times" w:hAnsi="Times"/>
                <w:noProof/>
                <w:sz w:val="20"/>
                <w:vertAlign w:val="subscript"/>
              </w:rPr>
              <w:t>2</w:t>
            </w:r>
            <w:r>
              <w:rPr>
                <w:rFonts w:ascii="Times" w:hAnsi="Times"/>
                <w:noProof/>
                <w:sz w:val="20"/>
              </w:rPr>
              <w:t xml:space="preserve"> e M</w:t>
            </w:r>
            <w:r>
              <w:rPr>
                <w:rFonts w:ascii="Times" w:hAnsi="Times"/>
                <w:noProof/>
                <w:sz w:val="20"/>
                <w:vertAlign w:val="subscript"/>
              </w:rPr>
              <w:t>3</w:t>
            </w:r>
            <w:r>
              <w:rPr>
                <w:rFonts w:ascii="Times" w:hAnsi="Times"/>
                <w:noProof/>
                <w:sz w:val="20"/>
              </w:rPr>
              <w:t>)</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ECE/TRANS/WP.29/2019/27</w:t>
            </w:r>
          </w:p>
        </w:tc>
      </w:tr>
      <w:tr>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110</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Proposta di supplemento 2 della serie di modifiche 03 del regolamento UN n. 110 (Veicoli che utilizzano GNC e GNL)</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ECE/TRANS/WP.29/2019/13</w:t>
            </w:r>
          </w:p>
        </w:tc>
      </w:tr>
      <w:tr>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110</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Proposta della serie di modifiche 04 del regolamento UN n. 110 (Veicoli che utilizzano GNC e GNL)</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ECE/TRANS/WP.29/2019/16</w:t>
            </w:r>
          </w:p>
        </w:tc>
      </w:tr>
      <w:tr>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112</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Proposta della serie di modifiche 02 del regolamento UN n. 112 (Proiettori che emettono un fascio anabbagliante asimmetrico) </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ECE/TRANS/WP.29/2018/116/Rev.1</w:t>
            </w:r>
          </w:p>
        </w:tc>
      </w:tr>
      <w:tr>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113</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Proposta della serie di modifiche 03 del regolamento UN n. 113 (Proiettori che emettono un fascio anabbagliante simmetrico) </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ECE/TRANS/WP.29/2018/117/Rev.1</w:t>
            </w:r>
          </w:p>
        </w:tc>
      </w:tr>
      <w:tr>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116</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Proposta di supplemento 6 del regolamento UN </w:t>
            </w:r>
            <w:r>
              <w:rPr>
                <w:rFonts w:ascii="Times" w:hAnsi="Times" w:cs="Times"/>
                <w:noProof/>
                <w:sz w:val="20"/>
                <w:szCs w:val="20"/>
              </w:rPr>
              <w:br/>
            </w:r>
            <w:r>
              <w:rPr>
                <w:rFonts w:ascii="Times" w:hAnsi="Times"/>
                <w:noProof/>
                <w:sz w:val="20"/>
              </w:rPr>
              <w:t>n. 116 (Sistemi di allarme e antifurto)</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ECE/TRANS/WP.29/2019/14</w:t>
            </w:r>
          </w:p>
        </w:tc>
      </w:tr>
      <w:tr>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119</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Proposta della serie di modifiche 02 del regolamento UN n. 119 (Luci di svolta)</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ECE/TRANS/WP.29/2018/118/Rev.1</w:t>
            </w:r>
          </w:p>
        </w:tc>
      </w:tr>
      <w:tr>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122</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Proposta di supplemento 5 del regolamento UN n. 122 (Impianti di riscaldamento)</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ECE/TRANS/WP.29/2019/15</w:t>
            </w:r>
          </w:p>
        </w:tc>
      </w:tr>
      <w:tr>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123</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Proposta della serie di modifiche 02 del regolamento UN n. 123 [Sistemi d’illuminazione anteriori auto-orientanti (fari adattativi - AFS)] </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ECE/TRANS/WP.29/2018/119/Rev.1</w:t>
            </w:r>
          </w:p>
        </w:tc>
      </w:tr>
      <w:tr>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128</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Proposta di supplemento 9 della versione originale del regolamento n. 128 [Sorgenti luminose a diodi fotoemettitori (LED)]</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ECE/TRANS/WP.29/2019/19</w:t>
            </w:r>
          </w:p>
        </w:tc>
      </w:tr>
      <w:tr>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Nuovo regolamento UN</w:t>
            </w:r>
          </w:p>
        </w:tc>
        <w:tc>
          <w:tcPr>
            <w:tcW w:w="0" w:type="auto"/>
            <w:tcBorders>
              <w:top w:val="single" w:sz="4" w:space="0" w:color="auto"/>
              <w:left w:val="nil"/>
              <w:bottom w:val="single" w:sz="4" w:space="0" w:color="auto"/>
              <w:right w:val="single" w:sz="4" w:space="0" w:color="auto"/>
            </w:tcBorders>
            <w:shd w:val="clear" w:color="auto" w:fill="auto"/>
          </w:tcPr>
          <w:p>
            <w:pPr>
              <w:pStyle w:val="SingleTxtG"/>
              <w:ind w:left="5" w:right="240" w:hanging="5"/>
              <w:jc w:val="left"/>
              <w:rPr>
                <w:rFonts w:ascii="Times" w:hAnsi="Times" w:cs="Times"/>
                <w:noProof/>
                <w:sz w:val="20"/>
                <w:szCs w:val="20"/>
              </w:rPr>
            </w:pPr>
            <w:r>
              <w:rPr>
                <w:rFonts w:ascii="Times" w:hAnsi="Times"/>
                <w:noProof/>
                <w:sz w:val="20"/>
              </w:rPr>
              <w:t>Proposta di un nuovo regolamento UN relativo a disposizioni uniformi sull'omologazione dei veicoli a motore per quanto riguarda il sistema di informazione sugli angoli morti (</w:t>
            </w:r>
            <w:r>
              <w:rPr>
                <w:rFonts w:ascii="Times" w:hAnsi="Times"/>
                <w:i/>
                <w:noProof/>
                <w:sz w:val="20"/>
              </w:rPr>
              <w:t>Blind Spot Information System</w:t>
            </w:r>
            <w:r>
              <w:rPr>
                <w:rFonts w:ascii="Times" w:hAnsi="Times"/>
                <w:noProof/>
                <w:sz w:val="20"/>
              </w:rPr>
              <w:t>) per il rilevamento di biciclette</w:t>
            </w:r>
          </w:p>
        </w:tc>
        <w:tc>
          <w:tcPr>
            <w:tcW w:w="0" w:type="auto"/>
            <w:tcBorders>
              <w:top w:val="single" w:sz="4" w:space="0" w:color="auto"/>
              <w:left w:val="nil"/>
              <w:bottom w:val="single" w:sz="4" w:space="0" w:color="auto"/>
              <w:right w:val="single" w:sz="4" w:space="0" w:color="auto"/>
            </w:tcBorders>
            <w:shd w:val="clear" w:color="auto" w:fill="auto"/>
          </w:tcPr>
          <w:p>
            <w:pPr>
              <w:pStyle w:val="SingleTxtG"/>
              <w:ind w:left="147" w:right="141"/>
              <w:rPr>
                <w:rFonts w:ascii="Times" w:hAnsi="Times" w:cs="Times"/>
                <w:noProof/>
                <w:sz w:val="20"/>
                <w:szCs w:val="20"/>
              </w:rPr>
            </w:pPr>
            <w:r>
              <w:rPr>
                <w:rFonts w:ascii="Times" w:hAnsi="Times"/>
                <w:noProof/>
                <w:sz w:val="20"/>
              </w:rPr>
              <w:t>ECE/TRANS/WP.29/2019/28</w:t>
            </w:r>
          </w:p>
        </w:tc>
      </w:tr>
      <w:tr>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Nuovo regolamento UN</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Proposta di un nuovo regolamento UN relativo ai dispositivi di segnalazione luminosa </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ECE/TRANS/WP.29/2018/157</w:t>
            </w:r>
          </w:p>
        </w:tc>
      </w:tr>
      <w:tr>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Nuovo regolamento UN</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Proposta di un nuovo regolamento UN relativo ai dispositivi di illuminazione della strada </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ECE/TRANS/WP.29/2018/158/Rev.1</w:t>
            </w:r>
          </w:p>
        </w:tc>
      </w:tr>
      <w:tr>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Nuovo regolamento UN</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Proposta di un nuovo regolamento UN relativo ai catadiottri </w:t>
            </w:r>
          </w:p>
        </w:tc>
        <w:tc>
          <w:tcPr>
            <w:tcW w:w="0" w:type="auto"/>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ECE/TRANS/WP.29/2018/159/Rev.1</w:t>
            </w:r>
          </w:p>
        </w:tc>
      </w:tr>
    </w:tbl>
    <w:p>
      <w:pPr>
        <w:spacing w:before="0" w:after="200" w:line="276" w:lineRule="auto"/>
        <w:jc w:val="left"/>
        <w:rPr>
          <w:rFonts w:asciiTheme="minorHAnsi" w:hAnsiTheme="minorHAnsi" w:cstheme="minorBidi"/>
          <w:noProof/>
          <w:sz w:val="2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4535"/>
        <w:gridCol w:w="2718"/>
      </w:tblGrid>
      <w:tr>
        <w:trPr>
          <w:trHeight w:val="465"/>
        </w:trPr>
        <w:tc>
          <w:tcPr>
            <w:tcW w:w="0" w:type="auto"/>
            <w:shd w:val="clear" w:color="auto" w:fill="auto"/>
            <w:hideMark/>
          </w:tcPr>
          <w:p>
            <w:pPr>
              <w:spacing w:before="0" w:after="0"/>
              <w:jc w:val="left"/>
              <w:rPr>
                <w:rFonts w:eastAsia="Times New Roman"/>
                <w:b/>
                <w:bCs/>
                <w:noProof/>
                <w:szCs w:val="24"/>
              </w:rPr>
            </w:pPr>
            <w:r>
              <w:rPr>
                <w:b/>
                <w:noProof/>
              </w:rPr>
              <w:t>Risoluzione consolidata n.</w:t>
            </w:r>
          </w:p>
        </w:tc>
        <w:tc>
          <w:tcPr>
            <w:tcW w:w="0" w:type="auto"/>
            <w:shd w:val="clear" w:color="auto" w:fill="auto"/>
            <w:hideMark/>
          </w:tcPr>
          <w:p>
            <w:pPr>
              <w:spacing w:before="0" w:after="0"/>
              <w:jc w:val="left"/>
              <w:rPr>
                <w:rFonts w:eastAsia="Times New Roman"/>
                <w:b/>
                <w:bCs/>
                <w:noProof/>
                <w:szCs w:val="24"/>
              </w:rPr>
            </w:pPr>
            <w:r>
              <w:rPr>
                <w:b/>
                <w:noProof/>
              </w:rPr>
              <w:t>Titolo del punto dell'ordine del giorno</w:t>
            </w:r>
          </w:p>
        </w:tc>
        <w:tc>
          <w:tcPr>
            <w:tcW w:w="0" w:type="auto"/>
            <w:shd w:val="clear" w:color="auto" w:fill="auto"/>
            <w:hideMark/>
          </w:tcPr>
          <w:p>
            <w:pPr>
              <w:spacing w:before="0" w:after="0"/>
              <w:jc w:val="left"/>
              <w:rPr>
                <w:rFonts w:eastAsia="Times New Roman"/>
                <w:b/>
                <w:bCs/>
                <w:noProof/>
                <w:szCs w:val="24"/>
              </w:rPr>
            </w:pPr>
            <w:r>
              <w:rPr>
                <w:b/>
                <w:noProof/>
              </w:rPr>
              <w:t>Documento di riferimento</w:t>
            </w:r>
          </w:p>
        </w:tc>
      </w:tr>
      <w:tr>
        <w:trPr>
          <w:trHeight w:val="600"/>
        </w:trPr>
        <w:tc>
          <w:tcPr>
            <w:tcW w:w="0" w:type="auto"/>
            <w:shd w:val="clear" w:color="auto" w:fill="auto"/>
          </w:tcPr>
          <w:p>
            <w:pPr>
              <w:rPr>
                <w:rFonts w:ascii="Times" w:hAnsi="Times" w:cs="Times"/>
                <w:noProof/>
                <w:sz w:val="20"/>
                <w:szCs w:val="20"/>
              </w:rPr>
            </w:pPr>
            <w:r>
              <w:rPr>
                <w:rFonts w:ascii="Times" w:hAnsi="Times"/>
                <w:noProof/>
                <w:sz w:val="20"/>
              </w:rPr>
              <w:t xml:space="preserve">R.E.5 </w:t>
            </w:r>
          </w:p>
        </w:tc>
        <w:tc>
          <w:tcPr>
            <w:tcW w:w="0" w:type="auto"/>
            <w:shd w:val="clear" w:color="auto" w:fill="auto"/>
          </w:tcPr>
          <w:p>
            <w:pPr>
              <w:pStyle w:val="SingleTxtG"/>
              <w:ind w:left="0" w:right="238" w:hanging="6"/>
              <w:jc w:val="left"/>
              <w:rPr>
                <w:rFonts w:ascii="Times" w:hAnsi="Times" w:cs="Times"/>
                <w:noProof/>
                <w:sz w:val="20"/>
                <w:szCs w:val="20"/>
              </w:rPr>
            </w:pPr>
            <w:r>
              <w:rPr>
                <w:rFonts w:ascii="Times" w:hAnsi="Times"/>
                <w:noProof/>
                <w:sz w:val="20"/>
              </w:rPr>
              <w:t>Proposta di modifica 3 della risoluzione consolidata sulla specifica comune delle categorie di sorgenti luminose (R.E.5)</w:t>
            </w:r>
          </w:p>
          <w:p>
            <w:pPr>
              <w:rPr>
                <w:rFonts w:ascii="Times" w:hAnsi="Times" w:cs="Times"/>
                <w:noProof/>
                <w:sz w:val="20"/>
                <w:szCs w:val="20"/>
              </w:rPr>
            </w:pPr>
          </w:p>
        </w:tc>
        <w:tc>
          <w:tcPr>
            <w:tcW w:w="0" w:type="auto"/>
            <w:shd w:val="clear" w:color="auto" w:fill="auto"/>
          </w:tcPr>
          <w:p>
            <w:pPr>
              <w:rPr>
                <w:rFonts w:ascii="Times" w:hAnsi="Times" w:cs="Times"/>
                <w:noProof/>
                <w:sz w:val="20"/>
                <w:szCs w:val="20"/>
              </w:rPr>
            </w:pPr>
            <w:r>
              <w:rPr>
                <w:rFonts w:ascii="Times" w:hAnsi="Times"/>
                <w:noProof/>
                <w:sz w:val="20"/>
              </w:rPr>
              <w:t>ECE/TRANS/WP.29/2019/29</w:t>
            </w:r>
          </w:p>
        </w:tc>
      </w:tr>
    </w:tbl>
    <w:p>
      <w:pPr>
        <w:pStyle w:val="Default"/>
        <w:rPr>
          <w:rFonts w:ascii="MS Mincho" w:eastAsia="MS Mincho"/>
          <w:noProof/>
          <w:color w:val="auto"/>
        </w:rPr>
      </w:pPr>
    </w:p>
    <w:p>
      <w:pPr>
        <w:pStyle w:val="Default"/>
        <w:rPr>
          <w:rFonts w:ascii="MS Mincho" w:eastAsia="MS Mincho"/>
          <w:noProof/>
          <w:color w:val="auto"/>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4678"/>
        <w:gridCol w:w="2977"/>
      </w:tblGrid>
      <w:tr>
        <w:trPr>
          <w:trHeight w:val="465"/>
        </w:trPr>
        <w:tc>
          <w:tcPr>
            <w:tcW w:w="1291" w:type="dxa"/>
            <w:shd w:val="clear" w:color="auto" w:fill="auto"/>
            <w:hideMark/>
          </w:tcPr>
          <w:p>
            <w:pPr>
              <w:spacing w:before="0" w:after="0"/>
              <w:jc w:val="left"/>
              <w:rPr>
                <w:rFonts w:eastAsia="Times New Roman"/>
                <w:b/>
                <w:bCs/>
                <w:noProof/>
                <w:szCs w:val="24"/>
              </w:rPr>
            </w:pPr>
            <w:r>
              <w:rPr>
                <w:b/>
                <w:noProof/>
              </w:rPr>
              <w:t>Accordo del 1958 riveduto</w:t>
            </w:r>
          </w:p>
        </w:tc>
        <w:tc>
          <w:tcPr>
            <w:tcW w:w="4678" w:type="dxa"/>
            <w:shd w:val="clear" w:color="auto" w:fill="auto"/>
            <w:hideMark/>
          </w:tcPr>
          <w:p>
            <w:pPr>
              <w:spacing w:before="0" w:after="0"/>
              <w:jc w:val="left"/>
              <w:rPr>
                <w:rFonts w:eastAsia="Times New Roman"/>
                <w:b/>
                <w:bCs/>
                <w:noProof/>
                <w:szCs w:val="24"/>
              </w:rPr>
            </w:pPr>
            <w:r>
              <w:rPr>
                <w:b/>
                <w:noProof/>
              </w:rPr>
              <w:t>Titolo del punto dell'ordine del giorno</w:t>
            </w:r>
          </w:p>
        </w:tc>
        <w:tc>
          <w:tcPr>
            <w:tcW w:w="2977" w:type="dxa"/>
            <w:shd w:val="clear" w:color="auto" w:fill="auto"/>
            <w:hideMark/>
          </w:tcPr>
          <w:p>
            <w:pPr>
              <w:spacing w:before="0" w:after="0"/>
              <w:jc w:val="left"/>
              <w:rPr>
                <w:rFonts w:eastAsia="Times New Roman"/>
                <w:b/>
                <w:bCs/>
                <w:noProof/>
                <w:szCs w:val="24"/>
              </w:rPr>
            </w:pPr>
            <w:r>
              <w:rPr>
                <w:b/>
                <w:noProof/>
              </w:rPr>
              <w:t>Documento di riferimento</w:t>
            </w:r>
          </w:p>
        </w:tc>
      </w:tr>
      <w:tr>
        <w:trPr>
          <w:trHeight w:val="600"/>
        </w:trPr>
        <w:tc>
          <w:tcPr>
            <w:tcW w:w="1291" w:type="dxa"/>
            <w:shd w:val="clear" w:color="auto" w:fill="auto"/>
          </w:tcPr>
          <w:p>
            <w:pPr>
              <w:rPr>
                <w:rFonts w:ascii="Times" w:hAnsi="Times" w:cs="Times"/>
                <w:noProof/>
                <w:sz w:val="20"/>
                <w:szCs w:val="20"/>
              </w:rPr>
            </w:pPr>
            <w:r>
              <w:rPr>
                <w:rFonts w:ascii="Times" w:hAnsi="Times"/>
                <w:noProof/>
                <w:sz w:val="20"/>
              </w:rPr>
              <w:t xml:space="preserve">Allegato 4 </w:t>
            </w:r>
          </w:p>
        </w:tc>
        <w:tc>
          <w:tcPr>
            <w:tcW w:w="4678" w:type="dxa"/>
            <w:shd w:val="clear" w:color="auto" w:fill="auto"/>
          </w:tcPr>
          <w:p>
            <w:pPr>
              <w:pStyle w:val="SingleTxtG"/>
              <w:ind w:left="0" w:right="238" w:hanging="6"/>
              <w:jc w:val="left"/>
              <w:rPr>
                <w:rFonts w:ascii="Times" w:hAnsi="Times" w:cs="Times"/>
                <w:noProof/>
                <w:sz w:val="20"/>
                <w:szCs w:val="20"/>
              </w:rPr>
            </w:pPr>
            <w:r>
              <w:rPr>
                <w:rFonts w:ascii="Times" w:hAnsi="Times"/>
                <w:noProof/>
                <w:sz w:val="20"/>
              </w:rPr>
              <w:t>Proposta di modifica dell'allegato 4 dell'accordo del 1958</w:t>
            </w:r>
          </w:p>
        </w:tc>
        <w:tc>
          <w:tcPr>
            <w:tcW w:w="2977" w:type="dxa"/>
            <w:shd w:val="clear" w:color="auto" w:fill="auto"/>
          </w:tcPr>
          <w:p>
            <w:pPr>
              <w:rPr>
                <w:rFonts w:ascii="Times" w:hAnsi="Times" w:cs="Times"/>
                <w:noProof/>
                <w:sz w:val="20"/>
                <w:szCs w:val="20"/>
              </w:rPr>
            </w:pPr>
            <w:r>
              <w:rPr>
                <w:rFonts w:ascii="Times" w:hAnsi="Times"/>
                <w:noProof/>
                <w:sz w:val="20"/>
              </w:rPr>
              <w:t>ECE/TRANS/WP.29/2018/165</w:t>
            </w:r>
          </w:p>
        </w:tc>
      </w:tr>
    </w:tbl>
    <w:p>
      <w:pPr>
        <w:pStyle w:val="Default"/>
        <w:rPr>
          <w:rFonts w:eastAsia="MS Mincho"/>
          <w:noProof/>
          <w:color w:val="auto"/>
        </w:rPr>
      </w:pPr>
      <w:r>
        <w:rPr>
          <w:rFonts w:hint="eastAsia"/>
          <w:noProof/>
          <w:color w:val="auto"/>
        </w:rPr>
        <w:t xml:space="preserve"> </w:t>
      </w:r>
    </w:p>
    <w:p>
      <w:pPr>
        <w:rPr>
          <w:noProof/>
        </w:rPr>
      </w:pPr>
    </w:p>
    <w:sectPr>
      <w:footerReference w:type="default" r:id="rId16"/>
      <w:footerReference w:type="first" r:id="rId17"/>
      <w:pgSz w:w="11907" w:h="16839"/>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sz w:val="18"/>
        </w:rPr>
      </w:pPr>
      <w:r>
        <w:rPr>
          <w:rStyle w:val="FootnoteReference"/>
        </w:rPr>
        <w:footnoteRef/>
      </w:r>
      <w:r>
        <w:tab/>
      </w:r>
      <w:r>
        <w:rPr>
          <w:sz w:val="18"/>
        </w:rPr>
        <w:t xml:space="preserve">Tutti i documenti indicati nella tabella sono disponibili al seguente indirizzo: </w:t>
      </w:r>
    </w:p>
    <w:p>
      <w:pPr>
        <w:pStyle w:val="FootnoteText"/>
        <w:rPr>
          <w:sz w:val="18"/>
        </w:rPr>
      </w:pPr>
      <w:hyperlink r:id="rId1">
        <w:r>
          <w:rPr>
            <w:rStyle w:val="Hyperlink"/>
            <w:sz w:val="18"/>
          </w:rPr>
          <w:t>http://www.unece.org/trans/main/wp29/wp29wgs/wp29gen/gen2018.html</w:t>
        </w:r>
      </w:hyperlink>
      <w:r>
        <w:rPr>
          <w:rStyle w:val="Hyperlink"/>
          <w:sz w:val="18"/>
        </w:rPr>
        <w:t>.</w:t>
      </w:r>
    </w:p>
    <w:p>
      <w:pPr>
        <w:pStyle w:val="FootnoteText"/>
        <w:rPr>
          <w:sz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2942D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6C83C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BD4DD18"/>
    <w:lvl w:ilvl="0">
      <w:start w:val="1"/>
      <w:numFmt w:val="decimal"/>
      <w:pStyle w:val="ListNumber2"/>
      <w:lvlText w:val="%1."/>
      <w:lvlJc w:val="left"/>
      <w:pPr>
        <w:tabs>
          <w:tab w:val="num" w:pos="643"/>
        </w:tabs>
        <w:ind w:left="643" w:hanging="360"/>
      </w:pPr>
    </w:lvl>
  </w:abstractNum>
  <w:abstractNum w:abstractNumId="4">
    <w:nsid w:val="FFFFFF81"/>
    <w:multiLevelType w:val="singleLevel"/>
    <w:tmpl w:val="82B0373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AB94DC26"/>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76168A06"/>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8"/>
    <w:multiLevelType w:val="singleLevel"/>
    <w:tmpl w:val="923A696E"/>
    <w:lvl w:ilvl="0">
      <w:start w:val="1"/>
      <w:numFmt w:val="decimal"/>
      <w:pStyle w:val="ListNumber"/>
      <w:lvlText w:val="%1."/>
      <w:lvlJc w:val="left"/>
      <w:pPr>
        <w:tabs>
          <w:tab w:val="num" w:pos="360"/>
        </w:tabs>
        <w:ind w:left="360" w:hanging="360"/>
      </w:pPr>
    </w:lvl>
  </w:abstractNum>
  <w:abstractNum w:abstractNumId="8">
    <w:nsid w:val="FFFFFF89"/>
    <w:multiLevelType w:val="singleLevel"/>
    <w:tmpl w:val="240C621C"/>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9"/>
  </w:num>
  <w:num w:numId="11">
    <w:abstractNumId w:val="13"/>
  </w:num>
  <w:num w:numId="12">
    <w:abstractNumId w:val="21"/>
  </w:num>
  <w:num w:numId="13">
    <w:abstractNumId w:val="12"/>
  </w:num>
  <w:num w:numId="14">
    <w:abstractNumId w:val="14"/>
  </w:num>
  <w:num w:numId="15">
    <w:abstractNumId w:val="10"/>
  </w:num>
  <w:num w:numId="16">
    <w:abstractNumId w:val="20"/>
  </w:num>
  <w:num w:numId="17">
    <w:abstractNumId w:val="9"/>
  </w:num>
  <w:num w:numId="18">
    <w:abstractNumId w:val="15"/>
  </w:num>
  <w:num w:numId="19">
    <w:abstractNumId w:val="17"/>
  </w:num>
  <w:num w:numId="20">
    <w:abstractNumId w:val="18"/>
  </w:num>
  <w:num w:numId="21">
    <w:abstractNumId w:val="11"/>
  </w:num>
  <w:num w:numId="22">
    <w:abstractNumId w:val="16"/>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1474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08 16:27:0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4"/>
    <w:docVar w:name="DQCResult_UnknownFonts" w:val="0;0"/>
    <w:docVar w:name="DQCResult_UnknownStyles" w:val="0;3"/>
    <w:docVar w:name="DQCStatus" w:val="Green"/>
    <w:docVar w:name="DQCVersion" w:val="3"/>
    <w:docVar w:name="DQCWithWarnings" w:val="0"/>
    <w:docVar w:name="LW_ACCOMPAGNANT" w:val="della"/>
    <w:docVar w:name="LW_ACCOMPAGNANT.CP" w:val="della"/>
    <w:docVar w:name="LW_ANNEX_NBR_FIRST" w:val="1"/>
    <w:docVar w:name="LW_ANNEX_NBR_LAST" w:val="1"/>
    <w:docVar w:name="LW_ANNEX_UNIQUE" w:val="1"/>
    <w:docVar w:name="LW_CORRIGENDUM" w:val="&lt;UNUSED&gt;"/>
    <w:docVar w:name="LW_COVERPAGE_EXISTS" w:val="True"/>
    <w:docVar w:name="LW_COVERPAGE_GUID" w:val="D15B64B9-598C-4374-91AC-145CF7ADA7B2"/>
    <w:docVar w:name="LW_COVERPAGE_TYPE" w:val="1"/>
    <w:docVar w:name="LW_CROSSREFERENCE" w:val="&lt;UNUSED&gt;"/>
    <w:docVar w:name="LW_DocType" w:val="ANNEX"/>
    <w:docVar w:name="LW_EMISSION" w:val="11.2.2019"/>
    <w:docVar w:name="LW_EMISSION_ISODATE" w:val="2019-02-11"/>
    <w:docVar w:name="LW_EMISSION_LOCATION" w:val="BRX"/>
    <w:docVar w:name="LW_EMISSION_PREFIX" w:val="Bruxelles, "/>
    <w:docVar w:name="LW_EMISSION_SUFFIX" w:val=" "/>
    <w:docVar w:name="LW_ID_DOCSTRUCTURE" w:val="COM/ANNEX"/>
    <w:docVar w:name="LW_ID_DOCTYPE" w:val="SG-017"/>
    <w:docVar w:name="LW_LANGUE" w:val="IT"/>
    <w:docVar w:name="LW_LEVEL_OF_SENSITIVITY" w:val="Standard treatment"/>
    <w:docVar w:name="LW_NOM.INST" w:val="COMMISSIONE EUROPEA"/>
    <w:docVar w:name="LW_NOM.INST_JOINTDOC" w:val="&lt;EMPTY&gt;"/>
    <w:docVar w:name="LW_OBJETACTEPRINCIPAL" w:val="relativa alla posizione che dovrà essere assunta a nome dell'Unione europea nei comitati pertinenti della commissione economica per l'Europa delle Nazioni Unite per quanto riguarda le proposte di modifica dei regolamenti UN nn. 0, 3, 4, 6, 7, 9, 10, 19, 23, 27, 38, 41, 48, 50, 51, 53, 55, 58, 62, 67, 69, 70, 73, 74, 77, 86, 87, 91, 92, 98, 104, 106, 107, 110, 112, 113, 116, 119, 122, 123 e 128, le proposte di modifica della risoluzione consolidata R.E.5., le proposte di quattro nuovi regolamenti UN e la proposta di modifica dell'allegato 4 dell'accordo del 1958"/>
    <w:docVar w:name="LW_OBJETACTEPRINCIPAL.CP" w:val="relativa alla posizione che dovrà essere assunta a nome dell'Unione europea nei comitati pertinenti della commissione economica per l'Europa delle Nazioni Unite per quanto riguarda le proposte di modifica dei regolamenti UN nn. 0, 3, 4, 6, 7, 9, 10, 19, 23, 27, 38, 41, 48, 50, 51, 53, 55, 58, 62, 67, 69, 70, 73, 74, 77, 86, 87, 91, 92, 98, 104, 106, 107, 110, 112, 113, 116, 119, 122, 123 e 128, le proposte di modifica della risoluzione consolidata R.E.5., le proposte di quattro nuovi regolamenti UN e la proposta di modifica dell'allegato 4 dell'accordo del 1958"/>
    <w:docVar w:name="LW_PART_NBR" w:val="1"/>
    <w:docVar w:name="LW_PART_NBR_TOTAL" w:val="1"/>
    <w:docVar w:name="LW_REF.INST.NEW" w:val="COM"/>
    <w:docVar w:name="LW_REF.INST.NEW_ADOPTED" w:val="final"/>
    <w:docVar w:name="LW_REF.INST.NEW_TEXT" w:val="(2019) 8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LLEGATO"/>
    <w:docVar w:name="LW_TYPE.DOC.CP" w:val="ALLEGATO"/>
    <w:docVar w:name="LW_TYPEACTEPRINCIPAL" w:val="proposta di decisione del Consiglio"/>
    <w:docVar w:name="LW_TYPEACTEPRINCIPAL.CP" w:val="proposta di decision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SingleTxtGChar">
    <w:name w:val="_ Single Txt_G Char"/>
    <w:link w:val="SingleTxtG"/>
    <w:rPr>
      <w:lang w:val="it-IT"/>
    </w:rPr>
  </w:style>
  <w:style w:type="paragraph" w:customStyle="1" w:styleId="SingleTxtG">
    <w:name w:val="_ Single Txt_G"/>
    <w:basedOn w:val="Normal"/>
    <w:link w:val="SingleTxtGChar"/>
    <w:pPr>
      <w:suppressAutoHyphens/>
      <w:spacing w:before="0" w:line="240" w:lineRule="atLeast"/>
      <w:ind w:left="1134" w:right="1134"/>
    </w:pPr>
    <w:rPr>
      <w:rFonts w:asciiTheme="minorHAnsi" w:hAnsiTheme="minorHAnsi" w:cstheme="minorBidi"/>
      <w:sz w:val="22"/>
    </w:rPr>
  </w:style>
  <w:style w:type="paragraph" w:styleId="ListNumber5">
    <w:name w:val="List Number 5"/>
    <w:basedOn w:val="Normal"/>
    <w:semiHidden/>
    <w:pPr>
      <w:numPr>
        <w:numId w:val="9"/>
      </w:numPr>
      <w:suppressAutoHyphens/>
      <w:spacing w:before="0" w:after="0" w:line="240" w:lineRule="atLeast"/>
      <w:jc w:val="left"/>
    </w:pPr>
    <w:rPr>
      <w:rFonts w:eastAsia="Times New Roman"/>
      <w:sz w:val="20"/>
      <w:szCs w:val="20"/>
    </w:rPr>
  </w:style>
  <w:style w:type="paragraph" w:customStyle="1" w:styleId="Default">
    <w:name w:val="Default"/>
    <w:basedOn w:val="Normal"/>
    <w:pPr>
      <w:autoSpaceDE w:val="0"/>
      <w:autoSpaceDN w:val="0"/>
      <w:spacing w:before="0" w:after="0"/>
      <w:jc w:val="left"/>
    </w:pPr>
    <w:rPr>
      <w:rFonts w:eastAsia="SimSun"/>
      <w:color w:val="000000"/>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SingleTxtGChar">
    <w:name w:val="_ Single Txt_G Char"/>
    <w:link w:val="SingleTxtG"/>
    <w:rPr>
      <w:lang w:val="it-IT"/>
    </w:rPr>
  </w:style>
  <w:style w:type="paragraph" w:customStyle="1" w:styleId="SingleTxtG">
    <w:name w:val="_ Single Txt_G"/>
    <w:basedOn w:val="Normal"/>
    <w:link w:val="SingleTxtGChar"/>
    <w:pPr>
      <w:suppressAutoHyphens/>
      <w:spacing w:before="0" w:line="240" w:lineRule="atLeast"/>
      <w:ind w:left="1134" w:right="1134"/>
    </w:pPr>
    <w:rPr>
      <w:rFonts w:asciiTheme="minorHAnsi" w:hAnsiTheme="minorHAnsi" w:cstheme="minorBidi"/>
      <w:sz w:val="22"/>
    </w:rPr>
  </w:style>
  <w:style w:type="paragraph" w:styleId="ListNumber5">
    <w:name w:val="List Number 5"/>
    <w:basedOn w:val="Normal"/>
    <w:semiHidden/>
    <w:pPr>
      <w:numPr>
        <w:numId w:val="9"/>
      </w:numPr>
      <w:suppressAutoHyphens/>
      <w:spacing w:before="0" w:after="0" w:line="240" w:lineRule="atLeast"/>
      <w:jc w:val="left"/>
    </w:pPr>
    <w:rPr>
      <w:rFonts w:eastAsia="Times New Roman"/>
      <w:sz w:val="20"/>
      <w:szCs w:val="20"/>
    </w:rPr>
  </w:style>
  <w:style w:type="paragraph" w:customStyle="1" w:styleId="Default">
    <w:name w:val="Default"/>
    <w:basedOn w:val="Normal"/>
    <w:pPr>
      <w:autoSpaceDE w:val="0"/>
      <w:autoSpaceDN w:val="0"/>
      <w:spacing w:before="0" w:after="0"/>
      <w:jc w:val="left"/>
    </w:pPr>
    <w:rPr>
      <w:rFonts w:eastAsia="SimSun"/>
      <w:color w:val="000000"/>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9432">
      <w:bodyDiv w:val="1"/>
      <w:marLeft w:val="0"/>
      <w:marRight w:val="0"/>
      <w:marTop w:val="0"/>
      <w:marBottom w:val="0"/>
      <w:divBdr>
        <w:top w:val="none" w:sz="0" w:space="0" w:color="auto"/>
        <w:left w:val="none" w:sz="0" w:space="0" w:color="auto"/>
        <w:bottom w:val="none" w:sz="0" w:space="0" w:color="auto"/>
        <w:right w:val="none" w:sz="0" w:space="0" w:color="auto"/>
      </w:divBdr>
    </w:div>
    <w:div w:id="450436389">
      <w:bodyDiv w:val="1"/>
      <w:marLeft w:val="0"/>
      <w:marRight w:val="0"/>
      <w:marTop w:val="0"/>
      <w:marBottom w:val="0"/>
      <w:divBdr>
        <w:top w:val="none" w:sz="0" w:space="0" w:color="auto"/>
        <w:left w:val="none" w:sz="0" w:space="0" w:color="auto"/>
        <w:bottom w:val="none" w:sz="0" w:space="0" w:color="auto"/>
        <w:right w:val="none" w:sz="0" w:space="0" w:color="auto"/>
      </w:divBdr>
    </w:div>
    <w:div w:id="1276327042">
      <w:bodyDiv w:val="1"/>
      <w:marLeft w:val="0"/>
      <w:marRight w:val="0"/>
      <w:marTop w:val="0"/>
      <w:marBottom w:val="0"/>
      <w:divBdr>
        <w:top w:val="none" w:sz="0" w:space="0" w:color="auto"/>
        <w:left w:val="none" w:sz="0" w:space="0" w:color="auto"/>
        <w:bottom w:val="none" w:sz="0" w:space="0" w:color="auto"/>
        <w:right w:val="none" w:sz="0" w:space="0" w:color="auto"/>
      </w:divBdr>
    </w:div>
    <w:div w:id="1751465643">
      <w:bodyDiv w:val="1"/>
      <w:marLeft w:val="0"/>
      <w:marRight w:val="0"/>
      <w:marTop w:val="0"/>
      <w:marBottom w:val="0"/>
      <w:divBdr>
        <w:top w:val="none" w:sz="0" w:space="0" w:color="auto"/>
        <w:left w:val="none" w:sz="0" w:space="0" w:color="auto"/>
        <w:bottom w:val="none" w:sz="0" w:space="0" w:color="auto"/>
        <w:right w:val="none" w:sz="0" w:space="0" w:color="auto"/>
      </w:divBdr>
    </w:div>
    <w:div w:id="1767771731">
      <w:bodyDiv w:val="1"/>
      <w:marLeft w:val="0"/>
      <w:marRight w:val="0"/>
      <w:marTop w:val="0"/>
      <w:marBottom w:val="0"/>
      <w:divBdr>
        <w:top w:val="none" w:sz="0" w:space="0" w:color="auto"/>
        <w:left w:val="none" w:sz="0" w:space="0" w:color="auto"/>
        <w:bottom w:val="none" w:sz="0" w:space="0" w:color="auto"/>
        <w:right w:val="none" w:sz="0" w:space="0" w:color="auto"/>
      </w:divBdr>
    </w:div>
    <w:div w:id="1815756432">
      <w:bodyDiv w:val="1"/>
      <w:marLeft w:val="0"/>
      <w:marRight w:val="0"/>
      <w:marTop w:val="0"/>
      <w:marBottom w:val="0"/>
      <w:divBdr>
        <w:top w:val="none" w:sz="0" w:space="0" w:color="auto"/>
        <w:left w:val="none" w:sz="0" w:space="0" w:color="auto"/>
        <w:bottom w:val="none" w:sz="0" w:space="0" w:color="auto"/>
        <w:right w:val="none" w:sz="0" w:space="0" w:color="auto"/>
      </w:divBdr>
    </w:div>
    <w:div w:id="183641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gen201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04E52-37F4-402C-B4E8-A669D5ADD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3</TotalTime>
  <Pages>7</Pages>
  <Words>1369</Words>
  <Characters>8641</Characters>
  <Application>Microsoft Office Word</Application>
  <DocSecurity>0</DocSecurity>
  <Lines>392</Lines>
  <Paragraphs>232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BRASSART Odile (GROW)</dc:creator>
  <cp:lastModifiedBy>WES PDFC Administrator</cp:lastModifiedBy>
  <cp:revision>8</cp:revision>
  <cp:lastPrinted>2019-01-10T13:37:00Z</cp:lastPrinted>
  <dcterms:created xsi:type="dcterms:W3CDTF">2019-02-05T14:24:00Z</dcterms:created>
  <dcterms:modified xsi:type="dcterms:W3CDTF">2019-02-08T15:27:00Z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5.84.2.0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First annex">
    <vt:lpwstr>1</vt:lpwstr>
  </property>
  <property fmtid="{D5CDD505-2E9C-101B-9397-08002B2CF9AE}" pid="7" name="Last annex">
    <vt:lpwstr>1</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SG-017</vt:lpwstr>
  </property>
  <property fmtid="{D5CDD505-2E9C-101B-9397-08002B2CF9AE}" pid="11" name="Level of sensitivity">
    <vt:lpwstr>Standard treatment</vt:lpwstr>
  </property>
  <property fmtid="{D5CDD505-2E9C-101B-9397-08002B2CF9AE}" pid="12" name="Unique annex">
    <vt:lpwstr>1</vt:lpwstr>
  </property>
  <property fmtid="{D5CDD505-2E9C-101B-9397-08002B2CF9AE}" pid="13" name="DQCStatus">
    <vt:lpwstr>Green (DQC version 03)</vt:lpwstr>
  </property>
</Properties>
</file>