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41FF3EA-A0B3-42EA-9095-4B585E6C369C"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PRÍLOHA</w:t>
      </w:r>
    </w:p>
    <w:p>
      <w:pPr>
        <w:rPr>
          <w:noProof/>
        </w:rPr>
      </w:pPr>
    </w:p>
    <w:tbl>
      <w:tblPr>
        <w:tblW w:w="9371" w:type="dxa"/>
        <w:tblInd w:w="93" w:type="dxa"/>
        <w:tblLook w:val="04A0" w:firstRow="1" w:lastRow="0" w:firstColumn="1" w:lastColumn="0" w:noHBand="0" w:noVBand="1"/>
      </w:tblPr>
      <w:tblGrid>
        <w:gridCol w:w="1858"/>
        <w:gridCol w:w="4111"/>
        <w:gridCol w:w="3402"/>
      </w:tblGrid>
      <w:tr>
        <w:trPr>
          <w:trHeight w:val="630"/>
        </w:trPr>
        <w:tc>
          <w:tcPr>
            <w:tcW w:w="1858"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Predpis č.</w:t>
            </w:r>
          </w:p>
        </w:tc>
        <w:tc>
          <w:tcPr>
            <w:tcW w:w="4111"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Názov bodu programu rokovania</w:t>
            </w:r>
          </w:p>
        </w:tc>
        <w:tc>
          <w:tcPr>
            <w:tcW w:w="3402"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Referenčné číslo dokumentu</w:t>
            </w:r>
            <w:r>
              <w:rPr>
                <w:rStyle w:val="FootnoteReference"/>
                <w:b/>
                <w:noProof/>
              </w:rPr>
              <w:footnoteReference w:id="1"/>
            </w: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0</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0 (jednotné ustanovenia na účely medzinárodného typového schvaľovania celých vozidiel)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p>
          <w:p>
            <w:pPr>
              <w:rPr>
                <w:rFonts w:ascii="Times" w:hAnsi="Times" w:cs="Times"/>
                <w:noProof/>
                <w:sz w:val="20"/>
                <w:szCs w:val="20"/>
              </w:rPr>
            </w:pPr>
            <w:r>
              <w:rPr>
                <w:rFonts w:ascii="Times" w:hAnsi="Times"/>
                <w:noProof/>
                <w:sz w:val="20"/>
              </w:rPr>
              <w:t>ECE/TRANS/WP.29/2018/82</w:t>
            </w:r>
          </w:p>
          <w:p>
            <w:pPr>
              <w:rPr>
                <w:rFonts w:ascii="Times" w:hAnsi="Times" w:cs="Times"/>
                <w:noProof/>
                <w:sz w:val="20"/>
                <w:szCs w:val="20"/>
              </w:rPr>
            </w:pP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03 predpisu OSN č. 3 (spätné odrazové zariadenia)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ECE/TRANS/WP.29/2018/91/Rev.1</w:t>
            </w:r>
          </w:p>
        </w:tc>
      </w:tr>
      <w:tr>
        <w:trPr>
          <w:trHeight w:val="705"/>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4 (zariadenia na osvetlenie zadných registračných tabuliek)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ECE/TRANS/WP.29/2018/92/Rev.1</w:t>
            </w: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02 predpisu OSN č. 6 (smerové svietidlá)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ECE/TRANS/WP.29/2018/93/Rev.1</w:t>
            </w: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03 predpisu OSN č. 7 (obrysové, brzdové a doplnkové svietidlá)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ECE/TRANS/WP.29/2018/94/Rev.1</w:t>
            </w: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08 predpisu OSN č. 9 (hlučnosť trojkolesových vozidiel)</w:t>
            </w:r>
          </w:p>
          <w:p>
            <w:pPr>
              <w:rPr>
                <w:rFonts w:ascii="Times" w:hAnsi="Times" w:cs="Times"/>
                <w:noProof/>
                <w:sz w:val="20"/>
                <w:szCs w:val="20"/>
              </w:rPr>
            </w:pP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ECE/TRANS/WP.29/2019/6</w:t>
            </w:r>
          </w:p>
        </w:tc>
      </w:tr>
      <w:tr>
        <w:trPr>
          <w:trHeight w:val="510"/>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novej série zmien 06 predpisu č. 10 (elektromagnetická kompatibilita)</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ECE/TRANS/WP.29/2019/20</w:t>
            </w:r>
          </w:p>
        </w:tc>
      </w:tr>
      <w:tr>
        <w:trPr>
          <w:trHeight w:val="765"/>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19</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05 predpisu OSN č. 19 (predné hmlové svietidlá)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ECE/TRANS/WP.29/2018/95/Rev.1</w:t>
            </w:r>
          </w:p>
        </w:tc>
      </w:tr>
      <w:tr>
        <w:trPr>
          <w:trHeight w:val="765"/>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23</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23 (spätné svietidlá)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ECE/TRANS/WP.29/2018/96/Rev.1</w:t>
            </w:r>
          </w:p>
        </w:tc>
      </w:tr>
      <w:tr>
        <w:trPr>
          <w:trHeight w:val="585"/>
        </w:trPr>
        <w:tc>
          <w:tcPr>
            <w:tcW w:w="1858"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27</w:t>
            </w:r>
          </w:p>
        </w:tc>
        <w:tc>
          <w:tcPr>
            <w:tcW w:w="4111"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05 predpisu OSN č. 27 (výstražné trojuholníky) </w:t>
            </w:r>
          </w:p>
        </w:tc>
        <w:tc>
          <w:tcPr>
            <w:tcW w:w="3402"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ECE/TRANS/WP.29/2018/97/Rev.1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38 (zadné hmlové svietidlá)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ECE/TRANS/WP.29/2018/98/Rev.1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41</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7 k sérii zmien 04 predpisu OSN č. 41</w:t>
            </w:r>
            <w:r>
              <w:rPr>
                <w:rFonts w:ascii="Times" w:hAnsi="Times" w:cs="Times"/>
                <w:noProof/>
                <w:sz w:val="20"/>
                <w:szCs w:val="20"/>
              </w:rPr>
              <w:br/>
            </w:r>
            <w:r>
              <w:rPr>
                <w:rFonts w:ascii="Times" w:hAnsi="Times"/>
                <w:noProof/>
                <w:sz w:val="20"/>
              </w:rPr>
              <w:t>(emisie hluku motocyklov)</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ECE/TRANS/WP.29/2019/3</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12 k sérii zmien 06 predpisu OSN č. 48 (montáž zariadení na osvetlenie a svetelnú signalizáciu)</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ECE/TRANS/WP.29/2018/99/Rev.2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13 k sérii zmien 05 predpisu OSN č. 48 (montáž zariadení na osvetlenie </w:t>
            </w:r>
            <w:r>
              <w:rPr>
                <w:rFonts w:ascii="Times" w:hAnsi="Times"/>
                <w:noProof/>
                <w:sz w:val="20"/>
              </w:rPr>
              <w:lastRenderedPageBreak/>
              <w:t>a svetelnú signalizáciu)</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lastRenderedPageBreak/>
              <w:t>ECE/TRANS/WP.29/2018/100/Rev.1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lastRenderedPageBreak/>
              <w:t>48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18 k sérii zmien 04 predpisu OSN č. 48 (montáž zariadení na osvetlenie a svetelnú signalizáciu)</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6 k sérii zmien 03 predpisu OSN č. 48 (montáž zariadení na osvetlenie a svetelnú signalizáciu)</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50</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50 (obrysové, brzdové, smerové svietidlá pre mopedy a motocykle)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ECE/TRANS/WP.29/2018/103/Rev.1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51</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5 k sérii zmien 03 predpisu OSN č. 51 </w:t>
            </w:r>
            <w:r>
              <w:rPr>
                <w:rFonts w:ascii="Times" w:hAnsi="Times" w:cs="Times"/>
                <w:noProof/>
                <w:sz w:val="20"/>
                <w:szCs w:val="20"/>
              </w:rPr>
              <w:br/>
            </w:r>
            <w:r>
              <w:rPr>
                <w:rFonts w:ascii="Times" w:hAnsi="Times"/>
                <w:noProof/>
                <w:sz w:val="20"/>
              </w:rPr>
              <w:t>(hlučnosť vozidiel kategórie M a N)</w:t>
            </w:r>
          </w:p>
          <w:p>
            <w:pPr>
              <w:rPr>
                <w:rFonts w:ascii="Times" w:hAnsi="Times" w:cs="Times"/>
                <w:noProof/>
                <w:sz w:val="20"/>
                <w:szCs w:val="20"/>
              </w:rPr>
            </w:pP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ECE/TRANS/WP.29/2019/4/Rev.1</w:t>
            </w:r>
          </w:p>
          <w:p>
            <w:pPr>
              <w:rPr>
                <w:rFonts w:ascii="Times" w:hAnsi="Times" w:cs="Times"/>
                <w:noProof/>
                <w:sz w:val="20"/>
                <w:szCs w:val="20"/>
              </w:rPr>
            </w:pP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 k sérii zmien 02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ECE/TRANS/WP.29/2018/86/Rev.1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20 k sérii zmien 01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ECE/TRANS/WP.29/2018/87/Rev.2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 k sérii zmien 02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ECE/TRANS/WP.29/2018/104/Rev.1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20 k sérii zmien 01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ECE/TRANS/WP.29/2018/105</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3 k sérii zmien 02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ECE/TRANS/WP.29/2019/17</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21 k sérii zmien 01 predpisu OSN č. 53 (montáž zariadení na osvetlenie a svetelnú signalizáciu pre vozidlá kategórie L3)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ECE/TRANS/WP.29/2019/18</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55</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1 k revízii 2 predpisu OSN č. 55 (mechanické spojovacie zariadenia)</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korigenda 1 k revízii 3 predpisu OSN č. 58 (zadná ochrana proti podbehnutiu)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62</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3 k predpisu OSN č. 62 (zariadenia proti krádeži pre mopedy/motocykle)</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ECE/TRANS/WP.29/2019/8</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16 k sérii zmien 01 predpisu OSN č. 67 (vozidlá poháňané skvapalneným ropným plynom)</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ECE/TRANS/WP.29/2019/9</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lastRenderedPageBreak/>
              <w:t>67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 k sérii zmien 02 predpisu OSN č. 67 (vozidlá poháňané skvapalneným ropným plynom)</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ECE/TRANS/WP.29/2019/10</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69</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02 predpisu OSN č. 69 (zadné označovacie tabuľky pre pomalé vozidlá)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ECE/TRANS/WP.29/2018/106/Rev.1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70</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02 predpisu OSN č. 70 (zadné označovacie tabuľky pre ťažké a dlhé vozidlá)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ECE/TRANS/WP.29/2018/107/Rev.1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2 k sérii zmien 01 predpisu OSN č. 73 </w:t>
            </w:r>
            <w:r>
              <w:rPr>
                <w:rFonts w:ascii="Times" w:hAnsi="Times" w:cs="Times"/>
                <w:noProof/>
                <w:sz w:val="20"/>
                <w:szCs w:val="20"/>
              </w:rPr>
              <w:br/>
            </w:r>
            <w:r>
              <w:rPr>
                <w:rFonts w:ascii="Times" w:hAnsi="Times"/>
                <w:noProof/>
                <w:sz w:val="20"/>
              </w:rPr>
              <w:t>(bočné ochranné zariadenia)</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74</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11 k sérii zmien 01 predpisu OSN č. 74 (montáž zariadení na osvetlenie a svetelnú signalizáciu pre mopedy)</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ECE/TRANS/WP.29/2018/108/Rev.2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77 (parkovacie svietidlá)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ECE/TRANS/WP.29/2018/109/Rev.1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1 k sérii zmien 01 predpisu OSN č. 86 (montáž zariadení na osvetlenie a svetelnú signalizáciu pre poľnohospodárske vozidlá)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ECE/TRANS/WP.29/2018/110/Rev.1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7 k pôvodnej verzii predpisu OSN č. 86 (montáž zariadení na osvetlenie a svetelnú signalizáciu pre poľnohospodárske vozidlá)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01 predpisu OSN č. 87 (denné svietidlá)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ECE/TRANS/WP.29/2018/112/Rev.1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91</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01 predpisu OSN č. 91 (bočné obrysové svietidlá)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ECE/TRANS/WP.29/2018/113/Rev.1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92</w:t>
            </w:r>
          </w:p>
        </w:tc>
        <w:tc>
          <w:tcPr>
            <w:tcW w:w="4111" w:type="dxa"/>
            <w:tcBorders>
              <w:top w:val="single" w:sz="4" w:space="0" w:color="auto"/>
              <w:left w:val="nil"/>
              <w:bottom w:val="single" w:sz="4" w:space="0" w:color="auto"/>
              <w:right w:val="single" w:sz="4" w:space="0" w:color="auto"/>
            </w:tcBorders>
            <w:shd w:val="clear" w:color="auto" w:fill="auto"/>
          </w:tcPr>
          <w:p>
            <w:pPr>
              <w:ind w:left="57"/>
              <w:rPr>
                <w:rFonts w:ascii="Times" w:hAnsi="Times" w:cs="Times"/>
                <w:noProof/>
                <w:sz w:val="20"/>
                <w:szCs w:val="20"/>
              </w:rPr>
            </w:pPr>
            <w:r>
              <w:rPr>
                <w:rFonts w:ascii="Times" w:hAnsi="Times"/>
                <w:noProof/>
                <w:sz w:val="20"/>
              </w:rPr>
              <w:t>Návrh série zmien 02 k predpisu OSN č. 92 (náhradné systémy tlmenia výfuku pre motocykle)</w:t>
            </w:r>
          </w:p>
          <w:p>
            <w:pPr>
              <w:rPr>
                <w:rFonts w:ascii="Times" w:hAnsi="Times" w:cs="Times"/>
                <w:noProof/>
                <w:sz w:val="20"/>
                <w:szCs w:val="20"/>
              </w:rPr>
            </w:pP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ECE/TRANS/WP.29/2019/7</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02 predpisu OSN č. 98 (svetlomety vybavené zdrojmi svetla s plynovými výbojkami)</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ECE/TRANS/WP.29/2018/114/Rev.1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104</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01 predpisu OSN č. 104 (odrazové označenia)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ECE/TRANS/WP.29/2018/115/Rev.1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106</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17 k pôvodnej sérii zmien predpisu OSN č. 106 </w:t>
            </w:r>
            <w:r>
              <w:rPr>
                <w:rFonts w:ascii="Times" w:hAnsi="Times" w:cs="Times"/>
                <w:noProof/>
                <w:sz w:val="20"/>
                <w:szCs w:val="20"/>
              </w:rPr>
              <w:br/>
            </w:r>
            <w:r>
              <w:rPr>
                <w:rFonts w:ascii="Times" w:hAnsi="Times"/>
                <w:noProof/>
                <w:sz w:val="20"/>
              </w:rPr>
              <w:t>(pneumatiky pre poľnohospodárske vozidlá a ich prípojné vozidlá)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ECE/TRANS/WP.29/2019/5</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1 k sérii zmien 08 predpisu OSN č. 107 </w:t>
            </w:r>
            <w:r>
              <w:rPr>
                <w:rFonts w:ascii="Times" w:hAnsi="Times" w:cs="Times"/>
                <w:noProof/>
                <w:sz w:val="20"/>
                <w:szCs w:val="20"/>
              </w:rPr>
              <w:br/>
            </w:r>
            <w:r>
              <w:rPr>
                <w:rFonts w:ascii="Times" w:hAnsi="Times"/>
                <w:noProof/>
                <w:sz w:val="20"/>
              </w:rPr>
              <w:t>(vozidlá kategórie M2 a M3)</w:t>
            </w:r>
          </w:p>
          <w:p>
            <w:pPr>
              <w:rPr>
                <w:rFonts w:ascii="Times" w:hAnsi="Times" w:cs="Times"/>
                <w:noProof/>
                <w:sz w:val="20"/>
                <w:szCs w:val="20"/>
              </w:rPr>
            </w:pP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ECE/TRANS/WP.29/2019/12</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2 revízie 4 predpisu č. 107 (vozidlá kategórie M2 a M3)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ECE/TRANS/WP.29/2019/23</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2 revízie 5 predpisu č. 107 (vozidlá kategórie M2 a M3)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ECE/TRANS/WP.29/2019/24</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3 revízie 6 predpisu č. 107 (vozidlá kategórie M2 a M3)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ECE/TRANS/WP.29/2019/25</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2 revízie 7 predpisu č. 107 (vozidlá kategórie M2 a M3)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ECE/TRANS/WP.29/2019/26</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korigenda 1 revízie 8 predpisu č. 107 (vozidlá kategórie M2 a M3)</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ECE/TRANS/WP.29/2019/27</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2 k sérii zmien 03 predpisu OSN č. 110 (vozidlá s pohonom na CNG a LNG)</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ECE/TRANS/WP.29/2019/13</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04 predpisu OSN č. 110 (vozidlá s pohonom na CNG a LNG)</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ECE/TRANS/WP.29/2019/16</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112</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02 predpisu OSN č. 112 (svetlomety vyžarujúce asymetrické stretávacie svetlo)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ECE/TRANS/WP.29/2018/116/Rev.1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03 predpisu OSN č. 113 (svetlomety vyžarujúce symetrické stretávacie svetlo)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ECE/TRANS/WP.29/2018/117/Rev.1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116</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dodatku 6 k predpisu OSN č. </w:t>
            </w:r>
            <w:r>
              <w:rPr>
                <w:rFonts w:ascii="Times" w:hAnsi="Times" w:cs="Times"/>
                <w:noProof/>
                <w:sz w:val="20"/>
                <w:szCs w:val="20"/>
              </w:rPr>
              <w:br/>
            </w:r>
            <w:r>
              <w:rPr>
                <w:rFonts w:ascii="Times" w:hAnsi="Times"/>
                <w:noProof/>
                <w:sz w:val="20"/>
              </w:rPr>
              <w:t>116 (systémy zabezpečenia proti krádeži a poplachové systémy)</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ECE/TRANS/WP.29/2019/14</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119</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série zmien 02 predpisu OSN č. 119 (uhlové svietidlá)</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ECE/TRANS/WP.29/2018/118/Rev.1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122</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5 k predpisu OSN č. 122 (vykurovacie systémy)</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ECE/TRANS/WP.29/2019/15</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123</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série zmien 02 predpisu OSN č. 123 [adaptívne predné osvetľovacie systémy (AFS)]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ECE/TRANS/WP.29/2018/119/Rev.1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128</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Návrh dodatku 9 k pôvodnej verzii predpisu OSN č. 128 [zdroje svetla využívajúce svetelné diódy (LED)]</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ECE/TRANS/WP.29/2019/19</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Nový predpis OSN</w:t>
            </w:r>
          </w:p>
        </w:tc>
        <w:tc>
          <w:tcPr>
            <w:tcW w:w="4111" w:type="dxa"/>
            <w:tcBorders>
              <w:top w:val="single" w:sz="4" w:space="0" w:color="auto"/>
              <w:left w:val="nil"/>
              <w:bottom w:val="single" w:sz="4" w:space="0" w:color="auto"/>
              <w:right w:val="single" w:sz="4" w:space="0" w:color="auto"/>
            </w:tcBorders>
            <w:shd w:val="clear" w:color="auto" w:fill="auto"/>
          </w:tcPr>
          <w:p>
            <w:pPr>
              <w:pStyle w:val="SingleTxtG"/>
              <w:ind w:left="5" w:right="240" w:hanging="5"/>
              <w:jc w:val="left"/>
              <w:rPr>
                <w:rFonts w:ascii="Times" w:hAnsi="Times" w:cs="Times"/>
                <w:noProof/>
                <w:sz w:val="20"/>
                <w:szCs w:val="20"/>
              </w:rPr>
            </w:pPr>
            <w:r>
              <w:rPr>
                <w:rFonts w:ascii="Times" w:hAnsi="Times"/>
                <w:noProof/>
                <w:sz w:val="20"/>
              </w:rPr>
              <w:t>Návrh nového predpisu OSN o jednotných ustanoveniach pre typové schvaľovanie motorových vozidiel, pokiaľ ide o informačný systém na detekciu bicyklov v mŕtvom uhle</w:t>
            </w:r>
          </w:p>
        </w:tc>
        <w:tc>
          <w:tcPr>
            <w:tcW w:w="3402" w:type="dxa"/>
            <w:tcBorders>
              <w:top w:val="single" w:sz="4" w:space="0" w:color="auto"/>
              <w:left w:val="nil"/>
              <w:bottom w:val="single" w:sz="4" w:space="0" w:color="auto"/>
              <w:right w:val="single" w:sz="4" w:space="0" w:color="auto"/>
            </w:tcBorders>
            <w:shd w:val="clear" w:color="auto" w:fill="auto"/>
          </w:tcPr>
          <w:p>
            <w:pPr>
              <w:pStyle w:val="SingleTxtG"/>
              <w:ind w:left="147" w:right="141"/>
              <w:rPr>
                <w:rFonts w:ascii="Times" w:hAnsi="Times" w:cs="Times"/>
                <w:noProof/>
                <w:sz w:val="20"/>
                <w:szCs w:val="20"/>
              </w:rPr>
            </w:pPr>
            <w:r>
              <w:rPr>
                <w:rFonts w:ascii="Times" w:hAnsi="Times"/>
                <w:noProof/>
                <w:sz w:val="20"/>
              </w:rPr>
              <w:t>ECE/TRANS/WP.29/2019/28</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Nový predpis OSN</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nového predpisu OSN o zariadeniach na svetelnú signalizáciu (LSD)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ECE/TRANS/WP.29/2018/157</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Nový predpis OSN</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nového predpisu OSN o zariadeniach na osvetľovanie vozovky (RID)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ECE/TRANS/WP.29/2018/158/Rev.1</w:t>
            </w:r>
          </w:p>
        </w:tc>
      </w:tr>
      <w:tr>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Nový predpis OSN</w:t>
            </w:r>
          </w:p>
        </w:tc>
        <w:tc>
          <w:tcPr>
            <w:tcW w:w="4111"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Návrh nového predpisu OSN o spätných odrazových zariadeniach (RRD) </w:t>
            </w:r>
          </w:p>
        </w:tc>
        <w:tc>
          <w:tcPr>
            <w:tcW w:w="3402"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ECE/TRANS/WP.29/2018/159/Rev.1</w:t>
            </w:r>
          </w:p>
        </w:tc>
      </w:tr>
    </w:tbl>
    <w:p>
      <w:pPr>
        <w:spacing w:before="0" w:after="200" w:line="276" w:lineRule="auto"/>
        <w:jc w:val="left"/>
        <w:rPr>
          <w:rFonts w:asciiTheme="minorHAnsi" w:hAnsiTheme="minorHAnsi" w:cstheme="minorBidi"/>
          <w:noProof/>
          <w:sz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111"/>
        <w:gridCol w:w="2977"/>
      </w:tblGrid>
      <w:tr>
        <w:trPr>
          <w:trHeight w:val="465"/>
        </w:trPr>
        <w:tc>
          <w:tcPr>
            <w:tcW w:w="1858" w:type="dxa"/>
            <w:shd w:val="clear" w:color="auto" w:fill="auto"/>
            <w:hideMark/>
          </w:tcPr>
          <w:p>
            <w:pPr>
              <w:spacing w:before="0" w:after="0"/>
              <w:jc w:val="left"/>
              <w:rPr>
                <w:rFonts w:eastAsia="Times New Roman"/>
                <w:b/>
                <w:bCs/>
                <w:noProof/>
                <w:szCs w:val="24"/>
              </w:rPr>
            </w:pPr>
            <w:r>
              <w:rPr>
                <w:b/>
                <w:noProof/>
              </w:rPr>
              <w:t>Konsolidovaná rezolúcia č.</w:t>
            </w:r>
          </w:p>
        </w:tc>
        <w:tc>
          <w:tcPr>
            <w:tcW w:w="4111" w:type="dxa"/>
            <w:shd w:val="clear" w:color="auto" w:fill="auto"/>
            <w:hideMark/>
          </w:tcPr>
          <w:p>
            <w:pPr>
              <w:spacing w:before="0" w:after="0"/>
              <w:jc w:val="left"/>
              <w:rPr>
                <w:rFonts w:eastAsia="Times New Roman"/>
                <w:b/>
                <w:bCs/>
                <w:noProof/>
                <w:szCs w:val="24"/>
              </w:rPr>
            </w:pPr>
            <w:r>
              <w:rPr>
                <w:b/>
                <w:noProof/>
              </w:rPr>
              <w:t>Názov bodu programu rokovania</w:t>
            </w:r>
          </w:p>
        </w:tc>
        <w:tc>
          <w:tcPr>
            <w:tcW w:w="2977" w:type="dxa"/>
            <w:shd w:val="clear" w:color="auto" w:fill="auto"/>
            <w:hideMark/>
          </w:tcPr>
          <w:p>
            <w:pPr>
              <w:spacing w:before="0" w:after="0"/>
              <w:jc w:val="left"/>
              <w:rPr>
                <w:rFonts w:eastAsia="Times New Roman"/>
                <w:b/>
                <w:bCs/>
                <w:noProof/>
                <w:szCs w:val="24"/>
              </w:rPr>
            </w:pPr>
            <w:r>
              <w:rPr>
                <w:b/>
                <w:noProof/>
              </w:rPr>
              <w:t>Referenčné číslo dokumentu</w:t>
            </w:r>
          </w:p>
        </w:tc>
      </w:tr>
      <w:tr>
        <w:trPr>
          <w:trHeight w:val="600"/>
        </w:trPr>
        <w:tc>
          <w:tcPr>
            <w:tcW w:w="1858" w:type="dxa"/>
            <w:shd w:val="clear" w:color="auto" w:fill="auto"/>
          </w:tcPr>
          <w:p>
            <w:pPr>
              <w:rPr>
                <w:rFonts w:ascii="Times" w:hAnsi="Times" w:cs="Times"/>
                <w:noProof/>
                <w:sz w:val="20"/>
                <w:szCs w:val="20"/>
              </w:rPr>
            </w:pPr>
            <w:r>
              <w:rPr>
                <w:rFonts w:ascii="Times" w:hAnsi="Times"/>
                <w:noProof/>
                <w:sz w:val="20"/>
              </w:rPr>
              <w:t xml:space="preserve">R.E.5 </w:t>
            </w:r>
          </w:p>
        </w:tc>
        <w:tc>
          <w:tcPr>
            <w:tcW w:w="4111"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Návrh zmeny 3 Konsolidovanej rezolúcie o spoločnej špecifikácii kategórií zdrojov svetla (R.E.5)</w:t>
            </w:r>
          </w:p>
          <w:p>
            <w:pPr>
              <w:rPr>
                <w:rFonts w:ascii="Times" w:hAnsi="Times" w:cs="Times"/>
                <w:noProof/>
                <w:sz w:val="20"/>
                <w:szCs w:val="20"/>
              </w:rPr>
            </w:pPr>
          </w:p>
        </w:tc>
        <w:tc>
          <w:tcPr>
            <w:tcW w:w="2977" w:type="dxa"/>
            <w:shd w:val="clear" w:color="auto" w:fill="auto"/>
          </w:tcPr>
          <w:p>
            <w:pPr>
              <w:rPr>
                <w:rFonts w:ascii="Times" w:hAnsi="Times" w:cs="Times"/>
                <w:noProof/>
                <w:sz w:val="20"/>
                <w:szCs w:val="20"/>
              </w:rPr>
            </w:pPr>
            <w:r>
              <w:rPr>
                <w:rFonts w:ascii="Times" w:hAnsi="Times"/>
                <w:noProof/>
                <w:sz w:val="20"/>
              </w:rPr>
              <w:t>ECE/TRANS/WP.29/2019/29</w:t>
            </w:r>
          </w:p>
        </w:tc>
      </w:tr>
    </w:tbl>
    <w:p>
      <w:pPr>
        <w:pStyle w:val="Default"/>
        <w:rPr>
          <w:rFonts w:ascii="MS Mincho" w:eastAsia="MS Mincho"/>
          <w:noProof/>
          <w:color w:val="auto"/>
        </w:rPr>
      </w:pPr>
    </w:p>
    <w:p>
      <w:pPr>
        <w:pStyle w:val="Default"/>
        <w:rPr>
          <w:rFonts w:ascii="MS Mincho" w:eastAsia="MS Mincho"/>
          <w:noProof/>
          <w:color w:val="auto"/>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111"/>
        <w:gridCol w:w="2977"/>
      </w:tblGrid>
      <w:tr>
        <w:trPr>
          <w:trHeight w:val="465"/>
        </w:trPr>
        <w:tc>
          <w:tcPr>
            <w:tcW w:w="1858" w:type="dxa"/>
            <w:shd w:val="clear" w:color="auto" w:fill="auto"/>
            <w:hideMark/>
          </w:tcPr>
          <w:p>
            <w:pPr>
              <w:spacing w:before="0" w:after="0"/>
              <w:jc w:val="left"/>
              <w:rPr>
                <w:rFonts w:eastAsia="Times New Roman"/>
                <w:b/>
                <w:bCs/>
                <w:noProof/>
                <w:szCs w:val="24"/>
              </w:rPr>
            </w:pPr>
            <w:r>
              <w:rPr>
                <w:b/>
                <w:noProof/>
              </w:rPr>
              <w:t>Revidovaná dohoda z roku 1958</w:t>
            </w:r>
          </w:p>
        </w:tc>
        <w:tc>
          <w:tcPr>
            <w:tcW w:w="4111" w:type="dxa"/>
            <w:shd w:val="clear" w:color="auto" w:fill="auto"/>
            <w:hideMark/>
          </w:tcPr>
          <w:p>
            <w:pPr>
              <w:spacing w:before="0" w:after="0"/>
              <w:jc w:val="left"/>
              <w:rPr>
                <w:rFonts w:eastAsia="Times New Roman"/>
                <w:b/>
                <w:bCs/>
                <w:noProof/>
                <w:szCs w:val="24"/>
              </w:rPr>
            </w:pPr>
            <w:r>
              <w:rPr>
                <w:b/>
                <w:noProof/>
              </w:rPr>
              <w:t>Názov bodu programu rokovania</w:t>
            </w:r>
          </w:p>
        </w:tc>
        <w:tc>
          <w:tcPr>
            <w:tcW w:w="2977" w:type="dxa"/>
            <w:shd w:val="clear" w:color="auto" w:fill="auto"/>
            <w:hideMark/>
          </w:tcPr>
          <w:p>
            <w:pPr>
              <w:spacing w:before="0" w:after="0"/>
              <w:jc w:val="left"/>
              <w:rPr>
                <w:rFonts w:eastAsia="Times New Roman"/>
                <w:b/>
                <w:bCs/>
                <w:noProof/>
                <w:szCs w:val="24"/>
              </w:rPr>
            </w:pPr>
            <w:r>
              <w:rPr>
                <w:b/>
                <w:noProof/>
              </w:rPr>
              <w:t>Referenčné číslo dokumentu</w:t>
            </w:r>
          </w:p>
        </w:tc>
      </w:tr>
      <w:tr>
        <w:trPr>
          <w:trHeight w:val="600"/>
        </w:trPr>
        <w:tc>
          <w:tcPr>
            <w:tcW w:w="1858" w:type="dxa"/>
            <w:shd w:val="clear" w:color="auto" w:fill="auto"/>
          </w:tcPr>
          <w:p>
            <w:pPr>
              <w:rPr>
                <w:rFonts w:ascii="Times" w:hAnsi="Times" w:cs="Times"/>
                <w:noProof/>
                <w:sz w:val="20"/>
                <w:szCs w:val="20"/>
              </w:rPr>
            </w:pPr>
            <w:r>
              <w:rPr>
                <w:rFonts w:ascii="Times" w:hAnsi="Times"/>
                <w:noProof/>
                <w:sz w:val="20"/>
              </w:rPr>
              <w:t xml:space="preserve">Príloha 4 </w:t>
            </w:r>
          </w:p>
        </w:tc>
        <w:tc>
          <w:tcPr>
            <w:tcW w:w="4111"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Návrh zmeny prílohy 4 k dohode z roku 1958</w:t>
            </w:r>
          </w:p>
        </w:tc>
        <w:tc>
          <w:tcPr>
            <w:tcW w:w="2977" w:type="dxa"/>
            <w:shd w:val="clear" w:color="auto" w:fill="auto"/>
          </w:tcPr>
          <w:p>
            <w:pPr>
              <w:rPr>
                <w:rFonts w:ascii="Times" w:hAnsi="Times" w:cs="Times"/>
                <w:noProof/>
                <w:sz w:val="20"/>
                <w:szCs w:val="20"/>
              </w:rPr>
            </w:pPr>
            <w:r>
              <w:rPr>
                <w:rFonts w:ascii="Times" w:hAnsi="Times"/>
                <w:noProof/>
                <w:sz w:val="20"/>
              </w:rPr>
              <w:t>ECE/TRANS/WP.29/2018/165</w:t>
            </w:r>
          </w:p>
        </w:tc>
      </w:tr>
    </w:tbl>
    <w:p>
      <w:pPr>
        <w:pStyle w:val="Default"/>
        <w:rPr>
          <w:noProof/>
          <w:color w:val="auto"/>
        </w:rPr>
      </w:pP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Všetky dokumenty uvedené v tabuľke sú dostupné na tejto internetovej stránke: </w:t>
      </w:r>
    </w:p>
    <w:p>
      <w:pPr>
        <w:pStyle w:val="FootnoteText"/>
        <w:rPr>
          <w:sz w:val="18"/>
        </w:rPr>
      </w:pPr>
      <w:hyperlink r:id="rId1">
        <w:r>
          <w:rPr>
            <w:rStyle w:val="Hyperlink"/>
            <w:sz w:val="18"/>
          </w:rPr>
          <w:t>http://www.unece.org/trans/main/wp29/wp29wgs/wp29gen/gen2018.html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7: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741FF3EA-A0B3-42EA-9095-4B585E6C369C"/>
    <w:docVar w:name="LW_COVERPAGE_TYPE" w:val="1"/>
    <w:docVar w:name="LW_CROSSREFERENCE" w:val="&lt;UNUSED&gt;"/>
    <w:docVar w:name="LW_DocType" w:val="ANNEX"/>
    <w:docVar w:name="LW_EMISSION" w:val="11. 2. 2019"/>
    <w:docVar w:name="LW_EMISSION_ISODATE" w:val="2019-02-11"/>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zícii, ktorá sa má prija\u357? v&lt;LWCR:NBS&gt;mene Európskej únie v&lt;LWCR:NBS&gt;príslu\u353?ných výboroch Európskej hospodárskej komisie Organizácie Spojených národov, pokia\u318? ide o&lt;LWCR:NBS&gt;návrhy zmien predpisov OSN \u269?. 0, 3, 4, 6, 7, 9, 10, 19, 23, 27, 38, 41, 48, 50, 51, 53, 55, 58, 62, 67, 69, 70, 73, 74, 77, 86, 87, 91, 92, 98, 104, 106, 107, 110, 112, 113, 116, 119, 122, 123 a&lt;LWCR:NBS&gt;128, návrh zmeny konsolidovanej rezolúcie R.E.5, návrhy \u353?tyroch nových predpisov OSN a&lt;LWCR:NBS&gt;návrh zmeny prílohy 4 k&lt;LWCR:NBS&gt;dohode z&lt;LWCR:NBS&gt;roku 1958"/>
    <w:docVar w:name="LW_OBJETACTEPRINCIPAL.CP" w:val="o pozícii, ktorá sa má prija\u357? v mene Európskej únie v príslu\u353?ných výboroch Európskej hospodárskej komisie Organizácie Spojených národov, pokia\u318? ide o návrhy zmien predpisov OSN \u269?. 0, 3, 4, 6, 7, 9, 10, 19, 23, 27, 38, 41, 48, 50, 51, 53, 55, 58, 62, 67, 69, 70, 73, 74, 77, 86, 87, 91, 92, 98, 104, 106, 107, 110, 112, 113, 116, 119, 122, 123 a 128, návrh zmeny konsolidovanej rezolúcie R.E.5, návrhy \u353?tyroch nových predpisov OSN a návrh zmeny prílohy 4 k dohode z roku 1958"/>
    <w:docVar w:name="LW_PART_NBR" w:val="1"/>
    <w:docVar w:name="LW_PART_NBR_TOTAL" w:val="1"/>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sk-SK"/>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sk-SK"/>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3AA8-0A68-4B15-8DF1-A4DA99DE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1106</Words>
  <Characters>6958</Characters>
  <Application>Microsoft Office Word</Application>
  <DocSecurity>0</DocSecurity>
  <Lines>331</Lines>
  <Paragraphs>230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WES PDFC Administrator</cp:lastModifiedBy>
  <cp:revision>8</cp:revision>
  <cp:lastPrinted>2019-01-10T13:37:00Z</cp:lastPrinted>
  <dcterms:created xsi:type="dcterms:W3CDTF">2019-02-08T11:18:00Z</dcterms:created>
  <dcterms:modified xsi:type="dcterms:W3CDTF">2019-02-08T15:27:00Z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