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AA3CAA9-E02F-47E0-866F-8BC45184BA1C" style="width:450.75pt;height:333.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KOMISIJAS ZIŅOJUMS EIROPAS PARLAMENTAM UN PADOMEI</w:t>
      </w:r>
    </w:p>
    <w:p>
      <w:pPr>
        <w:pStyle w:val="Titreobjet"/>
        <w:rPr>
          <w:noProof/>
        </w:rPr>
      </w:pPr>
      <w:r>
        <w:rPr>
          <w:noProof/>
        </w:rPr>
        <w:t>par to deleģēto pilnvaru īstenošanu, kas Komisijai piešķirtas saskaņā ar Eiropas Parlamenta un Padomes Regulu (EK) Nr. 1760/2000, ar ko izveido liellopu identifikācijas un reģistrācijas sistēmu un paredz liellopu gaļas un liellopu gaļas produktu marķēšanu, kā arī atceļ Padomes Regulu (EK) Nr. 820/97</w:t>
      </w:r>
    </w:p>
    <w:p>
      <w:pPr>
        <w:spacing w:before="120" w:after="120" w:line="240" w:lineRule="auto"/>
        <w:ind w:left="567" w:hanging="567"/>
        <w:jc w:val="both"/>
        <w:rPr>
          <w:rFonts w:ascii="Times New Roman" w:hAnsi="Times New Roman" w:cs="Times New Roman"/>
          <w:b/>
          <w:noProof/>
          <w:sz w:val="24"/>
          <w:szCs w:val="24"/>
        </w:rPr>
      </w:pPr>
      <w:r>
        <w:rPr>
          <w:rFonts w:ascii="Times New Roman" w:hAnsi="Times New Roman"/>
          <w:b/>
          <w:noProof/>
          <w:sz w:val="24"/>
        </w:rPr>
        <w:t>1.</w:t>
      </w:r>
      <w:r>
        <w:rPr>
          <w:noProof/>
        </w:rPr>
        <w:tab/>
      </w:r>
      <w:r>
        <w:rPr>
          <w:rFonts w:ascii="Times New Roman" w:hAnsi="Times New Roman"/>
          <w:b/>
          <w:noProof/>
          <w:sz w:val="24"/>
        </w:rPr>
        <w:t>Ievads un juridiskais pamats</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Eiropas Parlamenta un Padomes Regulas (EK) Nr. 1760/2000 (turpmāk “Liellopu identifikācijas regula”)</w:t>
      </w:r>
      <w:r>
        <w:rPr>
          <w:noProof/>
          <w:vertAlign w:val="superscript"/>
        </w:rPr>
        <w:footnoteReference w:id="1"/>
      </w:r>
      <w:r>
        <w:rPr>
          <w:rFonts w:ascii="Times New Roman" w:hAnsi="Times New Roman"/>
          <w:noProof/>
          <w:sz w:val="24"/>
        </w:rPr>
        <w:t xml:space="preserve"> 22.b panta 2. punktā noteikts, ka Komisija iesniedz Eiropas Parlamentam un Padomei ziņojumu par to deleģēto pilnvaru īstenošanu, kas Komisijai piešķirtas saskaņā ar minēto regulu. Ziņojums jāsagatavo ne vēlāk kā deviņus mēnešus pirms dienas, kad beidzas piecu gadu deleģējuma laikposms, kas sākās 2014. gada 17 jūlijā. Pilnvaru deleģēšana tiek automātiski pagarināta uz tāda paša ilguma laikposmiem, ja vien Eiropas Parlaments vai Padome neiebilst pret šādu pagarinājumu vēlākais trīs mēnešus pirms katra laikposma beigām.</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w:t>
      </w:r>
      <w:r>
        <w:rPr>
          <w:noProof/>
        </w:rPr>
        <w:tab/>
      </w:r>
      <w:r>
        <w:rPr>
          <w:rFonts w:ascii="Times New Roman" w:hAnsi="Times New Roman"/>
          <w:b/>
          <w:noProof/>
          <w:sz w:val="24"/>
        </w:rPr>
        <w:t>Deleģēšanas īstenošana</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Liellopu identifikācijas regulas 22.b panta 2. punkts attiecas uz pilnvarām pieņemt deleģētos aktus, kas Komisijai piešķirtas ar minētās regulas 4. panta 1., 3. un 5. punktu, 4.a panta 2. punktu, 5. pantu, 6. panta 2. punktu, 7. panta 1., 2. un 6. punktu, 13. panta 6. punktu, 14. pantu un 15.a pantu.</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Precīzāk:</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Liellopu identifikācijas regulas 4. panta 1. punkts Komisiju pilnvaro pievienot identifikācijas līdzekļus I pielikumā iekļautajam sarakstam, vienlaikus nodrošinot to izmantojamību, lai garantētu, ka identifikācijas līdzekļi ir pielāgoti tehnikas attīstībai. Šajā ziņā pašlaik nav nekādas informācijas par tehnoloģijas attīstību attiecībā uz jauniem liellopu identifikācijas līdzekļiem.  Tādēļ pirms deleģētā akta sagatavošanas saistībā ar jauniem liellopu identifikācijas līdzekļiem ir jāziņo par turpmāko tehnikas attīstību;</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Liellopu identifikācijas regulas 4. panta 3. punkts Komisiju pilnvaro pieņemt prasības attiecībā uz I pielikumā noteiktajiem identifikācijas līdzekļiem un pārejas pasākumus, kas vajadzīgi, lai ieviestu konkrētus identifikācijas līdzekļus. Pamatojoties uz šā pilnvarojuma priekšteci, bijušo 10. panta a) punktu, Komisija ar Regulu (EK) Nr. 911/2004 ir pieņēmusi prasības attiecībā uz parastajām krotālijām</w:t>
      </w:r>
      <w:bookmarkStart w:id="2" w:name="_Ref530058003"/>
      <w:r>
        <w:rPr>
          <w:rStyle w:val="FootnoteReference"/>
          <w:rFonts w:ascii="Times New Roman" w:hAnsi="Times New Roman"/>
          <w:noProof/>
          <w:sz w:val="24"/>
        </w:rPr>
        <w:footnoteReference w:id="2"/>
      </w:r>
      <w:bookmarkEnd w:id="2"/>
      <w:r>
        <w:rPr>
          <w:rFonts w:ascii="Times New Roman" w:hAnsi="Times New Roman"/>
          <w:noProof/>
          <w:sz w:val="24"/>
        </w:rPr>
        <w:t>. Tā kā Liellopu identifikācijas regula jāgroza ar Regulu (ES) 2016/429</w:t>
      </w:r>
      <w:bookmarkStart w:id="3" w:name="_Ref530056361"/>
      <w:r>
        <w:rPr>
          <w:rStyle w:val="FootnoteReference"/>
          <w:rFonts w:ascii="Times New Roman" w:hAnsi="Times New Roman"/>
          <w:noProof/>
          <w:sz w:val="24"/>
        </w:rPr>
        <w:footnoteReference w:id="3"/>
      </w:r>
      <w:bookmarkEnd w:id="3"/>
      <w:r>
        <w:rPr>
          <w:rFonts w:ascii="Times New Roman" w:hAnsi="Times New Roman"/>
          <w:noProof/>
          <w:sz w:val="24"/>
        </w:rPr>
        <w:t>, svītrojot 1. līdz 10. pantu, prasības attiecībā uz elektroniskiem identifikācijas līdzekļiem Komisija pieņem saskaņā ar pilnvarām, kas Komisijai piešķirtas ar Dzīvnieku veselības tiesību akta 118. panta 1. punkta a) apakšpunktu un 120. panta 2. punkta c) apakšpunktu;</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Liellopu identifikācijas regulas 4. panta 5. punkts Komisiju pilnvaro pieņemt prasības attiecībā uz alternatīviem identifikācijas līdzekļiem, ko piemēro liellopiem, kuri ir paredzēti kultūras un sporta pasākumiem, izņemot gadatirgus un izstādes, tostarp pārejas pasākumus, kas vajadzīgi šo identifikācijas līdzekļu ieviešanai. Pamatojoties uz šā pilnvarojuma priekšteci, bijušo 4. panta 1. punktu, Komisija šādas prasības pieņēma ar Regulu (EK) Nr. 644/2005</w:t>
      </w:r>
      <w:r>
        <w:rPr>
          <w:rStyle w:val="FootnoteReference"/>
          <w:rFonts w:ascii="Times New Roman" w:hAnsi="Times New Roman"/>
          <w:noProof/>
          <w:sz w:val="24"/>
        </w:rPr>
        <w:footnoteReference w:id="4"/>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Liellopu identifikācijas regulas 4.a panta 2. punkts Komisiju pilnvaro noteikt īpašos apstākļus, kādos dalībvalstis var pagarināt identifikācijas līdzekļu piemērošanai noteiktos maksimālos laikposmus.  Ar Lēmumiem 2004/764/EK</w:t>
      </w:r>
      <w:r>
        <w:rPr>
          <w:rStyle w:val="FootnoteReference"/>
          <w:rFonts w:ascii="Times New Roman" w:hAnsi="Times New Roman"/>
          <w:noProof/>
          <w:sz w:val="24"/>
        </w:rPr>
        <w:footnoteReference w:id="5"/>
      </w:r>
      <w:r>
        <w:rPr>
          <w:rFonts w:ascii="Times New Roman" w:hAnsi="Times New Roman"/>
          <w:noProof/>
          <w:sz w:val="24"/>
        </w:rPr>
        <w:t xml:space="preserve"> un 2006/28/EK</w:t>
      </w:r>
      <w:r>
        <w:rPr>
          <w:rStyle w:val="FootnoteReference"/>
          <w:rFonts w:ascii="Times New Roman" w:hAnsi="Times New Roman"/>
          <w:noProof/>
          <w:sz w:val="24"/>
        </w:rPr>
        <w:footnoteReference w:id="6"/>
      </w:r>
      <w:r>
        <w:rPr>
          <w:rFonts w:ascii="Times New Roman" w:hAnsi="Times New Roman"/>
          <w:noProof/>
          <w:sz w:val="24"/>
        </w:rPr>
        <w:t xml:space="preserve"> tika pieņemtas īpašas prasības par liellopiem, kas tiek turēti dabas rezervātos Nīderlandē, un par piena ražošanai neizmantotu zīdītājgovju teļiem (pirms Liellopu identifikācijas regula tika grozīta ar Regulu (ES) Nr. 653/2014</w:t>
      </w:r>
      <w:r>
        <w:rPr>
          <w:rStyle w:val="FootnoteReference"/>
          <w:rFonts w:ascii="Times New Roman" w:hAnsi="Times New Roman"/>
          <w:noProof/>
          <w:sz w:val="24"/>
        </w:rPr>
        <w:footnoteReference w:id="7"/>
      </w:r>
      <w:r>
        <w:rPr>
          <w:rFonts w:ascii="Times New Roman" w:hAnsi="Times New Roman"/>
          <w:noProof/>
          <w:sz w:val="24"/>
        </w:rPr>
        <w:t>). Šajā posmā netika apspriesti papildu apstākļi, kuru dēļ ar deleģētu aktu būtu jāpieņem īpašas prasības;</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Liellopu identifikācijas regulas 5. pants un 6. panta 2. punkts Komisiju pilnvaro paredzēt noteikumus par datiem, ar kuriem jāapmainās dalībvalstu datorizētajām datubāzēm, un par informāciju no datorizētās datubāzes, kas jāiekļauj dzīvnieku pasē, kā arī pārejas pasākumus. Tā kā Liellopu identifikācijas regula jāgroza ar Regulu (ES) 2016/429</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rPr>
        <w:t>, svītrojot 1. līdz 10. pantu, šos noteikumus Komisija pieņem saskaņā ar pilnvarām, kas tai piešķirtas ar Dzīvnieku veselības tiesību akta 118. panta 1. punkta b) un c) apakšpunktu;</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f)</w:t>
      </w:r>
      <w:r>
        <w:rPr>
          <w:noProof/>
        </w:rPr>
        <w:tab/>
      </w:r>
      <w:r>
        <w:rPr>
          <w:rFonts w:ascii="Times New Roman" w:hAnsi="Times New Roman"/>
          <w:noProof/>
          <w:sz w:val="24"/>
        </w:rPr>
        <w:t>Liellopu identifikācijas regulas 7. panta 1. punkts Komisiju pilnvaro noteikt ārkārtas apstākļus, kādos dalībvalstis var pagarināt maksimālo laikposmu, kurā liellopu turētājiem ir pienākums ziņot kompetentajai iestādei par jebkādu saimniecības dzīvnieku pārvietošanu uz saimniecību un no tās, kā arī par visiem dzīvnieku piedzimšanas un nāves gadījumiem saimniecībā. Pamatojoties uz šā pilnvarojuma priekšteci, bijušo 7. panta 1. punktu, Komisija šādas prasības pieņēma ar Regulu (EK) Nr.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g)</w:t>
      </w:r>
      <w:r>
        <w:rPr>
          <w:noProof/>
        </w:rPr>
        <w:tab/>
      </w:r>
      <w:r>
        <w:rPr>
          <w:rFonts w:ascii="Times New Roman" w:hAnsi="Times New Roman"/>
          <w:noProof/>
          <w:sz w:val="24"/>
        </w:rPr>
        <w:t>Liellopu identifikācijas regulas 7. panta 2. punkts Komisiju pilnvaro sarakstā noteikt dalībvalstis vai daļu no tām, kurās piemēro īpašus noteikumus attiecībā uz sezonālu ganīšanu, tostarp laikposmu, īpašiem dzīvnieku turētāju pienākumiem un noteikumiem par saimniecību reģistrēšanu un šādu liellopu pārvietošanas reģistrēšanu. Komisija šos noteikumus pieņēma ar Lēmumu 2001/672/EK</w:t>
      </w:r>
      <w:r>
        <w:rPr>
          <w:rStyle w:val="FootnoteReference"/>
          <w:rFonts w:ascii="Times New Roman" w:hAnsi="Times New Roman"/>
          <w:noProof/>
          <w:sz w:val="24"/>
        </w:rPr>
        <w:footnoteReference w:id="8"/>
      </w:r>
      <w:r>
        <w:rPr>
          <w:rFonts w:ascii="Times New Roman" w:hAnsi="Times New Roman"/>
          <w:noProof/>
          <w:sz w:val="24"/>
        </w:rPr>
        <w:t>, tādēļ netika apspriesti papildu apstākļi, kuru dēļ ar deleģētu aktu būtu jāpieņem īpašas prasības;</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h)</w:t>
      </w:r>
      <w:r>
        <w:rPr>
          <w:noProof/>
        </w:rPr>
        <w:tab/>
      </w:r>
      <w:r>
        <w:rPr>
          <w:rFonts w:ascii="Times New Roman" w:hAnsi="Times New Roman"/>
          <w:noProof/>
          <w:sz w:val="24"/>
        </w:rPr>
        <w:t>Liellopu identifikācijas regulas 7. panta 6. punkts Komisiju pilnvaro paredzēt noteikumus par informāciju, kas iekļaujama saimniecības reģistrā. Pamatojoties uz šā pilnvarojuma priekšteci, bijušo 10. panta c) punktu, Komisija šādas prasības pieņēma ar Regulu (EK) Nr.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 xml:space="preserve">i) </w:t>
      </w:r>
      <w:r>
        <w:rPr>
          <w:noProof/>
        </w:rPr>
        <w:tab/>
      </w:r>
      <w:r>
        <w:rPr>
          <w:rFonts w:ascii="Times New Roman" w:hAnsi="Times New Roman"/>
          <w:noProof/>
          <w:sz w:val="24"/>
        </w:rPr>
        <w:t>Liellopu identifikācijas regulas 13. panta 6. punkts Komisiju pilnvaro gadījumiem, kad dzīvnieks ļoti īsu laiku uzturas dalībvalstī vai trešā valstī, kurā tas dzimis vai nokauts, noteikt vienkāršotus izcelsmes marķēšanas noteikumus, lai izvairītos no nevajadzīgas atkārtošanās. Pamatojoties uz šā pilnvarojuma priekšteci, bijušo 19. pantu, Komisija šādus noteikumus noteica Regulas (EK) Nr. 1825/2000</w:t>
      </w:r>
      <w:r>
        <w:rPr>
          <w:rStyle w:val="FootnoteReference"/>
          <w:rFonts w:ascii="Times New Roman" w:hAnsi="Times New Roman"/>
          <w:noProof/>
          <w:sz w:val="24"/>
        </w:rPr>
        <w:footnoteReference w:id="9"/>
      </w:r>
      <w:r>
        <w:rPr>
          <w:rFonts w:ascii="Times New Roman" w:hAnsi="Times New Roman"/>
          <w:noProof/>
          <w:sz w:val="24"/>
        </w:rPr>
        <w:t xml:space="preserve"> 3. pantā; </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j)</w:t>
      </w:r>
      <w:r>
        <w:rPr>
          <w:noProof/>
        </w:rPr>
        <w:tab/>
      </w:r>
      <w:r>
        <w:rPr>
          <w:rFonts w:ascii="Times New Roman" w:hAnsi="Times New Roman"/>
          <w:noProof/>
          <w:sz w:val="24"/>
        </w:rPr>
        <w:t>Liellopu identifikācijas regulas 14. pants Komisiju pilnvaro noteikt tādus noteikumus liellopu gaļas atgriezumu un izcirstas liellopu gaļas marķēšanai, kas būtu līdzvērtīgi noteikumiem, kas noteikti maltajai gaļai. Pamatojoties uz šā pilnvarojuma priekšteci, bijušo 19. pantu, Komisija šādas prasības pieņēma ar Regulu (EK) Nr. 1825/2000</w:t>
      </w:r>
      <w:r>
        <w:rPr>
          <w:rFonts w:ascii="Times New Roman" w:hAnsi="Times New Roman"/>
          <w:noProof/>
          <w:sz w:val="24"/>
          <w:vertAlign w:val="superscript"/>
        </w:rPr>
        <w:t>9</w:t>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k)</w:t>
      </w:r>
      <w:r>
        <w:rPr>
          <w:noProof/>
        </w:rPr>
        <w:tab/>
      </w:r>
      <w:r>
        <w:rPr>
          <w:rFonts w:ascii="Times New Roman" w:hAnsi="Times New Roman"/>
          <w:noProof/>
          <w:sz w:val="24"/>
        </w:rPr>
        <w:t>Liellopu identifikācijas regulas 15.a pants Komisiju pilnvaroto noteikt definīcijas un prasības, kas piemērojamas terminiem vai terminu kategorijām, kurus uzņēmēji var brīvprātīgi iekļaut marķējumā. Kopš brīvprātīgā marķēšana tika vienkāršota ar Regulu (ES) Nr. 653/2014</w:t>
      </w:r>
      <w:r>
        <w:rPr>
          <w:rFonts w:ascii="Times New Roman" w:hAnsi="Times New Roman"/>
          <w:noProof/>
          <w:sz w:val="24"/>
          <w:vertAlign w:val="superscript"/>
        </w:rPr>
        <w:t>7</w:t>
      </w:r>
      <w:r>
        <w:rPr>
          <w:rFonts w:ascii="Times New Roman" w:hAnsi="Times New Roman"/>
          <w:noProof/>
          <w:sz w:val="24"/>
        </w:rPr>
        <w:t>, ar ko groza Liellopu identifikācijas regulu, nav bijis apstākļu, kas norādītu uz vajadzību reglamentēt šādas definīcijas un prasības ar deleģēto aktu.</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3.</w:t>
      </w:r>
      <w:r>
        <w:rPr>
          <w:noProof/>
        </w:rPr>
        <w:tab/>
      </w:r>
      <w:r>
        <w:rPr>
          <w:rFonts w:ascii="Times New Roman" w:hAnsi="Times New Roman"/>
          <w:b/>
          <w:noProof/>
          <w:sz w:val="24"/>
        </w:rPr>
        <w:t>Secinājumi</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 xml:space="preserve">Līdz šim Komisija ir papildinājusi Liellopu identifikācijas regulas prasības attiecībā uz jautājumiem, kas minēti regulas 4. panta 3. un 5. punktā, 7. panta 1. un 6. punktā, 13. panta 6. punktā un 14. pantā.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Šajā posmā Komisija neuzskata, ka būtu jāsagatavo deleģētie akti saistībā ar 15.a pantā minētajām deleģētajām pilnvarām, jo nav noteikta īpaša nepieciešamība vēl vairāk saskaņot brīvprātīgu liellopu gaļas marķēšanu. Turklāt Regulā (ES) Nr. 1169/2011</w:t>
      </w:r>
      <w:r>
        <w:rPr>
          <w:rStyle w:val="FootnoteReference"/>
          <w:rFonts w:ascii="Times New Roman" w:hAnsi="Times New Roman"/>
          <w:noProof/>
          <w:sz w:val="24"/>
        </w:rPr>
        <w:footnoteReference w:id="10"/>
      </w:r>
      <w:r>
        <w:rPr>
          <w:rFonts w:ascii="Times New Roman" w:hAnsi="Times New Roman"/>
          <w:noProof/>
          <w:sz w:val="24"/>
        </w:rPr>
        <w:t xml:space="preserve"> paredzētos spēkā esošos horizontālos noteikumus par pārtikas produktu informācijas sniegšanu patērētājiem uzskata par pietiekamiem.</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Komisija šajā posmā neuzskata, ka būtu jāsagatavo deleģētie akti saistībā ar deleģētajām pilnvarām, kas minētas Liellopu identifikācijas regulas 4. panta 1. punktā, 4.a panta 2. punktā, 5. pantā, 6. panta 2. punktā vai 7. panta 2. punktā, jo šī regula jāgroza ar Regulu (ES) 2016/429</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rPr>
        <w:t xml:space="preserve">, no 2021. gada 21. aprīļa svītrojot 1. līdz 10. pantu.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Komisija uzskata, ka jaunas prasības vai noteikumi par liellopu identifikāciju būtu jāpieņem, pamatojoties uz deleģētajām pilnvarām, kas Komisijai piešķirtas ar Dzīvnieku veselības tiesību aktu.</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2289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rPr>
          <w:rFonts w:ascii="Times New Roman" w:hAnsi="Times New Roman" w:cs="Times New Roman"/>
        </w:rPr>
      </w:pPr>
      <w:r>
        <w:rPr>
          <w:rStyle w:val="FootnoteReference"/>
          <w:rFonts w:ascii="Times New Roman" w:hAnsi="Times New Roman"/>
        </w:rPr>
        <w:footnoteRef/>
      </w:r>
      <w:r>
        <w:tab/>
      </w:r>
      <w:r>
        <w:rPr>
          <w:rFonts w:ascii="Times New Roman" w:hAnsi="Times New Roman"/>
          <w:sz w:val="16"/>
        </w:rPr>
        <w:t>Eiropas Parlamenta un Padomes 2000. gada 17. jūlija Regula (EK) Nr. 1760/2000, ar ko izveido liellopu identifikācijas un reģistrācijas sistēmu un paredz liellopu gaļas un liellopu gaļas produktu marķēšanu, kā arī atceļ Padomes Regulu (EK) Nr. 820/97 (OV L 204, 11.8.2000., 1. lpp.).</w:t>
      </w:r>
    </w:p>
  </w:footnote>
  <w:footnote w:id="2">
    <w:p>
      <w:pPr>
        <w:pStyle w:val="FootnoteText"/>
        <w:ind w:left="567" w:hanging="567"/>
        <w:rPr>
          <w:rFonts w:ascii="Times New Roman" w:hAnsi="Times New Roman" w:cs="Times New Roman"/>
          <w:sz w:val="16"/>
          <w:szCs w:val="16"/>
        </w:rPr>
      </w:pPr>
      <w:r>
        <w:rPr>
          <w:rStyle w:val="FootnoteReference"/>
          <w:rFonts w:ascii="Times New Roman" w:hAnsi="Times New Roman"/>
        </w:rPr>
        <w:footnoteRef/>
      </w:r>
      <w:r>
        <w:tab/>
      </w:r>
      <w:r>
        <w:rPr>
          <w:rFonts w:ascii="Times New Roman" w:hAnsi="Times New Roman"/>
          <w:sz w:val="16"/>
        </w:rPr>
        <w:t>Komisijas 2004. gada 29. aprīļa Regula (EK) Nr. 911/2004, ar ko īsteno Eiropas Parlamenta un Padomes Regulu (EK) Nr. 1760/2000 attiecībā uz krotālijām, pasēm un saimniecības reģistriem (OV L 163, 30.4.2004., 65. lpp.).</w:t>
      </w:r>
    </w:p>
  </w:footnote>
  <w:footnote w:id="3">
    <w:p>
      <w:pPr>
        <w:pStyle w:val="FootnoteText"/>
        <w:ind w:left="567" w:hanging="567"/>
      </w:pPr>
      <w:r>
        <w:rPr>
          <w:rFonts w:ascii="Times New Roman" w:hAnsi="Times New Roman"/>
          <w:sz w:val="16"/>
        </w:rPr>
        <w:footnoteRef/>
      </w:r>
      <w:r>
        <w:tab/>
      </w:r>
      <w:r>
        <w:rPr>
          <w:rFonts w:ascii="Times New Roman" w:hAnsi="Times New Roman"/>
          <w:sz w:val="16"/>
        </w:rPr>
        <w:t>Eiropas Parlamenta un Padomes 2016. gada 9. marta Regula (ES) 2016/429 par pārnēsājamām dzīvnieku slimībām un ar ko groza un atceļ konkrētus aktus dzīvnieku veselības jomā (“Dzīvnieku veselības tiesību akts”) (OV L 84, 31.3.2016., 1. lpp.).</w:t>
      </w:r>
    </w:p>
  </w:footnote>
  <w:footnote w:id="4">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Komisijas 2005. gada 27. aprīļa Regula (EK) Nr. 644/2005, ar ko atļauj īpašu identifikācijas sistēmu liellopiem, kurus audzē apstiprinātās telpās kultūrvēsturiskiem mērķiem, kā paredzēts Eiropas Parlamenta un Padomes Regulā (EK) Nr. 1760/2000 (OV L 107, 28.4.2005., 18. lpp.).</w:t>
      </w:r>
    </w:p>
  </w:footnote>
  <w:footnote w:id="5">
    <w:p>
      <w:pPr>
        <w:pStyle w:val="FootnoteText"/>
        <w:ind w:left="567" w:hanging="567"/>
      </w:pPr>
      <w:r>
        <w:rPr>
          <w:rFonts w:ascii="Times New Roman" w:hAnsi="Times New Roman"/>
          <w:sz w:val="16"/>
        </w:rPr>
        <w:footnoteRef/>
      </w:r>
      <w:r>
        <w:tab/>
      </w:r>
      <w:r>
        <w:rPr>
          <w:rFonts w:ascii="Times New Roman" w:hAnsi="Times New Roman"/>
          <w:sz w:val="16"/>
        </w:rPr>
        <w:t>Komisijas 2004. gada 22. oktobra Lēmums 2004/764/EK par maksimālā termiņa pagarināšanu, kas noteikts ausu krotāliju ieviešanai attiecībā uz atsevišķiem liellopiem, kas tiek turēti dabas rezervātos Nīderlandē (OV L 339, 16.11.2004., 9. lpp.).</w:t>
      </w:r>
    </w:p>
  </w:footnote>
  <w:footnote w:id="6">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Komisijas 2006. gada 18. janvāra Lēmums 2006/28/EK par maksimālā laikposma pagarināšanu, kurā zināmiem liellopiem ieliek krotālijas (OV L 19, 24.1.2006., 32. lpp.).</w:t>
      </w:r>
    </w:p>
  </w:footnote>
  <w:footnote w:id="7">
    <w:p>
      <w:pPr>
        <w:pStyle w:val="FootnoteText"/>
        <w:ind w:left="567" w:hanging="567"/>
      </w:pPr>
      <w:r>
        <w:rPr>
          <w:rFonts w:ascii="Times New Roman" w:hAnsi="Times New Roman"/>
          <w:sz w:val="16"/>
        </w:rPr>
        <w:footnoteRef/>
      </w:r>
      <w:r>
        <w:tab/>
      </w:r>
      <w:r>
        <w:rPr>
          <w:rFonts w:ascii="Times New Roman" w:hAnsi="Times New Roman"/>
          <w:sz w:val="16"/>
        </w:rPr>
        <w:t>Eiropas Parlamenta un Padomes 2014. gada 15. maija Regula (ES) Nr. 653/2014, ar ko attiecībā uz liellopu elektronisko identifikāciju un liellopu gaļas marķēšanu groza Regulu (EK) Nr. 1760/2000 (OV L 189, 27.6.2014., 33. lpp.).</w:t>
      </w:r>
    </w:p>
  </w:footnote>
  <w:footnote w:id="8">
    <w:p>
      <w:pPr>
        <w:pStyle w:val="FootnoteText"/>
        <w:ind w:left="567" w:hanging="567"/>
      </w:pPr>
      <w:r>
        <w:rPr>
          <w:rFonts w:ascii="Times New Roman" w:hAnsi="Times New Roman"/>
          <w:sz w:val="16"/>
        </w:rPr>
        <w:footnoteRef/>
      </w:r>
      <w:r>
        <w:tab/>
      </w:r>
      <w:r>
        <w:rPr>
          <w:rFonts w:ascii="Times New Roman" w:hAnsi="Times New Roman"/>
          <w:sz w:val="16"/>
        </w:rPr>
        <w:t>Komisijas 2001. gada 20. augusta Lēmums 2001/672/EK, ar ko paredz īpašus noteikumus liellopu pārvietošanai, kad tie izvesti vasaras ganībās kalnu apgabalos (OV L 235, 4.9.2001., 23. lpp.).</w:t>
      </w:r>
    </w:p>
  </w:footnote>
  <w:footnote w:id="9">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Komisijas 2000. gada 25. augusta Regula (EK) Nr. 1825/2000, ar ko nosaka sīki izstrādātus noteikumus Eiropas Parlamenta un Padomes Regulas (EK) Nr. 1760/2000 piemērošanai attiecībā uz liellopu gaļas un liellopu gaļas produktu marķēšanu (OV L 2016, 26.8.2000., 8. lpp.).</w:t>
      </w:r>
    </w:p>
  </w:footnote>
  <w:footnote w:id="10">
    <w:p>
      <w:pPr>
        <w:pStyle w:val="FootnoteText"/>
        <w:ind w:left="567" w:hanging="567"/>
      </w:pPr>
      <w:r>
        <w:rPr>
          <w:rFonts w:ascii="Times New Roman" w:hAnsi="Times New Roman"/>
          <w:sz w:val="16"/>
        </w:rPr>
        <w:footnoteRef/>
      </w:r>
      <w:r>
        <w:tab/>
      </w:r>
      <w:r>
        <w:rPr>
          <w:rFonts w:ascii="Times New Roman" w:hAnsi="Times New Roman"/>
          <w:sz w:val="16"/>
        </w:rPr>
        <w:t>Eiropas Parlamenta un Padomes 2011. gada 25. oktobra Regula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(OV L 304, 22.11.2011., 18.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562"/>
    <w:multiLevelType w:val="hybridMultilevel"/>
    <w:tmpl w:val="CCDA7F32"/>
    <w:lvl w:ilvl="0" w:tplc="A11C24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AA3CAA9-E02F-47E0-866F-8BC45184BA1C"/>
    <w:docVar w:name="LW_COVERPAGE_TYPE" w:val="1"/>
    <w:docVar w:name="LW_CROSSREFERENCE" w:val="&lt;UNUSED&gt;"/>
    <w:docVar w:name="LW_DocType" w:val="NORMAL"/>
    <w:docVar w:name="LW_EMISSION" w:val="11.2.2019"/>
    <w:docVar w:name="LW_EMISSION_ISODATE" w:val="2019-02-11"/>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ar to dele\u291?\u275?to pilnvaru \u299?steno\u353?anu, kas Komisijai pie\u353?\u311?irtas saska\u326?\u257? ar Eiropas Parlamenta un Padomes Regulu (EK) Nr. 1760/2000, ar ko izveido liellopu identifik\u257?cijas un re\u291?istr\u257?cijas sist\u275?mu un paredz liellopu ga\u316?as un liellopu ga\u316?as produktu mar\u311?\u275?\u353?anu, k\u257? ar\u299? atce\u316? Padomes Regulu (EK) Nr. 820/97"/>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39D414-F4DB-4C7D-8FC4-79991D71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1074</Words>
  <Characters>6909</Characters>
  <Application>Microsoft Office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SANTE/7131/2018-EN CIS</vt:lpstr>
    </vt:vector>
  </TitlesOfParts>
  <Manager/>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SANTE/7131/2018-EN</dc:title>
  <dc:subject>REPORT</dc:subject>
  <dc:creator/>
  <cp:keywords>7131</cp:keywords>
  <dc:description>Outlook 17,1,2019</dc:description>
  <cp:lastModifiedBy>WES PDFC Administrator</cp:lastModifiedBy>
  <cp:revision>19</cp:revision>
  <cp:lastPrinted>2019-01-17T08:56:00Z</cp:lastPrinted>
  <dcterms:created xsi:type="dcterms:W3CDTF">2019-01-17T10:19:00Z</dcterms:created>
  <dcterms:modified xsi:type="dcterms:W3CDTF">2019-02-04T16:01:00Z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