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7A" w:rsidRPr="00DD7ECB" w:rsidRDefault="00DD7ECB">
      <w:pPr>
        <w:pStyle w:val="Pagedecouverture"/>
        <w:rPr>
          <w:noProof/>
        </w:rPr>
      </w:pPr>
      <w:r w:rsidRPr="00DD7E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1A211D2-7985-4F91-8E90-DB9E26CED60C" style="width:450.25pt;height:409.45pt">
            <v:imagedata r:id="rId12" o:title=""/>
          </v:shape>
        </w:pict>
      </w:r>
    </w:p>
    <w:p w:rsidR="008D437A" w:rsidRPr="00DD7ECB" w:rsidRDefault="008D437A">
      <w:pPr>
        <w:rPr>
          <w:noProof/>
        </w:rPr>
        <w:sectPr w:rsidR="008D437A" w:rsidRPr="00DD7EC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8D437A" w:rsidRPr="00DD7ECB" w:rsidRDefault="00DD7ECB">
      <w:pPr>
        <w:pStyle w:val="Exposdesmotifstitre"/>
        <w:rPr>
          <w:noProof/>
        </w:rPr>
      </w:pPr>
      <w:r w:rsidRPr="00DD7ECB">
        <w:rPr>
          <w:noProof/>
        </w:rPr>
        <w:lastRenderedPageBreak/>
        <w:t>MEABHRÁN MÍNIÚCHÁIN</w:t>
      </w:r>
    </w:p>
    <w:p w:rsidR="008D437A" w:rsidRPr="00DD7ECB" w:rsidRDefault="00DD7ECB">
      <w:pPr>
        <w:pStyle w:val="ManualHeading1"/>
        <w:rPr>
          <w:noProof/>
        </w:rPr>
      </w:pPr>
      <w:r w:rsidRPr="00DD7ECB">
        <w:rPr>
          <w:noProof/>
        </w:rPr>
        <w:t>1.</w:t>
      </w:r>
      <w:r w:rsidRPr="00DD7ECB">
        <w:rPr>
          <w:noProof/>
        </w:rPr>
        <w:tab/>
        <w:t>COMHTHÉACS AN TOGRA</w:t>
      </w:r>
    </w:p>
    <w:p w:rsidR="008D437A" w:rsidRPr="00DD7ECB" w:rsidRDefault="00DD7ECB">
      <w:pPr>
        <w:pStyle w:val="ManualHeading2"/>
        <w:rPr>
          <w:rFonts w:eastAsia="Arial Unicode MS"/>
          <w:noProof/>
        </w:rPr>
      </w:pPr>
      <w:r w:rsidRPr="00DD7ECB">
        <w:rPr>
          <w:noProof/>
          <w:color w:val="000000"/>
          <w:u w:color="000000"/>
          <w:bdr w:val="nil"/>
        </w:rPr>
        <w:t>•</w:t>
      </w:r>
      <w:r w:rsidRPr="00DD7ECB">
        <w:rPr>
          <w:noProof/>
        </w:rPr>
        <w:tab/>
        <w:t>Forais agus cuspóirí an togra</w:t>
      </w:r>
    </w:p>
    <w:p w:rsidR="008D437A" w:rsidRPr="00DD7ECB" w:rsidRDefault="00DD7E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 w:rsidRPr="00DD7ECB">
        <w:rPr>
          <w:noProof/>
        </w:rPr>
        <w:t xml:space="preserve">An 29 Márta 2017, thug an Ríocht Aontaithe fógra go raibh rún aici </w:t>
      </w:r>
      <w:r w:rsidRPr="00DD7ECB">
        <w:rPr>
          <w:noProof/>
        </w:rPr>
        <w:t>tarraingt siar as an Aontas de bhun Airteagal 50 den Chonradh ar an Aontas Eorpach. Dá bhrí sin, mura ndaingneofar an Comhaontú um Tharraingt Siar</w:t>
      </w:r>
      <w:r w:rsidRPr="00DD7ECB">
        <w:rPr>
          <w:rStyle w:val="FootnoteReference"/>
          <w:noProof/>
        </w:rPr>
        <w:footnoteReference w:id="2"/>
      </w:r>
      <w:r w:rsidRPr="00DD7ECB">
        <w:rPr>
          <w:noProof/>
        </w:rPr>
        <w:t>, scoirfidh dlí príomhúil agus dlí tánaisteach an Aontais d'fheidhm a bheith acu maidir leis an Ríocht Aontai</w:t>
      </w:r>
      <w:r w:rsidRPr="00DD7ECB">
        <w:rPr>
          <w:noProof/>
        </w:rPr>
        <w:t>the ón 30 Márta 2019 (“dáta an tarraingt siar”). As sin amach, beidh an Ríocht Aontaithe ina tríú tír.</w:t>
      </w:r>
    </w:p>
    <w:p w:rsidR="008D437A" w:rsidRPr="00DD7ECB" w:rsidRDefault="00DD7E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 w:rsidRPr="00DD7ECB">
        <w:rPr>
          <w:noProof/>
        </w:rPr>
        <w:t>Má tharraingíonn an Ríocht Aontaithe siar as an Aontas gan chomhaontú, déanfaidh sin difear do bhailíocht údaruithe sábháilteachta arna n</w:t>
      </w:r>
      <w:r w:rsidRPr="00DD7ECB">
        <w:rPr>
          <w:noProof/>
        </w:rPr>
        <w:noBreakHyphen/>
      </w:r>
      <w:r w:rsidRPr="00DD7ECB">
        <w:rPr>
          <w:noProof/>
        </w:rPr>
        <w:t xml:space="preserve">eisiúint faoi Airteagal 11 de Threoir 2004/49/CE do bhainisteoirí bonneagair chun bonneagar trasteorann a nascann an tAontas agus an Ríocht Aontaithe a bhainistiú agus a oibriú. </w:t>
      </w:r>
    </w:p>
    <w:p w:rsidR="008D437A" w:rsidRPr="00DD7ECB" w:rsidRDefault="00DD7E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 w:rsidRPr="00DD7ECB">
        <w:rPr>
          <w:noProof/>
        </w:rPr>
        <w:t>Sa Teachtaireacht ón gCoimisiún darb ainm ‘Preparing for the withdrawal of th</w:t>
      </w:r>
      <w:r w:rsidRPr="00DD7ECB">
        <w:rPr>
          <w:noProof/>
        </w:rPr>
        <w:t>e United Kingdom from the European Union on 30 March 2019: a Contingency Action Plan’</w:t>
      </w:r>
      <w:r w:rsidRPr="00DD7ECB">
        <w:rPr>
          <w:rStyle w:val="FootnoteReference"/>
          <w:noProof/>
        </w:rPr>
        <w:footnoteReference w:id="3"/>
      </w:r>
      <w:r w:rsidRPr="00DD7ECB">
        <w:rPr>
          <w:noProof/>
        </w:rPr>
        <w:t xml:space="preserve"> leagtar amach na prionsabail is bonn leis na bearta teagmhasacha, lena n</w:t>
      </w:r>
      <w:r w:rsidRPr="00DD7ECB">
        <w:rPr>
          <w:noProof/>
        </w:rPr>
        <w:noBreakHyphen/>
        <w:t>áirítear nach leigheas iad ar easpa bearta ullmhachta ag páirtithe leasmhara ná ar na moilleanna</w:t>
      </w:r>
      <w:r w:rsidRPr="00DD7ECB">
        <w:rPr>
          <w:noProof/>
        </w:rPr>
        <w:t xml:space="preserve"> ar a gcur chun feidhme. Sa Teachtaireacht sin, rinne an Coimisiún liosta de na bearta a mheas sé a bheith riachtanach, agus chuir sé de mheabhrú léi go bhféadfadh gá a bheith le bearta breise uair is faide anonn.</w:t>
      </w:r>
    </w:p>
    <w:p w:rsidR="008D437A" w:rsidRPr="00DD7ECB" w:rsidRDefault="00DD7E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 w:rsidRPr="00DD7ECB">
        <w:rPr>
          <w:noProof/>
        </w:rPr>
        <w:t>D’iarr an Chomhairle Eorpach arís (Airteag</w:t>
      </w:r>
      <w:r w:rsidRPr="00DD7ECB">
        <w:rPr>
          <w:noProof/>
        </w:rPr>
        <w:t xml:space="preserve">al 50) an 13 Nollaig 2018 go gcuirfí dlús leis an obair ar ullmhacht ar gach leibhéal i dtaca le hiarmhairtí tharraingt siar na Ríochta Aontaithe agus go gcuirfí san áireamh na torthaí uile ab fhéidir a bheith ar an tarraingt siar sin. </w:t>
      </w:r>
    </w:p>
    <w:p w:rsidR="008D437A" w:rsidRPr="00DD7ECB" w:rsidRDefault="00DD7E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 w:rsidRPr="00DD7ECB">
        <w:rPr>
          <w:noProof/>
        </w:rPr>
        <w:t>Phléigh an Coimisiú</w:t>
      </w:r>
      <w:r w:rsidRPr="00DD7ECB">
        <w:rPr>
          <w:noProof/>
        </w:rPr>
        <w:t>n agus na Ballstáit na hiarmhairtí ab fhéidir a bheith ar an tarraingt siar trí bhíthin seimineáir a reáchtáil Comhairle an Aontais Eorpaigh in 2018. Ina theannta sin, pléadh go mion tionchair an tarraingt siar mar aon le bearta ullmhachta le linn sraith c</w:t>
      </w:r>
      <w:r w:rsidRPr="00DD7ECB">
        <w:rPr>
          <w:noProof/>
        </w:rPr>
        <w:t>uairteanna a tugadh ar gach Ballstát.</w:t>
      </w:r>
    </w:p>
    <w:p w:rsidR="008D437A" w:rsidRPr="00DD7ECB" w:rsidRDefault="00DD7E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 w:rsidRPr="00DD7ECB">
        <w:rPr>
          <w:noProof/>
        </w:rPr>
        <w:t xml:space="preserve">I réimse an iompair iarnróid, is féidir le páirtithe leasmhara, sa chuid is mó de na cásanna, an éifeacht a bheidh ag tarraingt siar na Ríochta Aontaithe as an Aontas Eorpach ar dheimhnithe, údaruithe agus ceadúnais a </w:t>
      </w:r>
      <w:r w:rsidRPr="00DD7ECB">
        <w:rPr>
          <w:noProof/>
        </w:rPr>
        <w:t xml:space="preserve">leigheas le bearta éagsúla, go háirithe trí na páirtithe leasmhara sin a bhunú i mBallstát agus trí na húdaruithe, na deimhnithe agus na ceadúnais iomchuí a fháil sa Bhallstát sin. </w:t>
      </w:r>
    </w:p>
    <w:p w:rsidR="008D437A" w:rsidRPr="00DD7ECB" w:rsidRDefault="00DD7ECB">
      <w:pPr>
        <w:rPr>
          <w:noProof/>
        </w:rPr>
      </w:pPr>
      <w:r w:rsidRPr="00DD7ECB">
        <w:rPr>
          <w:noProof/>
        </w:rPr>
        <w:t>Mar sin féin, ba ghá comhaontuithe idir na Ballstáit sin den Aontas lena m</w:t>
      </w:r>
      <w:r w:rsidRPr="00DD7ECB">
        <w:rPr>
          <w:noProof/>
        </w:rPr>
        <w:t>baineann agus an Ríocht Aontaithe a chaibidliú agus a shíniú chun aghaidh a thabhairt ar shaincheisteanna a bhaineann go díreach le hoibríochtaí iarnróid trasteorann, chun a áirithiú go leanfar díobh tar éis dháta an tarraingt siar, agus, dá bhrí sin, chun</w:t>
      </w:r>
      <w:r w:rsidRPr="00DD7ECB">
        <w:rPr>
          <w:noProof/>
        </w:rPr>
        <w:t xml:space="preserve"> suaitheadh san Aontas a mhaolú. Ní fhéadfaí comhaontuithe déthaobhacha den sórt sin a thabhairt i gcrích go dtí go mbeadh an Ríocht Aontaithe ina tríú tír. </w:t>
      </w:r>
    </w:p>
    <w:p w:rsidR="008D437A" w:rsidRPr="00DD7ECB" w:rsidRDefault="00DD7ECB">
      <w:pPr>
        <w:rPr>
          <w:noProof/>
        </w:rPr>
      </w:pPr>
      <w:r w:rsidRPr="00DD7ECB">
        <w:rPr>
          <w:noProof/>
        </w:rPr>
        <w:t>An staid a bhaineann leis an údarás dénáisiúnta sábháilteachta, a bunaíodh faoi Chonradh Canterbur</w:t>
      </w:r>
      <w:r w:rsidRPr="00DD7ECB">
        <w:rPr>
          <w:noProof/>
        </w:rPr>
        <w:t xml:space="preserve">y maidir le Tollán Mhuir nIocht, chaithfí í sin go háirithe a oiriúnú agus stádas nua na Ríochta Aontaithe mar thríú tír á chur san áireamh. </w:t>
      </w:r>
    </w:p>
    <w:p w:rsidR="008D437A" w:rsidRPr="00DD7ECB" w:rsidRDefault="00DD7ECB">
      <w:pPr>
        <w:rPr>
          <w:noProof/>
        </w:rPr>
      </w:pPr>
      <w:r w:rsidRPr="00DD7ECB">
        <w:rPr>
          <w:noProof/>
        </w:rPr>
        <w:lastRenderedPageBreak/>
        <w:t>Is iomchuí, dá bhrí sin, an Coimisiún bearta a bheartú a áiritheoidh go leanfaidh údaruithe le haghaidh codanna ái</w:t>
      </w:r>
      <w:r w:rsidRPr="00DD7ECB">
        <w:rPr>
          <w:noProof/>
        </w:rPr>
        <w:t xml:space="preserve">rithe den bhonneagar iarnróid de bheith bailí i gcomhréir le dlí ábhartha an Aontais. </w:t>
      </w:r>
    </w:p>
    <w:p w:rsidR="008D437A" w:rsidRPr="00DD7ECB" w:rsidRDefault="00DD7E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 w:rsidRPr="00DD7ECB">
        <w:rPr>
          <w:noProof/>
        </w:rPr>
        <w:t>Ba cheart an bhailíocht shínte sin a theorannú don mhéid ama a bhfuil fíorghá leis chun go mbeidh an t</w:t>
      </w:r>
      <w:r w:rsidRPr="00DD7ECB">
        <w:rPr>
          <w:noProof/>
        </w:rPr>
        <w:noBreakHyphen/>
        <w:t>achar is gá ag an Ríocht Aontaithe agus ag na Ballstáit lena mbain</w:t>
      </w:r>
      <w:r w:rsidRPr="00DD7ECB">
        <w:rPr>
          <w:noProof/>
        </w:rPr>
        <w:t xml:space="preserve">eann chun na comhaontuithe is gá a thabhairt i gcrích. </w:t>
      </w:r>
    </w:p>
    <w:p w:rsidR="008D437A" w:rsidRPr="00DD7ECB" w:rsidRDefault="00DD7ECB">
      <w:pPr>
        <w:rPr>
          <w:noProof/>
        </w:rPr>
      </w:pPr>
      <w:r w:rsidRPr="00DD7ECB">
        <w:rPr>
          <w:noProof/>
        </w:rPr>
        <w:t>Ní bhaineann sé sin ach amháin leis na húdaruithe sábháilteachta arna n</w:t>
      </w:r>
      <w:r w:rsidRPr="00DD7ECB">
        <w:rPr>
          <w:noProof/>
        </w:rPr>
        <w:noBreakHyphen/>
        <w:t>eisiúint faoi Airteagal 11 de Threoir 2004/49/CE do bhainisteoirí bonneagair chun bonneagar trasteorann a nascann an tAontas agu</w:t>
      </w:r>
      <w:r w:rsidRPr="00DD7ECB">
        <w:rPr>
          <w:noProof/>
        </w:rPr>
        <w:t>s an Ríocht Aontaithe a bhainistiú agus a oibriú.</w:t>
      </w:r>
    </w:p>
    <w:p w:rsidR="008D437A" w:rsidRPr="00DD7ECB" w:rsidRDefault="00DD7E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 w:rsidRPr="00DD7ECB">
        <w:rPr>
          <w:noProof/>
        </w:rPr>
        <w:t>Tá na forálacha atá beartaithe ceaptha chun leanúnachas a áirithiú i gcás oibríochtaí agus seirbhísí trasteorann amháin i gcomhréir leis na ceanglais dlí is infheidhme de chuid an Aontais. Thiocfadh fadhban</w:t>
      </w:r>
      <w:r w:rsidRPr="00DD7ECB">
        <w:rPr>
          <w:noProof/>
        </w:rPr>
        <w:t>na móra, idir shóisialta agus eacnamaíocha, as briseadh sna gníomhaíochtaí sin. Trína áirithiú go gcomhlíonfaidh eagraíochtaí dlí an Aontais, áiritheoidh an togra freisin go gcosnófar tomhaltóirí agus saoránaigh</w:t>
      </w:r>
      <w:r w:rsidRPr="00DD7ECB">
        <w:rPr>
          <w:rFonts w:ascii="Arial" w:hAnsi="Arial"/>
          <w:noProof/>
          <w:sz w:val="20"/>
        </w:rPr>
        <w:t xml:space="preserve">. </w:t>
      </w:r>
    </w:p>
    <w:p w:rsidR="008D437A" w:rsidRPr="00DD7ECB" w:rsidRDefault="00DD7E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 w:rsidRPr="00DD7ECB">
        <w:rPr>
          <w:noProof/>
        </w:rPr>
        <w:t>Tá bearta an togra seo ag brath ar chaighd</w:t>
      </w:r>
      <w:r w:rsidRPr="00DD7ECB">
        <w:rPr>
          <w:noProof/>
        </w:rPr>
        <w:t xml:space="preserve">eáin sábháilteachta atá comhionann le ceanglais an Aontais a bheith á gcur i bhfeidhm maidir leis an mbonneagar agus na hoibríochtaí ar a gcríoch, bonneagar a úsáidtear chun nascacht iarnróid trasteorann a áirithiú. </w:t>
      </w:r>
    </w:p>
    <w:p w:rsidR="008D437A" w:rsidRPr="00DD7ECB" w:rsidRDefault="00DD7E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 w:rsidRPr="00DD7ECB">
        <w:rPr>
          <w:noProof/>
        </w:rPr>
        <w:t xml:space="preserve">Ní féidir suaitheadh mór a sheachaint, </w:t>
      </w:r>
      <w:r w:rsidRPr="00DD7ECB">
        <w:rPr>
          <w:noProof/>
        </w:rPr>
        <w:t>áfach, ach amháin má dhéanann na hoibreoirí iarnróid agus na húdaráis náisiúnta gach beart is gá go pras chun a áirithiú go ndéanfar ceadúnais rochtana ar an margadh, ceadúnais tiománaithe traenach, chomh maith le gach deimhniú agus údarú eile is gá chun o</w:t>
      </w:r>
      <w:r w:rsidRPr="00DD7ECB">
        <w:rPr>
          <w:noProof/>
        </w:rPr>
        <w:t>ibriú ar chríoch an Aontais, a eisiúint in am trátha agus roimh an 30 Márta 2019.</w:t>
      </w:r>
    </w:p>
    <w:p w:rsidR="008D437A" w:rsidRPr="00DD7ECB" w:rsidRDefault="00DD7ECB">
      <w:pPr>
        <w:pStyle w:val="ManualHeading2"/>
        <w:rPr>
          <w:rFonts w:eastAsia="Arial Unicode MS"/>
          <w:noProof/>
          <w:u w:color="000000"/>
          <w:bdr w:val="nil"/>
        </w:rPr>
      </w:pPr>
      <w:r w:rsidRPr="00DD7ECB">
        <w:rPr>
          <w:noProof/>
        </w:rPr>
        <w:t>•</w:t>
      </w:r>
      <w:r w:rsidRPr="00DD7ECB">
        <w:rPr>
          <w:noProof/>
        </w:rPr>
        <w:tab/>
        <w:t>Comhsheasmhacht le forálacha beartais atá sa réimse beartais cheana</w:t>
      </w:r>
    </w:p>
    <w:p w:rsidR="008D437A" w:rsidRPr="00DD7ECB" w:rsidRDefault="00DD7E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 w:rsidRPr="00DD7ECB">
        <w:rPr>
          <w:noProof/>
        </w:rPr>
        <w:t xml:space="preserve">Tá an togra seo ceaptha a bheith ina </w:t>
      </w:r>
      <w:r w:rsidRPr="00DD7ECB">
        <w:rPr>
          <w:i/>
          <w:noProof/>
        </w:rPr>
        <w:t>lex specialis,</w:t>
      </w:r>
      <w:r w:rsidRPr="00DD7ECB">
        <w:rPr>
          <w:noProof/>
        </w:rPr>
        <w:t xml:space="preserve"> lena rachfar i ngleic le cuid de na himpleachtaí a leanfaidh gan feidhm a bheith níos mó ag Treoir 2004/49/CE maidir leis an Ríocht Aontaithe. Tá na téarmaí atá beartaithe teoranta go docht don mhéid is gá chuige sin, chun nach mbeidh suaitheadh ann i dta</w:t>
      </w:r>
      <w:r w:rsidRPr="00DD7ECB">
        <w:rPr>
          <w:noProof/>
        </w:rPr>
        <w:t>ca le hoibríochtaí trasteorann. Tá siad ceaptha freisin gan feidhm a bheith acu ach go ceann achar gairid. Beidh feidhm fós ag forálacha ginearálta na ngníomhartha sin cé is moite de sin. Ar an gcaoi sin tá an togra seo i lán</w:t>
      </w:r>
      <w:r w:rsidRPr="00DD7ECB">
        <w:rPr>
          <w:noProof/>
        </w:rPr>
        <w:noBreakHyphen/>
        <w:t>chomhréir leis an reachtaíocht</w:t>
      </w:r>
      <w:r w:rsidRPr="00DD7ECB">
        <w:rPr>
          <w:noProof/>
        </w:rPr>
        <w:t xml:space="preserve"> atá ann cheana.  </w:t>
      </w:r>
    </w:p>
    <w:p w:rsidR="008D437A" w:rsidRPr="00DD7ECB" w:rsidRDefault="00DD7ECB">
      <w:pPr>
        <w:pStyle w:val="ManualHeading2"/>
        <w:rPr>
          <w:rFonts w:eastAsia="Arial Unicode MS"/>
          <w:noProof/>
        </w:rPr>
      </w:pPr>
      <w:r w:rsidRPr="00DD7ECB">
        <w:rPr>
          <w:noProof/>
        </w:rPr>
        <w:t>•</w:t>
      </w:r>
      <w:r w:rsidRPr="00DD7ECB">
        <w:rPr>
          <w:noProof/>
        </w:rPr>
        <w:tab/>
        <w:t>Comhsheasmhacht le beartais eile de chuid an Aontais</w:t>
      </w:r>
    </w:p>
    <w:p w:rsidR="008D437A" w:rsidRPr="00DD7ECB" w:rsidRDefault="00DD7E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 w:rsidRPr="00DD7ECB">
        <w:rPr>
          <w:noProof/>
        </w:rPr>
        <w:t>Baineann an togra seo le sábháilteacht agus nascacht iarnróid agus is comhlánú é ar Threoir 2004/49/CE chun déileáil go sonrach le tarraingt siar na Ríochta Aontaithe as an Aontas ga</w:t>
      </w:r>
      <w:r w:rsidRPr="00DD7ECB">
        <w:rPr>
          <w:noProof/>
        </w:rPr>
        <w:t>n comhaontú um tharraingt siar.</w:t>
      </w:r>
    </w:p>
    <w:p w:rsidR="008D437A" w:rsidRPr="00DD7ECB" w:rsidRDefault="00DD7ECB">
      <w:pPr>
        <w:pStyle w:val="ManualHeading1"/>
        <w:rPr>
          <w:noProof/>
        </w:rPr>
      </w:pPr>
      <w:r w:rsidRPr="00DD7ECB">
        <w:rPr>
          <w:noProof/>
        </w:rPr>
        <w:t>2.</w:t>
      </w:r>
      <w:r w:rsidRPr="00DD7ECB">
        <w:rPr>
          <w:noProof/>
        </w:rPr>
        <w:tab/>
        <w:t>BUNÚS DLÍ, COIMHDEACHT AGUS COMHRÉIREACHT</w:t>
      </w:r>
    </w:p>
    <w:p w:rsidR="008D437A" w:rsidRPr="00DD7ECB" w:rsidRDefault="00DD7ECB">
      <w:pPr>
        <w:pStyle w:val="ManualHeading2"/>
        <w:rPr>
          <w:rFonts w:eastAsia="Arial Unicode MS"/>
          <w:noProof/>
          <w:u w:color="000000"/>
          <w:bdr w:val="nil"/>
        </w:rPr>
      </w:pPr>
      <w:r w:rsidRPr="00DD7ECB">
        <w:rPr>
          <w:noProof/>
        </w:rPr>
        <w:t>•</w:t>
      </w:r>
      <w:r w:rsidRPr="00DD7ECB">
        <w:rPr>
          <w:noProof/>
        </w:rPr>
        <w:tab/>
        <w:t>Bunús dlí</w:t>
      </w:r>
    </w:p>
    <w:p w:rsidR="008D437A" w:rsidRPr="00DD7ECB" w:rsidRDefault="00DD7E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 w:rsidRPr="00DD7ECB">
        <w:rPr>
          <w:noProof/>
        </w:rPr>
        <w:t>Is é is bunús dlí don togra seo Airteagal 91(1) den Chonradh ar Fheidhmiú an Aontais Eorpaigh (CFAE).</w:t>
      </w:r>
    </w:p>
    <w:p w:rsidR="008D437A" w:rsidRPr="00DD7ECB" w:rsidRDefault="00DD7ECB">
      <w:pPr>
        <w:pStyle w:val="ManualHeading2"/>
        <w:rPr>
          <w:rFonts w:eastAsia="Arial Unicode MS"/>
          <w:noProof/>
          <w:u w:color="000000"/>
          <w:bdr w:val="nil"/>
        </w:rPr>
      </w:pPr>
      <w:r w:rsidRPr="00DD7ECB">
        <w:rPr>
          <w:noProof/>
        </w:rPr>
        <w:t>•</w:t>
      </w:r>
      <w:r w:rsidRPr="00DD7ECB">
        <w:rPr>
          <w:noProof/>
        </w:rPr>
        <w:tab/>
        <w:t xml:space="preserve">Coimhdeacht (don inniúlacht neamheisiach) </w:t>
      </w:r>
    </w:p>
    <w:p w:rsidR="008D437A" w:rsidRPr="00DD7ECB" w:rsidRDefault="00DD7E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 w:rsidRPr="00DD7ECB">
        <w:rPr>
          <w:noProof/>
        </w:rPr>
        <w:t>Ós comhlánú é an tog</w:t>
      </w:r>
      <w:r w:rsidRPr="00DD7ECB">
        <w:rPr>
          <w:noProof/>
        </w:rPr>
        <w:t xml:space="preserve">ra ar an reachtaíocht de chuid an Aontais atá ann cheana agus go bhfuil forálacha ann lenar fusa iad a chur i bhfeidhm go hordúil tar éis don Ríocht Aontaithe </w:t>
      </w:r>
      <w:r w:rsidRPr="00DD7ECB">
        <w:rPr>
          <w:noProof/>
        </w:rPr>
        <w:lastRenderedPageBreak/>
        <w:t>tarraingt siar as an Aontas, is le gníomh ar leibhéal an Aontais amháin is féidir cuspóir an togr</w:t>
      </w:r>
      <w:r w:rsidRPr="00DD7ECB">
        <w:rPr>
          <w:noProof/>
        </w:rPr>
        <w:t>a a ghnóthú.</w:t>
      </w:r>
    </w:p>
    <w:p w:rsidR="008D437A" w:rsidRPr="00DD7ECB" w:rsidRDefault="00DD7ECB">
      <w:pPr>
        <w:pStyle w:val="ManualHeading2"/>
        <w:rPr>
          <w:rFonts w:eastAsia="Arial Unicode MS"/>
          <w:noProof/>
          <w:u w:color="000000"/>
          <w:bdr w:val="nil"/>
        </w:rPr>
      </w:pPr>
      <w:r w:rsidRPr="00DD7ECB">
        <w:rPr>
          <w:noProof/>
        </w:rPr>
        <w:t>•</w:t>
      </w:r>
      <w:r w:rsidRPr="00DD7ECB">
        <w:rPr>
          <w:noProof/>
        </w:rPr>
        <w:tab/>
        <w:t>Comhréireacht</w:t>
      </w:r>
    </w:p>
    <w:p w:rsidR="008D437A" w:rsidRPr="00DD7ECB" w:rsidRDefault="00DD7E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 w:rsidRPr="00DD7ECB">
        <w:rPr>
          <w:noProof/>
        </w:rPr>
        <w:t xml:space="preserve">Meastar go bhfuil an Rialachán atá beartaithe comhréireach mar gur féidir suaitheadh a sheachaint dá bharr, trí fhoráil a dhéanamh maidir le hathrú dlí atá teoranta agus riachtanach agus a chuimseoidh an gá leanúnachas </w:t>
      </w:r>
      <w:r w:rsidRPr="00DD7ECB">
        <w:rPr>
          <w:noProof/>
        </w:rPr>
        <w:t>seirbhísí iarnróid trasteorann leis an Ríocht Aontaithe a áirithiú. Ní théann sé thar a bhfuil riachtanach chun an cuspóir sin a ghnóthú agus ní dhéantar leis aon athrú níos leithne ná aon bheart buan.</w:t>
      </w:r>
    </w:p>
    <w:p w:rsidR="008D437A" w:rsidRPr="00DD7ECB" w:rsidRDefault="00DD7ECB">
      <w:pPr>
        <w:pStyle w:val="ManualHeading2"/>
        <w:rPr>
          <w:rFonts w:eastAsia="Arial Unicode MS"/>
          <w:noProof/>
          <w:u w:color="000000"/>
          <w:bdr w:val="nil"/>
        </w:rPr>
      </w:pPr>
      <w:r w:rsidRPr="00DD7ECB">
        <w:rPr>
          <w:noProof/>
        </w:rPr>
        <w:t>•</w:t>
      </w:r>
      <w:r w:rsidRPr="00DD7ECB">
        <w:rPr>
          <w:noProof/>
        </w:rPr>
        <w:tab/>
        <w:t>An rogha ionstraime</w:t>
      </w:r>
    </w:p>
    <w:p w:rsidR="008D437A" w:rsidRPr="00DD7ECB" w:rsidRDefault="00DD7E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 w:rsidRPr="00DD7ECB">
        <w:rPr>
          <w:noProof/>
        </w:rPr>
        <w:t>Sa togra seo tá sraith bheag for</w:t>
      </w:r>
      <w:r w:rsidRPr="00DD7ECB">
        <w:rPr>
          <w:noProof/>
        </w:rPr>
        <w:t>álacha chun dul i ngleic le cás an</w:t>
      </w:r>
      <w:r w:rsidRPr="00DD7ECB">
        <w:rPr>
          <w:noProof/>
        </w:rPr>
        <w:noBreakHyphen/>
        <w:t>sonrach uathúil. Dá bhrí sin, ní hiomchuí Treoir 2004/49/CE a leasú ná Treoir 2016/798/AE, a chuirfear ina hionad le héifeacht ón 16 Meitheamh 2019. Tá na forálacha ábhartha maidir leis na húdaruithe a ndéanann an togra s</w:t>
      </w:r>
      <w:r w:rsidRPr="00DD7ECB">
        <w:rPr>
          <w:noProof/>
        </w:rPr>
        <w:t>eo difear dóibh cumhdaithe le Treoir 2004/49/CE. I bhfianaise an méid sin, is cosúil gurb é Rialachán ó Pharlaimint na hEorpa agus ón gComhairle an t</w:t>
      </w:r>
      <w:r w:rsidRPr="00DD7ECB">
        <w:rPr>
          <w:noProof/>
        </w:rPr>
        <w:noBreakHyphen/>
        <w:t>aon chineál gnímh dlí a bheadh fónta.</w:t>
      </w:r>
    </w:p>
    <w:p w:rsidR="008D437A" w:rsidRPr="00DD7ECB" w:rsidRDefault="00DD7ECB">
      <w:pPr>
        <w:pStyle w:val="ManualHeading1"/>
        <w:rPr>
          <w:noProof/>
        </w:rPr>
      </w:pPr>
      <w:r w:rsidRPr="00DD7ECB">
        <w:rPr>
          <w:noProof/>
        </w:rPr>
        <w:t>3.</w:t>
      </w:r>
      <w:r w:rsidRPr="00DD7ECB">
        <w:rPr>
          <w:noProof/>
        </w:rPr>
        <w:tab/>
        <w:t>TORTHAÍ Ó MHEASTÓIREACHTAÍ EX POST, Ó CHOMHAIRLIÚCHÁIN LEIS NA PÁ</w:t>
      </w:r>
      <w:r w:rsidRPr="00DD7ECB">
        <w:rPr>
          <w:noProof/>
        </w:rPr>
        <w:t>IRTITHE LEASMHARA AGUS Ó MHEASÚNUITHE TIONCHAIR</w:t>
      </w:r>
    </w:p>
    <w:p w:rsidR="008D437A" w:rsidRPr="00DD7ECB" w:rsidRDefault="00DD7ECB">
      <w:pPr>
        <w:pStyle w:val="ManualHeading2"/>
        <w:rPr>
          <w:rFonts w:eastAsia="Arial Unicode MS"/>
          <w:noProof/>
          <w:u w:color="000000"/>
          <w:bdr w:val="nil"/>
        </w:rPr>
      </w:pPr>
      <w:r w:rsidRPr="00DD7ECB">
        <w:rPr>
          <w:noProof/>
        </w:rPr>
        <w:t>•</w:t>
      </w:r>
      <w:r w:rsidRPr="00DD7ECB">
        <w:rPr>
          <w:noProof/>
        </w:rPr>
        <w:tab/>
        <w:t>Meastóireachtaí ex post/seiceálacha oiriúnachta ar an reachtaíocht atá ann cheana</w:t>
      </w:r>
    </w:p>
    <w:p w:rsidR="008D437A" w:rsidRPr="00DD7ECB" w:rsidRDefault="00DD7E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 w:rsidRPr="00DD7ECB">
        <w:rPr>
          <w:noProof/>
        </w:rPr>
        <w:t>Ní infheidhme iad ós cás eisceachtúil uathúil é an cás arb éigean an togra seo a bheartú dá bharr.</w:t>
      </w:r>
    </w:p>
    <w:p w:rsidR="008D437A" w:rsidRPr="00DD7ECB" w:rsidRDefault="00DD7ECB">
      <w:pPr>
        <w:pStyle w:val="ManualHeading2"/>
        <w:rPr>
          <w:rFonts w:eastAsia="Arial Unicode MS"/>
          <w:noProof/>
          <w:u w:color="000000"/>
          <w:bdr w:val="nil"/>
        </w:rPr>
      </w:pPr>
      <w:r w:rsidRPr="00DD7ECB">
        <w:rPr>
          <w:noProof/>
        </w:rPr>
        <w:t>•</w:t>
      </w:r>
      <w:r w:rsidRPr="00DD7ECB">
        <w:rPr>
          <w:noProof/>
        </w:rPr>
        <w:tab/>
        <w:t>Comhairliúcháin leis na</w:t>
      </w:r>
      <w:r w:rsidRPr="00DD7ECB">
        <w:rPr>
          <w:noProof/>
        </w:rPr>
        <w:t xml:space="preserve"> páirtithe leasmhara</w:t>
      </w:r>
    </w:p>
    <w:p w:rsidR="008D437A" w:rsidRPr="00DD7ECB" w:rsidRDefault="00DD7E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 w:rsidRPr="00DD7ECB">
        <w:rPr>
          <w:noProof/>
        </w:rPr>
        <w:t>De dheasca na n</w:t>
      </w:r>
      <w:r w:rsidRPr="00DD7ECB">
        <w:rPr>
          <w:noProof/>
        </w:rPr>
        <w:noBreakHyphen/>
        <w:t>imthosca sonracha a bhaineann leis an gcaibidlíocht faoi tharraingt siar na Ríochta Aontaithe as an Aontas agus de bharr síorathrú a bheith ar imeachtaí an scéil, cuireadh mórshrianta ar an bhféidearthacht tuairimí an p</w:t>
      </w:r>
      <w:r w:rsidRPr="00DD7ECB">
        <w:rPr>
          <w:noProof/>
        </w:rPr>
        <w:t>hobail a lorg. Mar sin féin, tá na dúshláin a bhaineann le tarraingt siar na Ríochta Aontaithe as an Aontas agus roinnt réitigh fhéideartha luaite ag páirtithe leasmhara iarnróid éagsúla agus ionadaithe áirithe ó na Ballstáit.</w:t>
      </w:r>
    </w:p>
    <w:p w:rsidR="008D437A" w:rsidRPr="00DD7ECB" w:rsidRDefault="00DD7ECB">
      <w:pPr>
        <w:pStyle w:val="ManualHeading2"/>
        <w:rPr>
          <w:rFonts w:eastAsia="Arial Unicode MS"/>
          <w:noProof/>
          <w:u w:color="000000"/>
          <w:bdr w:val="nil"/>
        </w:rPr>
      </w:pPr>
      <w:r w:rsidRPr="00DD7ECB">
        <w:rPr>
          <w:noProof/>
        </w:rPr>
        <w:t>•</w:t>
      </w:r>
      <w:r w:rsidRPr="00DD7ECB">
        <w:rPr>
          <w:noProof/>
        </w:rPr>
        <w:tab/>
        <w:t>Bailiú agus úsáid saineolai</w:t>
      </w:r>
      <w:r w:rsidRPr="00DD7ECB">
        <w:rPr>
          <w:noProof/>
        </w:rPr>
        <w:t>s</w:t>
      </w:r>
    </w:p>
    <w:p w:rsidR="008D437A" w:rsidRPr="00DD7ECB" w:rsidRDefault="00DD7E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 w:rsidRPr="00DD7ECB">
        <w:rPr>
          <w:noProof/>
        </w:rPr>
        <w:t>Rinneadh anailís dhlíthiúil agus theicniúil inmheánach ar an bhfaisnéis sin chun a áirithiú go sroichfidh an togra seo na cuspóirí atá beartaithe, ach tá sé srianta san am céanna don mhéid a bhfuil fíorghá leis.</w:t>
      </w:r>
    </w:p>
    <w:p w:rsidR="008D437A" w:rsidRPr="00DD7ECB" w:rsidRDefault="00DD7ECB">
      <w:pPr>
        <w:pStyle w:val="ManualHeading2"/>
        <w:rPr>
          <w:rFonts w:eastAsia="Arial Unicode MS"/>
          <w:noProof/>
          <w:u w:color="000000"/>
          <w:bdr w:val="nil"/>
        </w:rPr>
      </w:pPr>
      <w:r w:rsidRPr="00DD7ECB">
        <w:rPr>
          <w:noProof/>
        </w:rPr>
        <w:t>•</w:t>
      </w:r>
      <w:r w:rsidRPr="00DD7ECB">
        <w:rPr>
          <w:noProof/>
        </w:rPr>
        <w:tab/>
        <w:t>Measúnú tionchair</w:t>
      </w:r>
    </w:p>
    <w:p w:rsidR="008D437A" w:rsidRPr="00DD7ECB" w:rsidRDefault="00DD7E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 w:rsidRPr="00DD7ECB">
        <w:rPr>
          <w:noProof/>
        </w:rPr>
        <w:t>Ní gá measúnú tionchai</w:t>
      </w:r>
      <w:r w:rsidRPr="00DD7ECB">
        <w:rPr>
          <w:noProof/>
        </w:rPr>
        <w:t>r a dhéanamh, ós rud é gur cás eisceachtúil atá i gceist agus nach bhfuil ach beagán riachtanas ag baint leis an tréimhse ina gcuirfear chun feidhme athrú stádais na Ríochta Aontaithe. Níl aon rogha eile ann a bhfuil difríocht shubstainteach idir í agus an</w:t>
      </w:r>
      <w:r w:rsidRPr="00DD7ECB">
        <w:rPr>
          <w:noProof/>
        </w:rPr>
        <w:t xml:space="preserve"> rogha seo.</w:t>
      </w:r>
    </w:p>
    <w:p w:rsidR="008D437A" w:rsidRPr="00DD7ECB" w:rsidRDefault="00DD7ECB">
      <w:pPr>
        <w:pStyle w:val="ManualHeading2"/>
        <w:rPr>
          <w:rFonts w:eastAsia="Arial Unicode MS"/>
          <w:noProof/>
          <w:u w:color="000000"/>
          <w:bdr w:val="nil"/>
        </w:rPr>
      </w:pPr>
      <w:r w:rsidRPr="00DD7ECB">
        <w:rPr>
          <w:noProof/>
        </w:rPr>
        <w:t>•</w:t>
      </w:r>
      <w:r w:rsidRPr="00DD7ECB">
        <w:rPr>
          <w:noProof/>
        </w:rPr>
        <w:tab/>
        <w:t>Cearta bunúsacha</w:t>
      </w:r>
    </w:p>
    <w:p w:rsidR="008D437A" w:rsidRPr="00DD7ECB" w:rsidRDefault="00DD7E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 w:rsidRPr="00DD7ECB">
        <w:rPr>
          <w:noProof/>
        </w:rPr>
        <w:t xml:space="preserve">Níl aon tionchar ag an togra seo ar chur i bhfeidhm ná ar chosaint na gceart bunúsach. </w:t>
      </w:r>
    </w:p>
    <w:p w:rsidR="008D437A" w:rsidRPr="00DD7ECB" w:rsidRDefault="00DD7ECB">
      <w:pPr>
        <w:pStyle w:val="ManualHeading1"/>
        <w:rPr>
          <w:noProof/>
        </w:rPr>
      </w:pPr>
      <w:r w:rsidRPr="00DD7ECB">
        <w:rPr>
          <w:noProof/>
        </w:rPr>
        <w:lastRenderedPageBreak/>
        <w:t>4.</w:t>
      </w:r>
      <w:r w:rsidRPr="00DD7ECB">
        <w:rPr>
          <w:noProof/>
        </w:rPr>
        <w:tab/>
        <w:t>IMPLEACHTAÍ BUISÉADACHA</w:t>
      </w:r>
    </w:p>
    <w:p w:rsidR="008D437A" w:rsidRPr="00DD7ECB" w:rsidRDefault="00DD7E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 w:rsidRPr="00DD7ECB">
        <w:rPr>
          <w:noProof/>
        </w:rPr>
        <w:t xml:space="preserve">Ní infheidhme iad. </w:t>
      </w:r>
    </w:p>
    <w:p w:rsidR="008D437A" w:rsidRPr="00DD7ECB" w:rsidRDefault="00DD7ECB">
      <w:pPr>
        <w:pStyle w:val="ManualHeading1"/>
        <w:rPr>
          <w:noProof/>
        </w:rPr>
      </w:pPr>
      <w:r w:rsidRPr="00DD7ECB">
        <w:rPr>
          <w:noProof/>
        </w:rPr>
        <w:t>5.</w:t>
      </w:r>
      <w:r w:rsidRPr="00DD7ECB">
        <w:rPr>
          <w:noProof/>
        </w:rPr>
        <w:tab/>
        <w:t>EILIMINTÍ EILE</w:t>
      </w:r>
    </w:p>
    <w:p w:rsidR="008D437A" w:rsidRPr="00DD7ECB" w:rsidRDefault="00DD7ECB">
      <w:pPr>
        <w:pStyle w:val="ManualHeading2"/>
        <w:rPr>
          <w:rFonts w:eastAsia="Arial Unicode MS"/>
          <w:noProof/>
          <w:u w:color="000000"/>
          <w:bdr w:val="nil"/>
        </w:rPr>
      </w:pPr>
      <w:r w:rsidRPr="00DD7ECB">
        <w:rPr>
          <w:noProof/>
        </w:rPr>
        <w:t>•</w:t>
      </w:r>
      <w:r w:rsidRPr="00DD7ECB">
        <w:rPr>
          <w:noProof/>
        </w:rPr>
        <w:tab/>
        <w:t xml:space="preserve">Pleananna cur chun feidhme agus socruithe faireacháin, meastóireachta </w:t>
      </w:r>
      <w:r w:rsidRPr="00DD7ECB">
        <w:rPr>
          <w:noProof/>
        </w:rPr>
        <w:t>agus tuairiscithe</w:t>
      </w:r>
    </w:p>
    <w:p w:rsidR="008D437A" w:rsidRPr="00DD7ECB" w:rsidRDefault="00DD7EC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 w:rsidRPr="00DD7ECB">
        <w:rPr>
          <w:noProof/>
        </w:rPr>
        <w:t xml:space="preserve">Ní infheidhme dó seo de bhrí gur beart gearrthéarmach atá ann.  </w:t>
      </w:r>
    </w:p>
    <w:p w:rsidR="008D437A" w:rsidRPr="00DD7ECB" w:rsidRDefault="008D437A">
      <w:pPr>
        <w:rPr>
          <w:noProof/>
        </w:rPr>
        <w:sectPr w:rsidR="008D437A" w:rsidRPr="00DD7ECB">
          <w:footerReference w:type="default" r:id="rId19"/>
          <w:footerReference w:type="first" r:id="rId20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8D437A" w:rsidRPr="00DD7ECB" w:rsidRDefault="00DD7ECB">
      <w:pPr>
        <w:pStyle w:val="Rfrenceinterinstitutionnelle"/>
        <w:rPr>
          <w:noProof/>
        </w:rPr>
      </w:pPr>
      <w:r w:rsidRPr="00DD7ECB">
        <w:rPr>
          <w:noProof/>
        </w:rPr>
        <w:lastRenderedPageBreak/>
        <w:t>2019/0040 (COD)</w:t>
      </w:r>
    </w:p>
    <w:p w:rsidR="008D437A" w:rsidRPr="00DD7ECB" w:rsidRDefault="00DD7ECB">
      <w:pPr>
        <w:pStyle w:val="Statut"/>
        <w:rPr>
          <w:noProof/>
        </w:rPr>
      </w:pPr>
      <w:r w:rsidRPr="00DD7ECB">
        <w:rPr>
          <w:noProof/>
        </w:rPr>
        <w:t>Togra le haghaidh</w:t>
      </w:r>
    </w:p>
    <w:p w:rsidR="008D437A" w:rsidRPr="00DD7ECB" w:rsidRDefault="00DD7ECB">
      <w:pPr>
        <w:pStyle w:val="Typedudocument"/>
        <w:rPr>
          <w:noProof/>
        </w:rPr>
      </w:pPr>
      <w:r w:rsidRPr="00DD7ECB">
        <w:rPr>
          <w:noProof/>
        </w:rPr>
        <w:t>RIALACHÁN Ó PHARLAIMINT NA hEORPA AGUS ÓN gCOMHAIRLE</w:t>
      </w:r>
    </w:p>
    <w:p w:rsidR="008D437A" w:rsidRPr="00DD7ECB" w:rsidRDefault="00DD7ECB">
      <w:pPr>
        <w:pStyle w:val="Titreobjet"/>
        <w:rPr>
          <w:noProof/>
        </w:rPr>
      </w:pPr>
      <w:r w:rsidRPr="00DD7ECB">
        <w:rPr>
          <w:noProof/>
        </w:rPr>
        <w:t xml:space="preserve">i ndáil le gnéithe áirithe den tsábháilteacht agus den nascacht iarnróid a mhéid a bhaineann le tarraingt siar Ríocht Aontaithe na Breataine Móire agus Thuaisceart Éireann as an Aontas </w:t>
      </w:r>
    </w:p>
    <w:p w:rsidR="008D437A" w:rsidRPr="00DD7ECB" w:rsidRDefault="00DD7ECB">
      <w:pPr>
        <w:pStyle w:val="IntrtEEE"/>
        <w:rPr>
          <w:noProof/>
        </w:rPr>
      </w:pPr>
      <w:r w:rsidRPr="00DD7ECB">
        <w:rPr>
          <w:noProof/>
        </w:rPr>
        <w:t>(Téacs atá ábhartha maidir le LEE)</w:t>
      </w:r>
    </w:p>
    <w:p w:rsidR="008D437A" w:rsidRPr="00DD7ECB" w:rsidRDefault="00DD7ECB">
      <w:pPr>
        <w:pStyle w:val="Institutionquiagit"/>
        <w:rPr>
          <w:noProof/>
        </w:rPr>
      </w:pPr>
      <w:r w:rsidRPr="00DD7ECB">
        <w:rPr>
          <w:noProof/>
        </w:rPr>
        <w:t>TÁ PARLAIMINT NA hEORPA AGUS COMHAI</w:t>
      </w:r>
      <w:r w:rsidRPr="00DD7ECB">
        <w:rPr>
          <w:noProof/>
        </w:rPr>
        <w:t>RLE AN AONTAIS EORPAIGH,</w:t>
      </w:r>
    </w:p>
    <w:p w:rsidR="008D437A" w:rsidRPr="00DD7ECB" w:rsidRDefault="00DD7ECB">
      <w:pPr>
        <w:rPr>
          <w:noProof/>
        </w:rPr>
      </w:pPr>
      <w:r w:rsidRPr="00DD7ECB">
        <w:rPr>
          <w:noProof/>
        </w:rPr>
        <w:t>Ag féachaint don Chonradh ar Fheidhmiú an Aontais Eorpaigh, agus go háirithe Airteagal 91(1) de,</w:t>
      </w:r>
    </w:p>
    <w:p w:rsidR="008D437A" w:rsidRPr="00DD7ECB" w:rsidRDefault="00DD7ECB">
      <w:pPr>
        <w:rPr>
          <w:noProof/>
        </w:rPr>
      </w:pPr>
      <w:r w:rsidRPr="00DD7ECB">
        <w:rPr>
          <w:noProof/>
        </w:rPr>
        <w:t>Ag féachaint don togra ón gCoimisiún Eorpach,</w:t>
      </w:r>
    </w:p>
    <w:p w:rsidR="008D437A" w:rsidRPr="00DD7ECB" w:rsidRDefault="00DD7ECB">
      <w:pPr>
        <w:rPr>
          <w:noProof/>
        </w:rPr>
      </w:pPr>
      <w:r w:rsidRPr="00DD7ECB">
        <w:rPr>
          <w:noProof/>
        </w:rPr>
        <w:t>Tar éis dóibh an dréachtghníomh reachtach a chur chuig na parlaimintí náisiúnta,</w:t>
      </w:r>
    </w:p>
    <w:p w:rsidR="008D437A" w:rsidRPr="00DD7ECB" w:rsidRDefault="00DD7ECB">
      <w:pPr>
        <w:rPr>
          <w:noProof/>
        </w:rPr>
      </w:pPr>
      <w:r w:rsidRPr="00DD7ECB">
        <w:rPr>
          <w:noProof/>
        </w:rPr>
        <w:t>Ag féac</w:t>
      </w:r>
      <w:r w:rsidRPr="00DD7ECB">
        <w:rPr>
          <w:noProof/>
        </w:rPr>
        <w:t>haint don tuairim ó Choiste Eacnamaíoch agus Sóisialta na hEorpa</w:t>
      </w:r>
      <w:r w:rsidRPr="00DD7ECB">
        <w:rPr>
          <w:rStyle w:val="FootnoteReference"/>
          <w:noProof/>
        </w:rPr>
        <w:footnoteReference w:id="4"/>
      </w:r>
      <w:r w:rsidRPr="00DD7ECB">
        <w:rPr>
          <w:noProof/>
        </w:rPr>
        <w:t xml:space="preserve">, </w:t>
      </w:r>
    </w:p>
    <w:p w:rsidR="008D437A" w:rsidRPr="00DD7ECB" w:rsidRDefault="00DD7ECB">
      <w:pPr>
        <w:rPr>
          <w:noProof/>
        </w:rPr>
      </w:pPr>
      <w:r w:rsidRPr="00DD7ECB">
        <w:rPr>
          <w:noProof/>
        </w:rPr>
        <w:t>Ag féachaint don tuairim ó Choiste na Réigiún</w:t>
      </w:r>
      <w:r w:rsidRPr="00DD7ECB">
        <w:rPr>
          <w:rStyle w:val="FootnoteReference"/>
          <w:noProof/>
        </w:rPr>
        <w:footnoteReference w:id="5"/>
      </w:r>
    </w:p>
    <w:p w:rsidR="008D437A" w:rsidRPr="00DD7ECB" w:rsidRDefault="00DD7ECB">
      <w:pPr>
        <w:rPr>
          <w:noProof/>
        </w:rPr>
      </w:pPr>
      <w:r w:rsidRPr="00DD7ECB">
        <w:rPr>
          <w:noProof/>
        </w:rPr>
        <w:t>Ag gníomhú dóibh i gcomhréir leis an ngnáthnós imeachta reachtach,</w:t>
      </w:r>
    </w:p>
    <w:p w:rsidR="008D437A" w:rsidRPr="00DD7ECB" w:rsidRDefault="00DD7ECB">
      <w:pPr>
        <w:rPr>
          <w:noProof/>
        </w:rPr>
      </w:pPr>
      <w:r w:rsidRPr="00DD7ECB">
        <w:rPr>
          <w:noProof/>
        </w:rPr>
        <w:t>De bharr an méid seo a leanas:</w:t>
      </w:r>
    </w:p>
    <w:p w:rsidR="008D437A" w:rsidRPr="00DD7ECB" w:rsidRDefault="00DD7ECB">
      <w:pPr>
        <w:pStyle w:val="ManualConsidrant"/>
        <w:rPr>
          <w:noProof/>
        </w:rPr>
      </w:pPr>
      <w:r w:rsidRPr="00DD7ECB">
        <w:t>(1)</w:t>
      </w:r>
      <w:r w:rsidRPr="00DD7ECB">
        <w:tab/>
      </w:r>
      <w:r w:rsidRPr="00DD7ECB">
        <w:rPr>
          <w:noProof/>
        </w:rPr>
        <w:tab/>
        <w:t>An 29 Márta 2017, chuir an Ríocht Aont</w:t>
      </w:r>
      <w:r w:rsidRPr="00DD7ECB">
        <w:rPr>
          <w:noProof/>
        </w:rPr>
        <w:t>aithe isteach fógra á rá go raibh rún aici tarraingt siar as an Aontas de bhun Airteagal 50 den Chonradh ar an Aontas Eorpach. Scoirfidh na Conarthaí d'fheidhm a bheith acu maidir leis an Ríocht Aontaithe ó dháta theacht i bhfeidhm an chomhaontaithe um tha</w:t>
      </w:r>
      <w:r w:rsidRPr="00DD7ECB">
        <w:rPr>
          <w:noProof/>
        </w:rPr>
        <w:t>rraingt siar nó, ina éagmais sin, dhá bhliain tar éis an fhógra sin, eadhon ón 30 Márta 2019 amach, mura rud é go gcinneann an Chomhairle Eorpach d'aon toil, i gcomhaontú leis an Ríocht Aontaithe, síneadh a chur leis an tréimhse sin.</w:t>
      </w:r>
    </w:p>
    <w:p w:rsidR="008D437A" w:rsidRPr="00DD7ECB" w:rsidRDefault="00DD7ECB">
      <w:pPr>
        <w:pStyle w:val="ManualConsidrant"/>
        <w:rPr>
          <w:noProof/>
        </w:rPr>
      </w:pPr>
      <w:r w:rsidRPr="00DD7ECB">
        <w:t>(2)</w:t>
      </w:r>
      <w:r w:rsidRPr="00DD7ECB">
        <w:tab/>
      </w:r>
      <w:r w:rsidRPr="00DD7ECB">
        <w:rPr>
          <w:noProof/>
        </w:rPr>
        <w:tab/>
        <w:t>I réimse an iompa</w:t>
      </w:r>
      <w:r w:rsidRPr="00DD7ECB">
        <w:rPr>
          <w:noProof/>
        </w:rPr>
        <w:t>ir iarnróid, tá bearta áirithe ann is féidir le hoibreoirí lena mbaineann a dhéanamh chun an tionchar a leigheas a bheidh ag tarraingt siar na Ríochta Aontaithe as an Aontas ar dheimhnithe agus údaruithe, cuir i gcás na hoibreoirí iad féin a bhunú i mBalls</w:t>
      </w:r>
      <w:r w:rsidRPr="00DD7ECB">
        <w:rPr>
          <w:noProof/>
        </w:rPr>
        <w:t xml:space="preserve">tát agus na ceadúnais agus na deimhnithe iomchuí a fháil sa Bhallstát sin.  </w:t>
      </w:r>
    </w:p>
    <w:p w:rsidR="008D437A" w:rsidRPr="00DD7ECB" w:rsidRDefault="00DD7ECB">
      <w:pPr>
        <w:pStyle w:val="ManualConsidrant"/>
        <w:rPr>
          <w:noProof/>
        </w:rPr>
      </w:pPr>
      <w:r w:rsidRPr="00DD7ECB">
        <w:t>(3)</w:t>
      </w:r>
      <w:r w:rsidRPr="00DD7ECB">
        <w:tab/>
      </w:r>
      <w:r w:rsidRPr="00DD7ECB">
        <w:rPr>
          <w:noProof/>
        </w:rPr>
        <w:t>Faoi láthair, is d'údarás dénáisiúnta sábháilteachta, údarás a bunaíodh faoi Chonradh Canterbury, atá cur i bhfeidhm rialacha sábháilteachta an Aontais tugtha. Níor mhór an có</w:t>
      </w:r>
      <w:r w:rsidRPr="00DD7ECB">
        <w:rPr>
          <w:noProof/>
        </w:rPr>
        <w:t xml:space="preserve">ras a bhunaítear leis an gConradh sin a oiriúnú agus stádas tríú tír na Ríochta Aontaithe á chur san áireamh. </w:t>
      </w:r>
    </w:p>
    <w:p w:rsidR="008D437A" w:rsidRPr="00DD7ECB" w:rsidRDefault="00DD7ECB">
      <w:pPr>
        <w:pStyle w:val="ManualConsidrant"/>
        <w:rPr>
          <w:noProof/>
        </w:rPr>
      </w:pPr>
      <w:r w:rsidRPr="00DD7ECB">
        <w:t>(4)</w:t>
      </w:r>
      <w:r w:rsidRPr="00DD7ECB">
        <w:tab/>
      </w:r>
      <w:r w:rsidRPr="00DD7ECB">
        <w:rPr>
          <w:noProof/>
        </w:rPr>
        <w:tab/>
        <w:t>Tá na bearta sa togra seo ag brath ar chaighdeáin agus ar nósanna imeachta sábháilteachta atá comhionann le ceanglais an Aontais agus a bhei</w:t>
      </w:r>
      <w:r w:rsidRPr="00DD7ECB">
        <w:rPr>
          <w:noProof/>
        </w:rPr>
        <w:t xml:space="preserve">th á gcur i bhfeidhm maidir leis an mbonneagar a úsáidtear chun nascacht iarnróid trasteorann leis </w:t>
      </w:r>
      <w:r w:rsidRPr="00DD7ECB">
        <w:rPr>
          <w:noProof/>
        </w:rPr>
        <w:t>an Ríocht Aontaithe</w:t>
      </w:r>
      <w:r w:rsidRPr="00DD7ECB">
        <w:rPr>
          <w:noProof/>
        </w:rPr>
        <w:t xml:space="preserve"> a áirithiú. </w:t>
      </w:r>
    </w:p>
    <w:p w:rsidR="008D437A" w:rsidRPr="00DD7ECB" w:rsidRDefault="00DD7ECB">
      <w:pPr>
        <w:pStyle w:val="ManualConsidrant"/>
        <w:rPr>
          <w:noProof/>
        </w:rPr>
      </w:pPr>
      <w:r w:rsidRPr="00DD7ECB">
        <w:t>(5)</w:t>
      </w:r>
      <w:r w:rsidRPr="00DD7ECB">
        <w:tab/>
      </w:r>
      <w:r w:rsidRPr="00DD7ECB">
        <w:rPr>
          <w:noProof/>
        </w:rPr>
        <w:t>Chun gur féidir le páirtithe lena mbaineann na comhaontuithe is gá a dhéanamh agus chun aon bheart eile is gá a dhéanamh</w:t>
      </w:r>
      <w:r w:rsidRPr="00DD7ECB">
        <w:rPr>
          <w:noProof/>
        </w:rPr>
        <w:t xml:space="preserve"> le s</w:t>
      </w:r>
      <w:r w:rsidRPr="00DD7ECB">
        <w:rPr>
          <w:noProof/>
        </w:rPr>
        <w:t>u</w:t>
      </w:r>
      <w:r w:rsidRPr="00DD7ECB">
        <w:rPr>
          <w:noProof/>
        </w:rPr>
        <w:t>aitheadh a sheachaint, is gá, agus stádas tríú tír na Ríochta Aontaithe á chur san áireamh</w:t>
      </w:r>
      <w:r w:rsidRPr="00DD7ECB">
        <w:rPr>
          <w:noProof/>
        </w:rPr>
        <w:t>,</w:t>
      </w:r>
      <w:r w:rsidRPr="00DD7ECB">
        <w:rPr>
          <w:noProof/>
        </w:rPr>
        <w:t xml:space="preserve"> síneadh a chur le bailíocht údaruithe áirithe.</w:t>
      </w:r>
    </w:p>
    <w:p w:rsidR="008D437A" w:rsidRPr="00DD7ECB" w:rsidRDefault="00DD7ECB">
      <w:pPr>
        <w:pStyle w:val="ManualConsidrant"/>
        <w:rPr>
          <w:noProof/>
        </w:rPr>
      </w:pPr>
      <w:r w:rsidRPr="00DD7ECB">
        <w:t>(6)</w:t>
      </w:r>
      <w:r w:rsidRPr="00DD7ECB">
        <w:tab/>
      </w:r>
      <w:r w:rsidRPr="00DD7ECB">
        <w:rPr>
          <w:noProof/>
        </w:rPr>
        <w:t>Maidir le fad ama an tsínidh sin le bailíocht na n</w:t>
      </w:r>
      <w:r w:rsidRPr="00DD7ECB">
        <w:rPr>
          <w:noProof/>
        </w:rPr>
        <w:noBreakHyphen/>
        <w:t>údaruithe, ba cheart é a theorannú don mhéid ama is fíor</w:t>
      </w:r>
      <w:r w:rsidRPr="00DD7ECB">
        <w:rPr>
          <w:noProof/>
        </w:rPr>
        <w:t xml:space="preserve">ghá chun go mbeidh na Ballstáit lena mbaineann in ann na bearta sin is gá a ghlacadh, i gcomhréir leis na forálacha is infheidhme de dhlí an Aontais. </w:t>
      </w:r>
    </w:p>
    <w:p w:rsidR="008D437A" w:rsidRPr="00DD7ECB" w:rsidRDefault="00DD7ECB">
      <w:pPr>
        <w:pStyle w:val="ManualConsidrant"/>
        <w:rPr>
          <w:noProof/>
        </w:rPr>
      </w:pPr>
      <w:r w:rsidRPr="00DD7ECB">
        <w:t>(7)</w:t>
      </w:r>
      <w:r w:rsidRPr="00DD7ECB">
        <w:tab/>
      </w:r>
      <w:r w:rsidRPr="00DD7ECB">
        <w:rPr>
          <w:noProof/>
        </w:rPr>
        <w:t xml:space="preserve">Chun mórshuaitheadh ar sheirbhísí iarnróid trasteorann leis an Ríocht Aontaithe a sheachaint, is den </w:t>
      </w:r>
      <w:r w:rsidRPr="00DD7ECB">
        <w:rPr>
          <w:noProof/>
        </w:rPr>
        <w:t>bhunriachtanas freisin é go ndéanfaidh na hoibreoirí iarnróid agus na húdaráis náisiúnta na bearta is gá go pras chun a áirithiú go ndéanfar ceadúnais rochtana ar an margadh, ceadúnais tiománaithe traenach, chomh maith leis na deimhnithe, na ceadúnais agus</w:t>
      </w:r>
      <w:r w:rsidRPr="00DD7ECB">
        <w:rPr>
          <w:noProof/>
        </w:rPr>
        <w:t xml:space="preserve"> na húdaruithe is gá chun oibriú ar chríoch an Aontais a eisiúint in am trátha, roimh an 29 Márta 2019.</w:t>
      </w:r>
    </w:p>
    <w:p w:rsidR="008D437A" w:rsidRPr="00DD7ECB" w:rsidRDefault="00DD7ECB">
      <w:pPr>
        <w:pStyle w:val="ManualConsidrant"/>
        <w:rPr>
          <w:noProof/>
        </w:rPr>
      </w:pPr>
      <w:r w:rsidRPr="00DD7ECB">
        <w:t>(8)</w:t>
      </w:r>
      <w:r w:rsidRPr="00DD7ECB">
        <w:tab/>
      </w:r>
      <w:r w:rsidRPr="00DD7ECB">
        <w:rPr>
          <w:noProof/>
        </w:rPr>
        <w:t>Chun coinníollacha aonfhoirmeacha a áirithiú maidir le forálacha an Rialacháin seo a chur chun feidhme, ba cheart cumhachtaí cur chun feidhme a thab</w:t>
      </w:r>
      <w:r w:rsidRPr="00DD7ECB">
        <w:rPr>
          <w:noProof/>
        </w:rPr>
        <w:t>hairt don Choimisiún chun an sochar arna thabhairt do shealbhóirí na n</w:t>
      </w:r>
      <w:r w:rsidRPr="00DD7ECB">
        <w:rPr>
          <w:noProof/>
        </w:rPr>
        <w:noBreakHyphen/>
        <w:t>údaruithe a aistarraingt, i gcás nach n</w:t>
      </w:r>
      <w:r w:rsidRPr="00DD7ECB">
        <w:rPr>
          <w:noProof/>
        </w:rPr>
        <w:noBreakHyphen/>
        <w:t>áirithítear go bhfuil na caighdeáin sábháilteachta atá comhionann leis na ceanglais de chuid an Aontais á gcur i bhfeidhm maidir le haon bhonneag</w:t>
      </w:r>
      <w:r w:rsidRPr="00DD7ECB">
        <w:rPr>
          <w:noProof/>
        </w:rPr>
        <w:t>ar ábhartha.   Ba cheart na cumhachtaí sin a fheidhmiú i gcomhréir le Rialachán (AE) Uimh. 182/2011 ó Pharlaimint na hEorpa agus ón gComhairle</w:t>
      </w:r>
      <w:r w:rsidRPr="00DD7ECB">
        <w:rPr>
          <w:rStyle w:val="FootnoteReference"/>
          <w:noProof/>
        </w:rPr>
        <w:footnoteReference w:id="6"/>
      </w:r>
      <w:r w:rsidRPr="00DD7ECB">
        <w:rPr>
          <w:noProof/>
        </w:rPr>
        <w:t>. Ba cheart an nós imeachta scrúdúcháin a úsáid chun na bearta sin a ghlacadh, toisc an tionchair a d’fhéadfadh a</w:t>
      </w:r>
      <w:r w:rsidRPr="00DD7ECB">
        <w:rPr>
          <w:noProof/>
        </w:rPr>
        <w:t xml:space="preserve"> bheith acu ar shábháilteacht iarnróid. I bhfianaise a phráinní atá an t</w:t>
      </w:r>
      <w:r w:rsidRPr="00DD7ECB">
        <w:rPr>
          <w:noProof/>
        </w:rPr>
        <w:noBreakHyphen/>
        <w:t>ábhar seo, ba cheart don Choimisiún gníomhartha cur chun feidhme is infheidhme láithreach a ghlacadh.</w:t>
      </w:r>
    </w:p>
    <w:p w:rsidR="008D437A" w:rsidRPr="00DD7ECB" w:rsidRDefault="00DD7ECB">
      <w:pPr>
        <w:pStyle w:val="ManualConsidrant"/>
        <w:rPr>
          <w:noProof/>
        </w:rPr>
      </w:pPr>
      <w:r w:rsidRPr="00DD7ECB">
        <w:t>(9)</w:t>
      </w:r>
      <w:r w:rsidRPr="00DD7ECB">
        <w:tab/>
      </w:r>
      <w:r w:rsidRPr="00DD7ECB">
        <w:rPr>
          <w:noProof/>
        </w:rPr>
        <w:t>Mar gheall ar an bpráinn atá ag roinnt le himthosca imeacht na Ríochta Aontai</w:t>
      </w:r>
      <w:r w:rsidRPr="00DD7ECB">
        <w:rPr>
          <w:noProof/>
        </w:rPr>
        <w:t xml:space="preserve">the as an Aontas Eorpach, ba cheart feidhm a bheith ag eisceacht ar an tréimhse ocht seachtaine dá dtagraítear in Airteagal 4 de Phrótacal Uimh. 1 maidir le ról na bparlaimintí náisiúnta san Aontas Eorpach, rud atá i gceangal leis an gConradh ar an Aontas </w:t>
      </w:r>
      <w:r w:rsidRPr="00DD7ECB">
        <w:rPr>
          <w:noProof/>
        </w:rPr>
        <w:t>Eorpach, leis an gConradh ar Fheidhmiú an Aontais Eorpaigh agus leis an gConradh lena mbunaítear an Comhphobal Eorpach do Fhuinneamh Adamhach.</w:t>
      </w:r>
    </w:p>
    <w:p w:rsidR="008D437A" w:rsidRPr="00DD7ECB" w:rsidRDefault="00DD7ECB">
      <w:pPr>
        <w:pStyle w:val="ManualConsidrant"/>
        <w:rPr>
          <w:noProof/>
        </w:rPr>
      </w:pPr>
      <w:r w:rsidRPr="00DD7ECB">
        <w:t>(10)</w:t>
      </w:r>
      <w:r w:rsidRPr="00DD7ECB">
        <w:tab/>
      </w:r>
      <w:r w:rsidRPr="00DD7ECB">
        <w:rPr>
          <w:noProof/>
        </w:rPr>
        <w:t>Ba cheart forálacha an Rialacháin seo a theacht i bhfeidhm ar bhonn práinne agus ba cheart feidhm a bheith a</w:t>
      </w:r>
      <w:r w:rsidRPr="00DD7ECB">
        <w:rPr>
          <w:noProof/>
        </w:rPr>
        <w:t xml:space="preserve">cu, ón lá tar éis an lae a scoirfidh na Conarthaí d'fheidhm a bheith acu maidir leis an Ríocht Aontaithe agus sa Ríocht Aontaithe murar tháinig comhaontú tarraingt siar a tugadh i gcrích leis an Ríocht Aontaithe i bhfeidhm faoin dáta sin, </w:t>
      </w:r>
    </w:p>
    <w:p w:rsidR="008D437A" w:rsidRPr="00DD7ECB" w:rsidRDefault="008D437A">
      <w:pPr>
        <w:rPr>
          <w:noProof/>
        </w:rPr>
      </w:pPr>
    </w:p>
    <w:p w:rsidR="008D437A" w:rsidRPr="00DD7ECB" w:rsidRDefault="00DD7ECB">
      <w:pPr>
        <w:pStyle w:val="Formuledadoption"/>
        <w:rPr>
          <w:noProof/>
        </w:rPr>
      </w:pPr>
      <w:r w:rsidRPr="00DD7ECB">
        <w:rPr>
          <w:noProof/>
        </w:rPr>
        <w:t>TAR ÉIS AN RIAL</w:t>
      </w:r>
      <w:r w:rsidRPr="00DD7ECB">
        <w:rPr>
          <w:noProof/>
        </w:rPr>
        <w:t>ACHÁN SEO A GHLACADH:</w:t>
      </w:r>
    </w:p>
    <w:p w:rsidR="008D437A" w:rsidRPr="00DD7ECB" w:rsidRDefault="00DD7ECB">
      <w:pPr>
        <w:pStyle w:val="Titrearticle"/>
        <w:rPr>
          <w:noProof/>
        </w:rPr>
      </w:pPr>
      <w:r w:rsidRPr="00DD7ECB">
        <w:rPr>
          <w:noProof/>
        </w:rPr>
        <w:t>Airteagal 1</w:t>
      </w:r>
    </w:p>
    <w:p w:rsidR="008D437A" w:rsidRPr="00DD7ECB" w:rsidRDefault="00DD7ECB">
      <w:pPr>
        <w:pStyle w:val="Titrearticle"/>
        <w:rPr>
          <w:b/>
          <w:i w:val="0"/>
          <w:noProof/>
        </w:rPr>
      </w:pPr>
      <w:r w:rsidRPr="00DD7ECB">
        <w:rPr>
          <w:b/>
          <w:i w:val="0"/>
          <w:noProof/>
        </w:rPr>
        <w:t>Ábhar agus raon feidhme an ábhair</w:t>
      </w:r>
    </w:p>
    <w:p w:rsidR="008D437A" w:rsidRPr="00DD7ECB" w:rsidRDefault="00DD7ECB">
      <w:pPr>
        <w:pStyle w:val="ManualNumPar1"/>
        <w:rPr>
          <w:noProof/>
        </w:rPr>
      </w:pPr>
      <w:r w:rsidRPr="00DD7ECB">
        <w:t>1.</w:t>
      </w:r>
      <w:r w:rsidRPr="00DD7ECB">
        <w:tab/>
      </w:r>
      <w:r w:rsidRPr="00DD7ECB">
        <w:rPr>
          <w:noProof/>
        </w:rPr>
        <w:t xml:space="preserve">Leagtar síos leis an Rialachán seo forálacha sonracha le haghaidh tharraingt siar Ríocht Aontaithe na Breataine Móire agus Thuaisceart Éireann (“an Ríocht Aontaithe”) as an Aontas </w:t>
      </w:r>
      <w:r w:rsidRPr="00DD7ECB">
        <w:rPr>
          <w:noProof/>
        </w:rPr>
        <w:t>Eorpach, maidir le húdaruithe sábháilteachta áirithe arna n</w:t>
      </w:r>
      <w:r w:rsidRPr="00DD7ECB">
        <w:rPr>
          <w:noProof/>
        </w:rPr>
        <w:noBreakHyphen/>
        <w:t>eisiúint faoi Threoir 2004/49/CE ó Pharlaimint na hEorpa agus ón gComhairle</w:t>
      </w:r>
      <w:r w:rsidRPr="00DD7ECB">
        <w:rPr>
          <w:rStyle w:val="FootnoteReference"/>
          <w:noProof/>
        </w:rPr>
        <w:footnoteReference w:id="7"/>
      </w:r>
      <w:r w:rsidRPr="00DD7ECB">
        <w:rPr>
          <w:noProof/>
        </w:rPr>
        <w:t xml:space="preserve">.  </w:t>
      </w:r>
    </w:p>
    <w:p w:rsidR="008D437A" w:rsidRPr="00DD7ECB" w:rsidRDefault="00DD7ECB">
      <w:pPr>
        <w:pStyle w:val="ManualNumPar1"/>
        <w:rPr>
          <w:noProof/>
        </w:rPr>
      </w:pPr>
      <w:r w:rsidRPr="00DD7ECB">
        <w:t>2.</w:t>
      </w:r>
      <w:r w:rsidRPr="00DD7ECB">
        <w:tab/>
      </w:r>
      <w:r w:rsidRPr="00DD7ECB">
        <w:rPr>
          <w:noProof/>
        </w:rPr>
        <w:t>Beidh feidhm ag an Rialachán seo maidir leis na húdaruithe sábháilteachta arna n</w:t>
      </w:r>
      <w:r w:rsidRPr="00DD7ECB">
        <w:rPr>
          <w:noProof/>
        </w:rPr>
        <w:noBreakHyphen/>
        <w:t>eisiúint faoi Airteagal 11 de Th</w:t>
      </w:r>
      <w:r w:rsidRPr="00DD7ECB">
        <w:rPr>
          <w:noProof/>
        </w:rPr>
        <w:t xml:space="preserve">reoir 2004/49/CE do </w:t>
      </w:r>
      <w:bookmarkStart w:id="0" w:name="_GoBack"/>
      <w:bookmarkEnd w:id="0"/>
      <w:r w:rsidRPr="00DD7ECB">
        <w:rPr>
          <w:noProof/>
        </w:rPr>
        <w:t>bhainisteoirí bonneagair chun bonneagar trasteorann a nascann an tAontas agus an Ríocht Aontaithe a bhainistiú agus a oibriú, arb údaruithe iad a bheidh bailí ar an lá roimh dháta chur i bhfeidhm an Rialacháin seo.</w:t>
      </w:r>
    </w:p>
    <w:p w:rsidR="008D437A" w:rsidRPr="00DD7ECB" w:rsidRDefault="00DD7ECB">
      <w:pPr>
        <w:pStyle w:val="Titrearticle"/>
        <w:rPr>
          <w:noProof/>
        </w:rPr>
      </w:pPr>
      <w:r w:rsidRPr="00DD7ECB">
        <w:rPr>
          <w:noProof/>
        </w:rPr>
        <w:t>Airteagal 2</w:t>
      </w:r>
    </w:p>
    <w:p w:rsidR="008D437A" w:rsidRPr="00DD7ECB" w:rsidRDefault="00DD7ECB">
      <w:pPr>
        <w:pStyle w:val="Titrearticle"/>
        <w:rPr>
          <w:b/>
          <w:i w:val="0"/>
          <w:noProof/>
        </w:rPr>
      </w:pPr>
      <w:r w:rsidRPr="00DD7ECB">
        <w:rPr>
          <w:b/>
          <w:i w:val="0"/>
          <w:noProof/>
        </w:rPr>
        <w:t>Sainmhíni</w:t>
      </w:r>
      <w:r w:rsidRPr="00DD7ECB">
        <w:rPr>
          <w:b/>
          <w:i w:val="0"/>
          <w:noProof/>
        </w:rPr>
        <w:t>the</w:t>
      </w:r>
    </w:p>
    <w:p w:rsidR="008D437A" w:rsidRPr="00DD7ECB" w:rsidRDefault="00DD7ECB">
      <w:pPr>
        <w:rPr>
          <w:noProof/>
        </w:rPr>
      </w:pPr>
      <w:r w:rsidRPr="00DD7ECB">
        <w:rPr>
          <w:noProof/>
        </w:rPr>
        <w:t>Chun críocha an Rialacháin seo, beidh feidhm ag sainmhínithe ábhartha Threoir 2004/49/CE agus ag na gníomhartha cur chun feidhme arna nglacadh de bhua na Treorach sin. Maidir le sainmhínithe ábhartha Threoir (AE) 2016/798 ó Pharlaimint na hEorpa agus ó</w:t>
      </w:r>
      <w:r w:rsidRPr="00DD7ECB">
        <w:rPr>
          <w:noProof/>
        </w:rPr>
        <w:t>n gComhairle</w:t>
      </w:r>
      <w:r w:rsidRPr="00DD7ECB">
        <w:rPr>
          <w:rStyle w:val="FootnoteReference"/>
          <w:noProof/>
        </w:rPr>
        <w:footnoteReference w:id="8"/>
      </w:r>
      <w:r w:rsidRPr="00DD7ECB">
        <w:rPr>
          <w:noProof/>
        </w:rPr>
        <w:t xml:space="preserve"> agus aon ghníomh tarmligthe agus aon ghníomh cur chun feidhme eile arna ghlacadh de bhun </w:t>
      </w:r>
      <w:r w:rsidRPr="00DD7ECB">
        <w:rPr>
          <w:noProof/>
        </w:rPr>
        <w:t>na Treorach sin</w:t>
      </w:r>
      <w:r w:rsidRPr="00DD7ECB">
        <w:rPr>
          <w:noProof/>
        </w:rPr>
        <w:t xml:space="preserve">, beidh feidhm acu ón dáta is infheidhme í maidir leis na húdaruithe dá dtagraítear in Airteagal 1(2). </w:t>
      </w:r>
    </w:p>
    <w:p w:rsidR="008D437A" w:rsidRPr="00DD7ECB" w:rsidRDefault="00DD7ECB">
      <w:pPr>
        <w:pStyle w:val="Titrearticle"/>
        <w:rPr>
          <w:noProof/>
        </w:rPr>
      </w:pPr>
      <w:r w:rsidRPr="00DD7ECB">
        <w:rPr>
          <w:noProof/>
        </w:rPr>
        <w:t>Airteagal 3</w:t>
      </w:r>
    </w:p>
    <w:p w:rsidR="008D437A" w:rsidRPr="00DD7ECB" w:rsidRDefault="00DD7ECB">
      <w:pPr>
        <w:pStyle w:val="Titrearticle"/>
        <w:rPr>
          <w:b/>
          <w:i w:val="0"/>
          <w:noProof/>
        </w:rPr>
      </w:pPr>
      <w:r w:rsidRPr="00DD7ECB">
        <w:rPr>
          <w:b/>
          <w:i w:val="0"/>
          <w:noProof/>
        </w:rPr>
        <w:t>Bailíocht na n</w:t>
      </w:r>
      <w:r w:rsidRPr="00DD7ECB">
        <w:rPr>
          <w:b/>
          <w:i w:val="0"/>
          <w:noProof/>
        </w:rPr>
        <w:noBreakHyphen/>
      </w:r>
      <w:r w:rsidRPr="00DD7ECB">
        <w:rPr>
          <w:b/>
          <w:i w:val="0"/>
          <w:noProof/>
        </w:rPr>
        <w:t>údaruithe sábháilteachta</w:t>
      </w:r>
    </w:p>
    <w:p w:rsidR="008D437A" w:rsidRPr="00DD7ECB" w:rsidRDefault="00DD7ECB">
      <w:pPr>
        <w:rPr>
          <w:noProof/>
        </w:rPr>
      </w:pPr>
      <w:r w:rsidRPr="00DD7ECB">
        <w:rPr>
          <w:noProof/>
        </w:rPr>
        <w:t xml:space="preserve">Na húdaruithe dá dtagraítear in Airteagal 1(2), beidh siad bailí fós go ceann 3 mhí tar éis dháta chur i bhfeidhm an Rialacháin seo. </w:t>
      </w:r>
    </w:p>
    <w:p w:rsidR="008D437A" w:rsidRPr="00DD7ECB" w:rsidRDefault="00DD7ECB">
      <w:pPr>
        <w:pStyle w:val="Titrearticle"/>
        <w:rPr>
          <w:noProof/>
        </w:rPr>
      </w:pPr>
      <w:r w:rsidRPr="00DD7ECB">
        <w:rPr>
          <w:noProof/>
        </w:rPr>
        <w:t>Airteagal 4</w:t>
      </w:r>
    </w:p>
    <w:p w:rsidR="008D437A" w:rsidRPr="00DD7ECB" w:rsidRDefault="00DD7ECB">
      <w:pPr>
        <w:pStyle w:val="Titrearticle"/>
        <w:rPr>
          <w:b/>
          <w:i w:val="0"/>
          <w:noProof/>
        </w:rPr>
      </w:pPr>
      <w:r w:rsidRPr="00DD7ECB">
        <w:rPr>
          <w:b/>
          <w:i w:val="0"/>
          <w:noProof/>
        </w:rPr>
        <w:t>Rialacha agus oibleagáidí maidir le húdaruithe</w:t>
      </w:r>
    </w:p>
    <w:p w:rsidR="008D437A" w:rsidRPr="00DD7ECB" w:rsidRDefault="00DD7ECB">
      <w:pPr>
        <w:pStyle w:val="ManualNumPar1"/>
        <w:rPr>
          <w:noProof/>
        </w:rPr>
      </w:pPr>
      <w:r w:rsidRPr="00DD7ECB">
        <w:t>1.</w:t>
      </w:r>
      <w:r w:rsidRPr="00DD7ECB">
        <w:tab/>
      </w:r>
      <w:r w:rsidRPr="00DD7ECB">
        <w:rPr>
          <w:noProof/>
        </w:rPr>
        <w:t>Údaruithe atá faoi réir Airteagal </w:t>
      </w:r>
      <w:r w:rsidRPr="00DD7ECB">
        <w:rPr>
          <w:noProof/>
        </w:rPr>
        <w:t>1</w:t>
      </w:r>
      <w:r w:rsidRPr="00DD7ECB">
        <w:rPr>
          <w:noProof/>
        </w:rPr>
        <w:t>(2)</w:t>
      </w:r>
      <w:r w:rsidRPr="00DD7ECB">
        <w:rPr>
          <w:noProof/>
        </w:rPr>
        <w:t xml:space="preserve"> den Rialachán seo, beidh siad faoi réir na rialacha is infheidhme maidir leo i gcomhréir le Treoir 2004/49/CE, agus le Treoir 2016/798/AE ón dáta is infheidhme í maidir leis na húdaruithe sin, agus faoi réir na ngníomhartha cur chun feidhme agus na ngn</w:t>
      </w:r>
      <w:r w:rsidRPr="00DD7ECB">
        <w:rPr>
          <w:noProof/>
        </w:rPr>
        <w:t xml:space="preserve">íomhartha tarmligthe arna nglacadh de bhua na dTreoracha sin. </w:t>
      </w:r>
    </w:p>
    <w:p w:rsidR="008D437A" w:rsidRPr="00DD7ECB" w:rsidRDefault="00DD7ECB">
      <w:pPr>
        <w:pStyle w:val="ManualNumPar1"/>
        <w:rPr>
          <w:noProof/>
        </w:rPr>
      </w:pPr>
      <w:r w:rsidRPr="00DD7ECB">
        <w:t>2.</w:t>
      </w:r>
      <w:r w:rsidRPr="00DD7ECB">
        <w:tab/>
      </w:r>
      <w:r w:rsidRPr="00DD7ECB">
        <w:rPr>
          <w:noProof/>
        </w:rPr>
        <w:t>Comhoibreoidh na sealbhóirí údaruithe dá dtagraítear in Airteagal 1(2) agus, de réir mar is iomchuí, an t</w:t>
      </w:r>
      <w:r w:rsidRPr="00DD7ECB">
        <w:rPr>
          <w:noProof/>
        </w:rPr>
        <w:noBreakHyphen/>
        <w:t>údarás a d'eisigh i gcás nach ionann é agus an tÚdarás Náisiúnta Sábháilteachta a bh</w:t>
      </w:r>
      <w:r w:rsidRPr="00DD7ECB">
        <w:rPr>
          <w:noProof/>
        </w:rPr>
        <w:t xml:space="preserve">fuil an bonneagar ar a chríoch </w:t>
      </w:r>
      <w:r w:rsidRPr="00DD7ECB">
        <w:rPr>
          <w:noProof/>
        </w:rPr>
        <w:t>san Aontas</w:t>
      </w:r>
      <w:r w:rsidRPr="00DD7ECB">
        <w:rPr>
          <w:noProof/>
        </w:rPr>
        <w:t xml:space="preserve">, comhoibreoidh siad leis an Údarás Náisiúnta Sábháilteachta sin agus tabharfaidh siad an fhaisnéis ábhartha uile agus na doiciméid ábhartha uile dó.   </w:t>
      </w:r>
    </w:p>
    <w:p w:rsidR="008D437A" w:rsidRPr="00DD7ECB" w:rsidRDefault="00DD7ECB">
      <w:pPr>
        <w:pStyle w:val="ManualNumPar1"/>
        <w:rPr>
          <w:noProof/>
        </w:rPr>
      </w:pPr>
      <w:r w:rsidRPr="00DD7ECB">
        <w:t>3.</w:t>
      </w:r>
      <w:r w:rsidRPr="00DD7ECB">
        <w:tab/>
      </w:r>
      <w:r w:rsidRPr="00DD7ECB">
        <w:rPr>
          <w:noProof/>
        </w:rPr>
        <w:t>I gcás nach bhfuarthas an fhaisnéis nó na doiciméid sin fao</w:t>
      </w:r>
      <w:r w:rsidRPr="00DD7ECB">
        <w:rPr>
          <w:noProof/>
        </w:rPr>
        <w:t xml:space="preserve">i na sprioc-amanna arna leagan síos </w:t>
      </w:r>
      <w:r w:rsidRPr="00DD7ECB">
        <w:rPr>
          <w:noProof/>
        </w:rPr>
        <w:t>in iarrataí arna ndéanamh ag an Údarás Sábháilteachta Náisiúnta dá dtagraítear i mír 2</w:t>
      </w:r>
      <w:r w:rsidRPr="00DD7ECB">
        <w:rPr>
          <w:noProof/>
        </w:rPr>
        <w:t>, féadfaidh an Coimisiún, ach fhógra a thabhairt don Údarás Sábháilteachta Náisiúnta, trí bhíthin gníomhartha cur chun feidhme arna ng</w:t>
      </w:r>
      <w:r w:rsidRPr="00DD7ECB">
        <w:rPr>
          <w:noProof/>
        </w:rPr>
        <w:t>lacadh i gcomhréir le hAirteagal </w:t>
      </w:r>
      <w:r w:rsidRPr="00DD7ECB">
        <w:rPr>
          <w:noProof/>
        </w:rPr>
        <w:t>7</w:t>
      </w:r>
      <w:r w:rsidRPr="00DD7ECB">
        <w:rPr>
          <w:noProof/>
        </w:rPr>
        <w:t xml:space="preserve">(2), an sochar arna thabhairt don sealbhóir de bhun Airteagal 3 a aistarraingt. </w:t>
      </w:r>
    </w:p>
    <w:p w:rsidR="008D437A" w:rsidRPr="00DD7ECB" w:rsidRDefault="00DD7ECB">
      <w:pPr>
        <w:pStyle w:val="ManualNumPar1"/>
        <w:rPr>
          <w:noProof/>
        </w:rPr>
      </w:pPr>
      <w:r w:rsidRPr="00DD7ECB">
        <w:t>4.</w:t>
      </w:r>
      <w:r w:rsidRPr="00DD7ECB">
        <w:tab/>
      </w:r>
      <w:r w:rsidRPr="00DD7ECB">
        <w:rPr>
          <w:noProof/>
        </w:rPr>
        <w:t>Cuirfidh sealbhóirí údaruithe dá dtagraítear in Airteagal 1(2) den Rialachán seo Gníomhaireacht Iarnróid an Aontais Eorpaigh ar an eolas g</w:t>
      </w:r>
      <w:r w:rsidRPr="00DD7ECB">
        <w:rPr>
          <w:noProof/>
        </w:rPr>
        <w:t>an mhoill faoi aon bheart a rinne údaráis inniúla sábháilteachta eile is féidir a bheidh ag teacht salach ar oibleagáidí na n</w:t>
      </w:r>
      <w:r w:rsidRPr="00DD7ECB">
        <w:rPr>
          <w:noProof/>
        </w:rPr>
        <w:noBreakHyphen/>
        <w:t xml:space="preserve">údarás sin faoin Rialachán seo, faoi Threoir 2004/49/CE agus Treoir 2016/798/AE. </w:t>
      </w:r>
    </w:p>
    <w:p w:rsidR="008D437A" w:rsidRPr="00DD7ECB" w:rsidRDefault="00DD7ECB">
      <w:pPr>
        <w:pStyle w:val="ManualNumPar1"/>
        <w:rPr>
          <w:noProof/>
        </w:rPr>
      </w:pPr>
      <w:r w:rsidRPr="00DD7ECB">
        <w:t>5.</w:t>
      </w:r>
      <w:r w:rsidRPr="00DD7ECB">
        <w:tab/>
      </w:r>
      <w:r w:rsidRPr="00DD7ECB">
        <w:rPr>
          <w:noProof/>
        </w:rPr>
        <w:t>Sula n</w:t>
      </w:r>
      <w:r w:rsidRPr="00DD7ECB">
        <w:rPr>
          <w:noProof/>
        </w:rPr>
        <w:noBreakHyphen/>
        <w:t>aistarraingeoidh an Coimisiún na socha</w:t>
      </w:r>
      <w:r w:rsidRPr="00DD7ECB">
        <w:rPr>
          <w:noProof/>
        </w:rPr>
        <w:t>ir arna dtabhairt don sealbhóir de bhun Airteagal 3, cuirfidh sé in iúl in am trátha don Údarás Sábháilteachta Náisiúnta dá dtagraítear i mír 2, don údarás a d'eisigh na húdaruithe dá dtagraítear in Airteagal 1(2), do shealbhóirí na n</w:t>
      </w:r>
      <w:r w:rsidRPr="00DD7ECB">
        <w:rPr>
          <w:noProof/>
        </w:rPr>
        <w:noBreakHyphen/>
        <w:t>údaruithe sin agus d'</w:t>
      </w:r>
      <w:r w:rsidRPr="00DD7ECB">
        <w:rPr>
          <w:noProof/>
        </w:rPr>
        <w:t>Údarás Sábháilteachta Náisiúnta na Ríochta Aontaithe go bhfuil rún aige dul ar aghaidh leis an aistarraingt sin agus tabharfaidh sé deis dóibh a dtuairimí a chur in iúl.</w:t>
      </w:r>
    </w:p>
    <w:p w:rsidR="008D437A" w:rsidRPr="00DD7ECB" w:rsidRDefault="00DD7ECB">
      <w:pPr>
        <w:pStyle w:val="Titrearticle"/>
        <w:rPr>
          <w:noProof/>
        </w:rPr>
      </w:pPr>
      <w:r w:rsidRPr="00DD7ECB">
        <w:rPr>
          <w:noProof/>
        </w:rPr>
        <w:t>Airteagal 5</w:t>
      </w:r>
    </w:p>
    <w:p w:rsidR="008D437A" w:rsidRPr="00DD7ECB" w:rsidRDefault="00DD7ECB">
      <w:pPr>
        <w:pStyle w:val="Titrearticle"/>
        <w:rPr>
          <w:b/>
          <w:i w:val="0"/>
          <w:noProof/>
        </w:rPr>
      </w:pPr>
      <w:r w:rsidRPr="00DD7ECB">
        <w:rPr>
          <w:b/>
          <w:i w:val="0"/>
          <w:noProof/>
        </w:rPr>
        <w:t>Caighdeáin sábháilteachta</w:t>
      </w:r>
    </w:p>
    <w:p w:rsidR="008D437A" w:rsidRPr="00DD7ECB" w:rsidRDefault="00DD7ECB">
      <w:pPr>
        <w:pStyle w:val="ManualNumPar1"/>
        <w:rPr>
          <w:noProof/>
        </w:rPr>
      </w:pPr>
      <w:r w:rsidRPr="00DD7ECB">
        <w:t>1.</w:t>
      </w:r>
      <w:r w:rsidRPr="00DD7ECB">
        <w:tab/>
      </w:r>
      <w:r w:rsidRPr="00DD7ECB">
        <w:rPr>
          <w:noProof/>
        </w:rPr>
        <w:t>Déanfaidh an tÚdarás Náisiúnta Sábháilteachta</w:t>
      </w:r>
      <w:r w:rsidRPr="00DD7ECB">
        <w:rPr>
          <w:noProof/>
        </w:rPr>
        <w:t xml:space="preserve"> dá dtagraítear in Airteagal 4(2) faireachán ar na caighdeáin sábháilteachta iarnróid atá á gcur i bhfeidhm maidir leis an mbonneagar trasteorann dá dtagraítear in Airteagal 1(2). Cuirfidh an tÚdarás Náisiúnta Sábháilteachta tuarascálacha ar fáil go tráthr</w:t>
      </w:r>
      <w:r w:rsidRPr="00DD7ECB">
        <w:rPr>
          <w:noProof/>
        </w:rPr>
        <w:t xml:space="preserve">ialta don Choimisiún agus do Ghníomhaireacht Iarnróid an Aontais Eorpaigh maidir leis an gceist sin agus cuirfidh sé ag gabháil leo, nuair is iomchuí, moladh go ngníomhódh an Coimisiún i gcomhréir le mír 2. </w:t>
      </w:r>
    </w:p>
    <w:p w:rsidR="008D437A" w:rsidRPr="00DD7ECB" w:rsidRDefault="00DD7ECB">
      <w:pPr>
        <w:pStyle w:val="ManualNumPar1"/>
        <w:rPr>
          <w:noProof/>
        </w:rPr>
      </w:pPr>
      <w:r w:rsidRPr="00DD7ECB">
        <w:t>2.</w:t>
      </w:r>
      <w:r w:rsidRPr="00DD7ECB">
        <w:tab/>
      </w:r>
      <w:r w:rsidRPr="00DD7ECB">
        <w:rPr>
          <w:noProof/>
        </w:rPr>
        <w:t>I gcás ina mbeidh amhras a bhfuil údar leis a</w:t>
      </w:r>
      <w:r w:rsidRPr="00DD7ECB">
        <w:rPr>
          <w:noProof/>
        </w:rPr>
        <w:t xml:space="preserve">r an gCoimisiún nach bhfuil na caighdeáin sábháilteachta á gcur i bhfeidhm maidir le hoibriú bonneagair </w:t>
      </w:r>
      <w:r w:rsidRPr="00DD7ECB">
        <w:rPr>
          <w:noProof/>
        </w:rPr>
        <w:t>atá faoi raon feidhme an Rialacháin seo nó maidir leis an gcuid sin den bhonneagar céanna atá sa Ríocht Aontaithe</w:t>
      </w:r>
      <w:r w:rsidRPr="00DD7ECB">
        <w:rPr>
          <w:noProof/>
        </w:rPr>
        <w:t>, nach bhfuil na caighdeáin sin i gcomh</w:t>
      </w:r>
      <w:r w:rsidRPr="00DD7ECB">
        <w:rPr>
          <w:noProof/>
        </w:rPr>
        <w:t>réir leis na forálacha ábhartha de dhlí an Aontais, déanfaidh sé, gan moill mhíchuí agus trí bhíthin gníomhartha cur chun feidhme arna nglacadh i gcomhréir le Airteagal </w:t>
      </w:r>
      <w:r w:rsidRPr="00DD7ECB">
        <w:rPr>
          <w:noProof/>
        </w:rPr>
        <w:t>7</w:t>
      </w:r>
      <w:r w:rsidRPr="00DD7ECB">
        <w:rPr>
          <w:noProof/>
        </w:rPr>
        <w:t>(2), an sochar arna thabhairt don sealbhóir de bhun Airteagal 3 a aistarraingt.</w:t>
      </w:r>
    </w:p>
    <w:p w:rsidR="008D437A" w:rsidRPr="00DD7ECB" w:rsidRDefault="00DD7ECB">
      <w:pPr>
        <w:pStyle w:val="ManualNumPar1"/>
        <w:rPr>
          <w:noProof/>
        </w:rPr>
      </w:pPr>
      <w:r w:rsidRPr="00DD7ECB">
        <w:t>3.</w:t>
      </w:r>
      <w:r w:rsidRPr="00DD7ECB">
        <w:tab/>
      </w:r>
      <w:r w:rsidRPr="00DD7ECB">
        <w:rPr>
          <w:noProof/>
        </w:rPr>
        <w:t>Chu</w:t>
      </w:r>
      <w:r w:rsidRPr="00DD7ECB">
        <w:rPr>
          <w:noProof/>
        </w:rPr>
        <w:t>n críocha mhír 1, féadfaidh an tÚdarás Náisiúnta Sábháilteachta faisnéis a iarraidh ar na húdaráis inniúla ábhartha agus sprioc-am réasúnta a leagan síos. I gcás nár chuir na húdaráis inniúla ábhartha an fhaisnéis a iarradh ar fáil faoin sprioc-am arna lea</w:t>
      </w:r>
      <w:r w:rsidRPr="00DD7ECB">
        <w:rPr>
          <w:noProof/>
        </w:rPr>
        <w:t>gan síos ag an Údarás Sábháilteachta Náisiúnta nó gur chuir siad faisnéis neamhiomlán ar fáil, féadfaidh an Coimisiún, ach fógra a thabhairt don Údarás Sábháilteachta Náisiúnta, trí bhíthin gníomhartha cur chun feidhme arna nglacadh i gcomhréir le hAirteag</w:t>
      </w:r>
      <w:r w:rsidRPr="00DD7ECB">
        <w:rPr>
          <w:noProof/>
        </w:rPr>
        <w:t>al </w:t>
      </w:r>
      <w:r w:rsidRPr="00DD7ECB">
        <w:rPr>
          <w:noProof/>
        </w:rPr>
        <w:t>7</w:t>
      </w:r>
      <w:r w:rsidRPr="00DD7ECB">
        <w:rPr>
          <w:noProof/>
        </w:rPr>
        <w:t>(2), an sochar arna thabhairt don sealbhóir de bhun Airteagal 3 a aistarraingt.</w:t>
      </w:r>
    </w:p>
    <w:p w:rsidR="008D437A" w:rsidRPr="00DD7ECB" w:rsidRDefault="00DD7ECB">
      <w:pPr>
        <w:pStyle w:val="ManualNumPar1"/>
        <w:rPr>
          <w:noProof/>
        </w:rPr>
      </w:pPr>
      <w:r w:rsidRPr="00DD7ECB">
        <w:t>4.</w:t>
      </w:r>
      <w:r w:rsidRPr="00DD7ECB">
        <w:tab/>
      </w:r>
      <w:r w:rsidRPr="00DD7ECB">
        <w:rPr>
          <w:noProof/>
        </w:rPr>
        <w:t>Sula n</w:t>
      </w:r>
      <w:r w:rsidRPr="00DD7ECB">
        <w:rPr>
          <w:noProof/>
        </w:rPr>
        <w:noBreakHyphen/>
        <w:t xml:space="preserve">aistarraingeoidh an Coimisiún na sochair arna dtabhairt don sealbhóir de bhun Airteagal 3, cuirfidh sé in iúl in am trátha don Údarás Sábháilteachta Náisiúnta dá </w:t>
      </w:r>
      <w:r w:rsidRPr="00DD7ECB">
        <w:rPr>
          <w:noProof/>
        </w:rPr>
        <w:t>dtagraítear in Airteagal 4(2), don údarás a d'eisigh na húdaruithe dá dtagraítear in Airteagal 1(2), do shealbhóirí na n</w:t>
      </w:r>
      <w:r w:rsidRPr="00DD7ECB">
        <w:rPr>
          <w:noProof/>
        </w:rPr>
        <w:noBreakHyphen/>
        <w:t>údaruithe sin agus d'Údarás Sábháilteachta Náisiúnta na Ríochta Aontaithe go bhfuil rún aige dul ar aghaidh leis an aistarraingt sin ag</w:t>
      </w:r>
      <w:r w:rsidRPr="00DD7ECB">
        <w:rPr>
          <w:noProof/>
        </w:rPr>
        <w:t>us tabharfaidh sé deis dóibh a dtuairimí a chur in iúl.</w:t>
      </w:r>
    </w:p>
    <w:p w:rsidR="008D437A" w:rsidRPr="00DD7ECB" w:rsidRDefault="00DD7ECB">
      <w:pPr>
        <w:pStyle w:val="Titrearticle"/>
        <w:rPr>
          <w:noProof/>
        </w:rPr>
      </w:pPr>
      <w:r w:rsidRPr="00DD7ECB">
        <w:rPr>
          <w:noProof/>
        </w:rPr>
        <w:t>Airteagal 6</w:t>
      </w:r>
    </w:p>
    <w:p w:rsidR="008D437A" w:rsidRPr="00DD7ECB" w:rsidRDefault="00DD7ECB">
      <w:pPr>
        <w:pStyle w:val="Titrearticle"/>
        <w:rPr>
          <w:b/>
          <w:i w:val="0"/>
          <w:noProof/>
        </w:rPr>
      </w:pPr>
      <w:r w:rsidRPr="00DD7ECB">
        <w:rPr>
          <w:b/>
          <w:i w:val="0"/>
          <w:noProof/>
        </w:rPr>
        <w:t>Comhairliúchán agus comhar</w:t>
      </w:r>
    </w:p>
    <w:p w:rsidR="008D437A" w:rsidRPr="00DD7ECB" w:rsidRDefault="00DD7ECB">
      <w:pPr>
        <w:pStyle w:val="ManualNumPar1"/>
        <w:rPr>
          <w:noProof/>
        </w:rPr>
      </w:pPr>
      <w:r w:rsidRPr="00DD7ECB">
        <w:t>1.</w:t>
      </w:r>
      <w:r w:rsidRPr="00DD7ECB">
        <w:tab/>
      </w:r>
      <w:r w:rsidRPr="00DD7ECB">
        <w:rPr>
          <w:noProof/>
        </w:rPr>
        <w:t>Rachaidh údaráis inniúla na mBallstát i gcomhairle agus i gcomhar le húdaráis inniúla na Ríochta Aontaithe de réir mar is gá chun cur chun feidhme an Rialachá</w:t>
      </w:r>
      <w:r w:rsidRPr="00DD7ECB">
        <w:rPr>
          <w:noProof/>
        </w:rPr>
        <w:t xml:space="preserve">in seo a áirithiú. </w:t>
      </w:r>
    </w:p>
    <w:p w:rsidR="008D437A" w:rsidRPr="00DD7ECB" w:rsidRDefault="00DD7ECB">
      <w:pPr>
        <w:pStyle w:val="ManualNumPar1"/>
        <w:rPr>
          <w:noProof/>
        </w:rPr>
      </w:pPr>
      <w:r w:rsidRPr="00DD7ECB">
        <w:t>2.</w:t>
      </w:r>
      <w:r w:rsidRPr="00DD7ECB">
        <w:tab/>
      </w:r>
      <w:r w:rsidRPr="00DD7ECB">
        <w:rPr>
          <w:noProof/>
        </w:rPr>
        <w:t>Cuirfidh na Ballstáit ar fáil don Choimisiúin, arna iarraidh sin orthu, gan moill mhíchuí, aon fhaisnéis a fhaightear de bhun mhír 1 nó aon fhaisnéis eile is ábhartha chun an Rialachán seo a chur chun feidhme.</w:t>
      </w:r>
    </w:p>
    <w:p w:rsidR="008D437A" w:rsidRPr="00DD7ECB" w:rsidRDefault="00DD7ECB">
      <w:pPr>
        <w:pStyle w:val="Titrearticle"/>
        <w:rPr>
          <w:noProof/>
        </w:rPr>
      </w:pPr>
      <w:r w:rsidRPr="00DD7ECB">
        <w:rPr>
          <w:noProof/>
        </w:rPr>
        <w:t>Airteagal 7</w:t>
      </w:r>
    </w:p>
    <w:p w:rsidR="008D437A" w:rsidRPr="00DD7ECB" w:rsidRDefault="00DD7ECB">
      <w:pPr>
        <w:pStyle w:val="Titrearticle"/>
        <w:rPr>
          <w:b/>
          <w:bCs/>
          <w:i w:val="0"/>
          <w:noProof/>
        </w:rPr>
      </w:pPr>
      <w:r w:rsidRPr="00DD7ECB">
        <w:rPr>
          <w:b/>
          <w:i w:val="0"/>
          <w:noProof/>
        </w:rPr>
        <w:t>An Coiste</w:t>
      </w:r>
    </w:p>
    <w:p w:rsidR="008D437A" w:rsidRPr="00DD7ECB" w:rsidRDefault="00DD7ECB">
      <w:pPr>
        <w:pStyle w:val="ManualNumPar1"/>
        <w:rPr>
          <w:noProof/>
        </w:rPr>
      </w:pPr>
      <w:r w:rsidRPr="00DD7ECB">
        <w:rPr>
          <w:noProof/>
        </w:rPr>
        <w:t>1</w:t>
      </w:r>
      <w:r w:rsidRPr="00DD7ECB">
        <w:rPr>
          <w:noProof/>
        </w:rPr>
        <w:t>.</w:t>
      </w:r>
      <w:r w:rsidRPr="00DD7ECB">
        <w:rPr>
          <w:noProof/>
        </w:rPr>
        <w:tab/>
        <w:t xml:space="preserve">An coiste dá dtagraítear in Airteagal 51 de Threoir 2016/797/AE </w:t>
      </w:r>
      <w:r w:rsidRPr="00DD7ECB">
        <w:rPr>
          <w:noProof/>
        </w:rPr>
        <w:t>ó Pharlaimint na hEorpa agus ón gComhairle</w:t>
      </w:r>
      <w:r w:rsidRPr="00DD7ECB">
        <w:rPr>
          <w:rStyle w:val="FootnoteReference"/>
          <w:noProof/>
        </w:rPr>
        <w:footnoteReference w:id="9"/>
      </w:r>
      <w:r w:rsidRPr="00DD7ECB">
        <w:rPr>
          <w:noProof/>
        </w:rPr>
        <w:t xml:space="preserve"> tabharfaidh sé cúnamh don Choimisiún. Beidh an coiste sin ina choiste de réir bhrí Rialachán (AE) Uimh. 182/2011.  </w:t>
      </w:r>
    </w:p>
    <w:p w:rsidR="008D437A" w:rsidRPr="00DD7ECB" w:rsidRDefault="00DD7ECB">
      <w:pPr>
        <w:pStyle w:val="ManualNumPar1"/>
        <w:rPr>
          <w:i/>
          <w:noProof/>
        </w:rPr>
      </w:pPr>
      <w:r w:rsidRPr="00DD7ECB">
        <w:rPr>
          <w:noProof/>
        </w:rPr>
        <w:t xml:space="preserve">2. </w:t>
      </w:r>
      <w:r w:rsidRPr="00DD7ECB">
        <w:rPr>
          <w:noProof/>
        </w:rPr>
        <w:tab/>
        <w:t xml:space="preserve">I gcás ina ndéanfar </w:t>
      </w:r>
      <w:r w:rsidRPr="00DD7ECB">
        <w:rPr>
          <w:noProof/>
        </w:rPr>
        <w:t>tagairt don mhír seo, beidh feidhm ag Airteagal 8 de Rialachán (AE) Uimh. 182/2011, i dteannta Airteagal 5 de.</w:t>
      </w:r>
    </w:p>
    <w:p w:rsidR="008D437A" w:rsidRPr="00DD7ECB" w:rsidRDefault="00DD7ECB">
      <w:pPr>
        <w:pStyle w:val="Titrearticle"/>
        <w:rPr>
          <w:noProof/>
        </w:rPr>
      </w:pPr>
      <w:r w:rsidRPr="00DD7ECB">
        <w:rPr>
          <w:noProof/>
        </w:rPr>
        <w:t>Airteagal 8</w:t>
      </w:r>
    </w:p>
    <w:p w:rsidR="008D437A" w:rsidRPr="00DD7ECB" w:rsidRDefault="00DD7ECB">
      <w:pPr>
        <w:pStyle w:val="Titrearticle"/>
        <w:rPr>
          <w:b/>
          <w:i w:val="0"/>
          <w:noProof/>
        </w:rPr>
      </w:pPr>
      <w:r w:rsidRPr="00DD7ECB">
        <w:rPr>
          <w:b/>
          <w:i w:val="0"/>
          <w:noProof/>
        </w:rPr>
        <w:t>Teacht i bhfeidhm agus cur i bhfeidhm</w:t>
      </w:r>
    </w:p>
    <w:p w:rsidR="008D437A" w:rsidRPr="00DD7ECB" w:rsidRDefault="00DD7ECB">
      <w:pPr>
        <w:pStyle w:val="ManualNumPar1"/>
        <w:rPr>
          <w:noProof/>
        </w:rPr>
      </w:pPr>
      <w:r w:rsidRPr="00DD7ECB">
        <w:t>1.</w:t>
      </w:r>
      <w:r w:rsidRPr="00DD7ECB">
        <w:tab/>
      </w:r>
      <w:r w:rsidRPr="00DD7ECB">
        <w:rPr>
          <w:noProof/>
        </w:rPr>
        <w:t xml:space="preserve">Tiocfaidh an Rialachán seo i bhfeidhm an lá tar éis lá a fhoilsithe in </w:t>
      </w:r>
      <w:r w:rsidRPr="00DD7ECB">
        <w:rPr>
          <w:i/>
          <w:noProof/>
        </w:rPr>
        <w:t>Iris Oifigiúil an Aon</w:t>
      </w:r>
      <w:r w:rsidRPr="00DD7ECB">
        <w:rPr>
          <w:i/>
          <w:noProof/>
        </w:rPr>
        <w:t>tais Eorpaigh</w:t>
      </w:r>
      <w:r w:rsidRPr="00DD7ECB">
        <w:rPr>
          <w:noProof/>
        </w:rPr>
        <w:t>.</w:t>
      </w:r>
    </w:p>
    <w:p w:rsidR="008D437A" w:rsidRPr="00DD7ECB" w:rsidRDefault="00DD7ECB">
      <w:pPr>
        <w:pStyle w:val="ManualNumPar1"/>
        <w:rPr>
          <w:noProof/>
        </w:rPr>
      </w:pPr>
      <w:r w:rsidRPr="00DD7ECB">
        <w:t>2.</w:t>
      </w:r>
      <w:r w:rsidRPr="00DD7ECB">
        <w:tab/>
      </w:r>
      <w:r w:rsidRPr="00DD7ECB">
        <w:rPr>
          <w:noProof/>
        </w:rPr>
        <w:t>Beidh feidhm aige ón lá tar éis an lae a scoirfidh na Conarthaí d'fheidhm a bheith acu maidir leis an Ríocht Aontaithe agus sa Ríocht Aontaithe de bhun Airteagal 50(3) den Chonradh ar an Aontas Eorpach.</w:t>
      </w:r>
    </w:p>
    <w:p w:rsidR="008D437A" w:rsidRPr="00DD7ECB" w:rsidRDefault="00DD7ECB">
      <w:pPr>
        <w:pStyle w:val="ManualNumPar1"/>
        <w:rPr>
          <w:noProof/>
        </w:rPr>
      </w:pPr>
      <w:r w:rsidRPr="00DD7ECB">
        <w:t>3.</w:t>
      </w:r>
      <w:r w:rsidRPr="00DD7ECB">
        <w:tab/>
      </w:r>
      <w:r w:rsidRPr="00DD7ECB">
        <w:rPr>
          <w:noProof/>
        </w:rPr>
        <w:t>Ní bheidh feidhm ag an Rialachán</w:t>
      </w:r>
      <w:r w:rsidRPr="00DD7ECB">
        <w:rPr>
          <w:noProof/>
        </w:rPr>
        <w:t xml:space="preserve"> seo má tháinig comhaontú um tharraingt siar, arna thabhairt i gcrích leis an Ríocht Aontaithe i gcomhréir le hAirteagal 50(2) den Chonradh ar an Aontas Eorpach, i bhfeidhm faoin dáta dá dtagraítear i mír 2.</w:t>
      </w:r>
    </w:p>
    <w:p w:rsidR="008D437A" w:rsidRPr="00DD7ECB" w:rsidRDefault="00DD7ECB">
      <w:pPr>
        <w:pStyle w:val="ManualNumPar1"/>
        <w:rPr>
          <w:noProof/>
        </w:rPr>
      </w:pPr>
      <w:r w:rsidRPr="00DD7ECB">
        <w:t>4.</w:t>
      </w:r>
      <w:r w:rsidRPr="00DD7ECB">
        <w:tab/>
      </w:r>
      <w:r w:rsidRPr="00DD7ECB">
        <w:rPr>
          <w:noProof/>
        </w:rPr>
        <w:t>Scoirfidh an Rialachán seo d'fheidhm a bheith</w:t>
      </w:r>
      <w:r w:rsidRPr="00DD7ECB">
        <w:rPr>
          <w:noProof/>
        </w:rPr>
        <w:t xml:space="preserve"> aige trí mhí </w:t>
      </w:r>
      <w:r w:rsidRPr="00DD7ECB">
        <w:rPr>
          <w:noProof/>
        </w:rPr>
        <w:t xml:space="preserve">tar éis dó a bheith infheidhme </w:t>
      </w:r>
      <w:r w:rsidRPr="00DD7ECB">
        <w:rPr>
          <w:noProof/>
        </w:rPr>
        <w:t>i gcomhréir le mír 2.</w:t>
      </w:r>
    </w:p>
    <w:p w:rsidR="008D437A" w:rsidRPr="00DD7ECB" w:rsidRDefault="00DD7ECB">
      <w:pPr>
        <w:pStyle w:val="Applicationdirecte"/>
        <w:keepNext/>
        <w:keepLines/>
        <w:rPr>
          <w:noProof/>
        </w:rPr>
      </w:pPr>
      <w:r w:rsidRPr="00DD7ECB">
        <w:rPr>
          <w:noProof/>
        </w:rPr>
        <w:t>Beidh an Rialachán seo ina cheangal go huile agus go hiomlán agus beidh sé infheidhme go díreach i ngach Ballstát.</w:t>
      </w:r>
    </w:p>
    <w:p w:rsidR="008D437A" w:rsidRPr="00DD7ECB" w:rsidRDefault="00DD7ECB">
      <w:pPr>
        <w:pStyle w:val="Fait"/>
        <w:rPr>
          <w:noProof/>
        </w:rPr>
      </w:pPr>
      <w:r w:rsidRPr="00DD7ECB">
        <w:t>Arna dhéanamh in Strasbourg,</w:t>
      </w:r>
    </w:p>
    <w:p w:rsidR="008D437A" w:rsidRPr="00DD7ECB" w:rsidRDefault="00DD7ECB">
      <w:pPr>
        <w:pStyle w:val="Institutionquisigne"/>
        <w:rPr>
          <w:noProof/>
        </w:rPr>
      </w:pPr>
      <w:r w:rsidRPr="00DD7ECB">
        <w:rPr>
          <w:noProof/>
        </w:rPr>
        <w:t>Thar ceann Pharlaimint na hEorpa</w:t>
      </w:r>
      <w:r w:rsidRPr="00DD7ECB">
        <w:rPr>
          <w:noProof/>
        </w:rPr>
        <w:tab/>
        <w:t>Thar ceann n</w:t>
      </w:r>
      <w:r w:rsidRPr="00DD7ECB">
        <w:rPr>
          <w:noProof/>
        </w:rPr>
        <w:t>a Comhairle</w:t>
      </w:r>
    </w:p>
    <w:p w:rsidR="008D437A" w:rsidRDefault="00DD7ECB">
      <w:pPr>
        <w:pStyle w:val="Personnequisigne"/>
        <w:rPr>
          <w:noProof/>
        </w:rPr>
      </w:pPr>
      <w:r w:rsidRPr="00DD7ECB">
        <w:rPr>
          <w:noProof/>
        </w:rPr>
        <w:t>An tUachtarán</w:t>
      </w:r>
      <w:r w:rsidRPr="00DD7ECB">
        <w:rPr>
          <w:noProof/>
        </w:rPr>
        <w:tab/>
        <w:t>An tUachtarán</w:t>
      </w:r>
    </w:p>
    <w:sectPr w:rsidR="008D437A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489827" w16cid:durableId="200746F8"/>
  <w16cid:commentId w16cid:paraId="66D40F26" w16cid:durableId="200746F9"/>
  <w16cid:commentId w16cid:paraId="157B78D3" w16cid:durableId="200746FB"/>
  <w16cid:commentId w16cid:paraId="0EB9E1DA" w16cid:durableId="200746FC"/>
  <w16cid:commentId w16cid:paraId="2C3BCB11" w16cid:durableId="200746FD"/>
  <w16cid:commentId w16cid:paraId="0CEC882F" w16cid:durableId="200746FE"/>
  <w16cid:commentId w16cid:paraId="07ADE9D7" w16cid:durableId="200746FF"/>
  <w16cid:commentId w16cid:paraId="7EF97E35" w16cid:durableId="20074700"/>
  <w16cid:commentId w16cid:paraId="743C7B25" w16cid:durableId="20074701"/>
  <w16cid:commentId w16cid:paraId="5A021876" w16cid:durableId="20074702"/>
  <w16cid:commentId w16cid:paraId="4FB4B8D7" w16cid:durableId="20074703"/>
  <w16cid:commentId w16cid:paraId="4ADED9A0" w16cid:durableId="20074704"/>
  <w16cid:commentId w16cid:paraId="52C4FC7B" w16cid:durableId="20074705"/>
  <w16cid:commentId w16cid:paraId="35415BB9" w16cid:durableId="200747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7A" w:rsidRDefault="00DD7ECB">
      <w:pPr>
        <w:spacing w:before="0" w:after="0"/>
      </w:pPr>
      <w:r>
        <w:separator/>
      </w:r>
    </w:p>
  </w:endnote>
  <w:endnote w:type="continuationSeparator" w:id="0">
    <w:p w:rsidR="008D437A" w:rsidRDefault="00DD7ECB">
      <w:pPr>
        <w:spacing w:before="0" w:after="0"/>
      </w:pPr>
      <w:r>
        <w:continuationSeparator/>
      </w:r>
    </w:p>
  </w:endnote>
  <w:endnote w:type="continuationNotice" w:id="1">
    <w:p w:rsidR="008D437A" w:rsidRDefault="008D437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7A" w:rsidRDefault="008D4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7A" w:rsidRDefault="00DD7ECB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7A" w:rsidRDefault="008D437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7A" w:rsidRDefault="00DD7ECB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7A" w:rsidRDefault="008D4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7A" w:rsidRDefault="00DD7ECB">
      <w:pPr>
        <w:spacing w:before="0" w:after="0"/>
      </w:pPr>
      <w:r>
        <w:separator/>
      </w:r>
    </w:p>
  </w:footnote>
  <w:footnote w:type="continuationSeparator" w:id="0">
    <w:p w:rsidR="008D437A" w:rsidRDefault="00DD7ECB">
      <w:pPr>
        <w:spacing w:before="0" w:after="0"/>
      </w:pPr>
      <w:r>
        <w:continuationSeparator/>
      </w:r>
    </w:p>
  </w:footnote>
  <w:footnote w:type="continuationNotice" w:id="1">
    <w:p w:rsidR="008D437A" w:rsidRDefault="008D437A">
      <w:pPr>
        <w:spacing w:before="0" w:after="0"/>
      </w:pPr>
    </w:p>
  </w:footnote>
  <w:footnote w:id="2">
    <w:p w:rsidR="008D437A" w:rsidRDefault="00DD7ECB">
      <w:pPr>
        <w:pStyle w:val="FootnoteText"/>
        <w:rPr>
          <w:lang w:val="da-DK"/>
        </w:rPr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https://ec.europa.eu/commission/sites/beta-political/files/draft_withdrawal_agreement_0.pdf</w:t>
        </w:r>
      </w:hyperlink>
      <w:r>
        <w:t>.</w:t>
      </w:r>
    </w:p>
  </w:footnote>
  <w:footnote w:id="3">
    <w:p w:rsidR="008D437A" w:rsidRDefault="00DD7ECB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CO</w:t>
      </w:r>
      <w:r>
        <w:rPr>
          <w:lang w:val="pt-PT"/>
        </w:rPr>
        <w:t>M(2018)880 final, 13.11.2018.</w:t>
      </w:r>
    </w:p>
  </w:footnote>
  <w:footnote w:id="4">
    <w:p w:rsidR="008D437A" w:rsidRDefault="00DD7ECB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IO C […], […], lch. […].</w:t>
      </w:r>
    </w:p>
  </w:footnote>
  <w:footnote w:id="5">
    <w:p w:rsidR="008D437A" w:rsidRDefault="00DD7ECB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IO C […], […], lch. […].</w:t>
      </w:r>
    </w:p>
  </w:footnote>
  <w:footnote w:id="6">
    <w:p w:rsidR="008D437A" w:rsidRDefault="00DD7ECB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Rialachán (AE) Uimh. 182/2011 ó Pharlaimint na hEorpa agus ón gComhairle an 16 Feabhra 2011 lena leagtar síos na rialacha agus na prionsabail ghinearálta a bhaineann leis</w:t>
      </w:r>
      <w:r>
        <w:rPr>
          <w:lang w:val="pt-PT"/>
        </w:rPr>
        <w:t xml:space="preserve"> na sásraí maidir le rialú ag na Ballstáit ar fheidhmiú cumhachtaí cur chun feidhme ag an gCoimisiún, IO L 55, 28.2.2011, lch. 13.</w:t>
      </w:r>
    </w:p>
  </w:footnote>
  <w:footnote w:id="7">
    <w:p w:rsidR="008D437A" w:rsidRDefault="00DD7ECB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Treoir 2004/49/CE ó Pharlaimint na hEorpa agus ón gComhairle an 29 Aibreán 2004 maidir le sábháilteacht ar iarnróid an Chom</w:t>
      </w:r>
      <w:r>
        <w:rPr>
          <w:lang w:val="pt-PT"/>
        </w:rPr>
        <w:t>hphobail agus lena leasaítear Treoir 95/18/CE ón gComhairle maidir le ceadúnú gnóthas iarnróid agus Treoir 2001/14/CE maidir le toilleadh bonneagair iarnróid a leithdháileadh agus muirir ar úsáid bonneagair iarnróid agus ar dheimhniúchán sábháilteachta a g</w:t>
      </w:r>
      <w:r>
        <w:rPr>
          <w:lang w:val="pt-PT"/>
        </w:rPr>
        <w:t>hearradh, IO L 164, 30.4.2004, lch. 44.</w:t>
      </w:r>
    </w:p>
  </w:footnote>
  <w:footnote w:id="8">
    <w:p w:rsidR="008D437A" w:rsidRDefault="00DD7ECB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Treoir (AE) 2016/798 ó Pharlaimint na hEorpa agus ón gComhairle an 11 Bealtaine 2016 maidir le sábháilteacht iarnróid (athmhúnlú), IO L 138, 26.5.2016, lch. 102.</w:t>
      </w:r>
    </w:p>
  </w:footnote>
  <w:footnote w:id="9">
    <w:p w:rsidR="008D437A" w:rsidRDefault="00DD7ECB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 xml:space="preserve">Treoir (AE) 2016/797 ó Pharlaimint na hEorpa agus </w:t>
      </w:r>
      <w:r>
        <w:rPr>
          <w:lang w:val="pt-PT"/>
        </w:rPr>
        <w:t>ón gComhairle an 11 Bealtaine 2016 maidir le hidir-inoibritheacht an chórais iarnróid laistigh den Aontas Eorpach, IO L 138, 26.5.2016, lch. 44.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7A" w:rsidRDefault="008D4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7A" w:rsidRDefault="008D43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7A" w:rsidRDefault="008D4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55C27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0640C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FF0A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9B4C4C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20B64A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BD055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1162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0AC22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 w:numId="29">
    <w:abstractNumId w:val="18"/>
  </w:num>
  <w:num w:numId="30">
    <w:abstractNumId w:val="12"/>
  </w:num>
  <w:num w:numId="31">
    <w:abstractNumId w:val="20"/>
  </w:num>
  <w:num w:numId="32">
    <w:abstractNumId w:val="11"/>
  </w:num>
  <w:num w:numId="33">
    <w:abstractNumId w:val="13"/>
  </w:num>
  <w:num w:numId="34">
    <w:abstractNumId w:val="9"/>
  </w:num>
  <w:num w:numId="35">
    <w:abstractNumId w:val="19"/>
  </w:num>
  <w:num w:numId="36">
    <w:abstractNumId w:val="8"/>
  </w:num>
  <w:num w:numId="37">
    <w:abstractNumId w:val="14"/>
  </w:num>
  <w:num w:numId="38">
    <w:abstractNumId w:val="16"/>
  </w:num>
  <w:num w:numId="39">
    <w:abstractNumId w:val="17"/>
  </w:num>
  <w:num w:numId="40">
    <w:abstractNumId w:val="10"/>
  </w:num>
  <w:num w:numId="41">
    <w:abstractNumId w:val="15"/>
  </w:num>
  <w:num w:numId="4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2-12 14:39:0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RRIGENDUM" w:val="&lt;UNUSED&gt;"/>
    <w:docVar w:name="LW_COVERPAGE_EXISTS" w:val="True"/>
    <w:docVar w:name="LW_COVERPAGE_GUID" w:val="21A211D2-7985-4F91-8E90-DB9E26CED60C"/>
    <w:docVar w:name="LW_COVERPAGE_TYPE" w:val="1"/>
    <w:docVar w:name="LW_CROSSREFERENCE" w:val="&lt;UNUSED&gt;"/>
    <w:docVar w:name="LW_DocType" w:val="COM"/>
    <w:docVar w:name="LW_EMISSION" w:val="12.2.2019"/>
    <w:docVar w:name="LW_EMISSION_ISODATE" w:val="2019-02-12"/>
    <w:docVar w:name="LW_EMISSION_LOCATION" w:val="STR"/>
    <w:docVar w:name="LW_EMISSION_PREFIX" w:val="Strasbourg, "/>
    <w:docVar w:name="LW_EMISSION_SUFFIX" w:val="&lt;EMPTY&gt;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(Téacs atá ábhartha maidir le LEE)"/>
    <w:docVar w:name="LW_LANGUE" w:val="GA"/>
    <w:docVar w:name="LW_LEVEL_OF_SENSITIVITY" w:val="Standard treatment"/>
    <w:docVar w:name="LW_NOM.INST" w:val="AN COIMISIÚN EORPACH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40"/>
    <w:docVar w:name="LW_REF.II.NEW.CP_YEAR" w:val="2019"/>
    <w:docVar w:name="LW_REF.INST.NEW" w:val="COM"/>
    <w:docVar w:name="LW_REF.INST.NEW_ADOPTED" w:val="final"/>
    <w:docVar w:name="LW_REF.INST.NEW_TEXT" w:val="(2019) 8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Togra le haghaidh"/>
    <w:docVar w:name="LW_SUPERTITRE" w:val="&lt;UNUSED&gt;"/>
    <w:docVar w:name="LW_TITRE.OBJ.CP" w:val="i ndáil le gnéithe áirithe den tsábháilteacht agus den nascacht iarnróid a mhéid a bhaineann le tarraingt siar Ríocht Aontaithe na Breataine Móire agus Thuaisceart Éireann as an Aontas "/>
    <w:docVar w:name="LW_TYPE.DOC.CP" w:val="RIALACHÁN Ó PHARLAIMINT NA hEORPA AGUS ÓN gCOMHAIRLE"/>
  </w:docVars>
  <w:rsids>
    <w:rsidRoot w:val="008D437A"/>
    <w:rsid w:val="008D437A"/>
    <w:rsid w:val="00D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ga-IE"/>
    </w:rPr>
  </w:style>
  <w:style w:type="character" w:customStyle="1" w:styleId="DeltaViewInsertion">
    <w:name w:val="DeltaView Insertion"/>
    <w:uiPriority w:val="99"/>
    <w:rPr>
      <w:b/>
      <w:i/>
      <w:color w:val="0000FF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">
    <w:name w:val="Para"/>
    <w:basedOn w:val="NumPar1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ga-I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4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29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8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3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65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49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commission/sites/beta-political/files/draft_withdrawal_agreement_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EC Document</p:Name>
  <p:Description/>
  <p:Statement/>
  <p:PolicyItems>
    <p:PolicyItem featureId="Microsoft.Office.RecordsManagement.PolicyFeatures.PolicyAudit" staticId="0x010100258AA79CEB83498886A3A0868112325000D33D44CF0C8FEB45875F235DEEF2E1B9|8138272" UniqueId="82ebddaa-263f-44a4-b383-ae40ea096670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5173920-bf43-43cc-9123-1897e847dfc2" xsi:nil="true"/>
    <_Status xmlns="http://schemas.microsoft.com/sharepoint/v3/fields">Not Started</_Status>
    <EC_Collab_Status xmlns="25173920-bf43-43cc-9123-1897e847dfc2">Not Started</EC_Collab_Status>
    <DG xmlns="25173920-bf43-43cc-9123-1897e847dfc2"/>
    <EC_Collab_DocumentLanguage xmlns="25173920-bf43-43cc-9123-1897e847dfc2">EN</EC_Collab_DocumentLanguage>
    <RelatedItem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33D44CF0C8FEB45875F235DEEF2E1B9" ma:contentTypeVersion="7" ma:contentTypeDescription="Create a new document in this library." ma:contentTypeScope="" ma:versionID="0cb51d011d44aaa2f2f2559eb8aaf02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5173920-bf43-43cc-9123-1897e847dfc2" targetNamespace="http://schemas.microsoft.com/office/2006/metadata/properties" ma:root="true" ma:fieldsID="a931e117a4c2a292401c17c6d61581df" ns1:_="" ns2:_="" ns3:_="">
    <xsd:import namespace="http://schemas.microsoft.com/sharepoint/v3"/>
    <xsd:import namespace="http://schemas.microsoft.com/sharepoint/v3/fields"/>
    <xsd:import namespace="25173920-bf43-43cc-9123-1897e847dfc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1:RelatedItems" minOccurs="0"/>
                <xsd:element ref="ns3:DG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16" nillable="true" ma:displayName="Related Items" ma:internalName="RelatedItems" ma:readOnly="false">
      <xsd:simpleType>
        <xsd:restriction base="dms:Not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3920-bf43-43cc-9123-1897e847dfc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G" ma:index="17" nillable="true" ma:displayName="DG" ma:description="Associated DG(s)" ma:list="{a436e1b9-89ab-4a0f-bf89-77e0c01004af}" ma:internalName="D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4933-A1A7-46FC-8A71-8DBA45C8329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09F2297-0230-46F0-A5A3-82C3A9A02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73828-6C65-40D4-BA74-D9B2A13A8297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5173920-bf43-43cc-9123-1897e847dfc2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EC84A9-6480-45DC-B25C-A240D9E8E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5173920-bf43-43cc-9123-1897e847d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D3EB44-CF27-477A-BF68-7C0813B5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0</TotalTime>
  <Pages>11</Pages>
  <Words>3450</Words>
  <Characters>17804</Characters>
  <Application>Microsoft Office Word</Application>
  <DocSecurity>0</DocSecurity>
  <Lines>317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2019-02-12T13:31:00Z</dcterms:created>
  <dcterms:modified xsi:type="dcterms:W3CDTF">2019-02-12T13:41:00Z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ategory">
    <vt:lpwstr>COM/PL/ORG</vt:lpwstr>
  </property>
  <property fmtid="{D5CDD505-2E9C-101B-9397-08002B2CF9AE}" pid="4" name="ContentTypeId">
    <vt:lpwstr>0x010100258AA79CEB83498886A3A0868112325000D33D44CF0C8FEB45875F235DEEF2E1B9</vt:lpwstr>
  </property>
  <property fmtid="{D5CDD505-2E9C-101B-9397-08002B2CF9AE}" pid="5" name="Level of sensitivity">
    <vt:lpwstr>Standard treatment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SJ-023</vt:lpwstr>
  </property>
  <property fmtid="{D5CDD505-2E9C-101B-9397-08002B2CF9AE}" pid="9" name="DQCStatus">
    <vt:lpwstr>Yellow (DQC version 03)</vt:lpwstr>
  </property>
</Properties>
</file>