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B2C32AA2-36A0-405C-A46F-0557E438E4A1" style="width:450.45pt;height:395.7pt">
            <v:imagedata r:id="rId13" o:title=""/>
          </v:shape>
        </w:pict>
      </w:r>
    </w:p>
    <w:p>
      <w:pPr>
        <w:rPr>
          <w:noProof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MEMORANDUM TA’ SPJEGAZZJONI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KUNTEST TAL-PROPOSTA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  <w:color w:val="000000"/>
          <w:u w:color="000000"/>
          <w:bdr w:val="nil"/>
        </w:rPr>
        <w:tab/>
      </w:r>
      <w:r>
        <w:rPr>
          <w:noProof/>
        </w:rPr>
        <w:t>Raġunijiet u għanijiet tal-proposta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Fid-29 ta' Marzu 2017, ir-Renju Unit ippreżenta n-notifika tal-intenzjoni tiegħu li joħroġ mill-Unjoni skont l-Artikolu 50 tat-Trattat dwar l-Unjoni Ewropea. Dan ifisser li jekk il-Ftehim dwar il-Ħruġ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ma jiġix irratifikat, il-liġi primarja u sekondarja tal-Unjoni ma tibqax tapplika għar-Renju Unit mit-30 ta’ Marzu 2019 (“id-data tal-ħruġ”). Ir-Renju Unit imbagħad isir pajjiż terz.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Il-ħruġ tar-Renju Unit mill-Unjoni mingħajr ftehim se jolqot il-validità tal-awtorizzazzjonijiet tas-sikurezza maħruġa skont l-Artikolu 11 tad-Direttiva 2004/49/KE għall-managers tal-infrastruttura għall-ġestjoni u t-tħaddim tal-infrastruttura transfruntiera li torbot l-Unjoni mar-Renju Unit.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Fil-Komunikazzjoni tal-Kummissjoni dwar “Tħejjija għall-ħruġ tar-Renju Unit mill-Unjoni Ewropea fit-30 ta’ Marzu 2019: Pjan ta’ Azzjoni ta’ Kontinġenza”</w:t>
      </w:r>
      <w:r>
        <w:rPr>
          <w:rStyle w:val="FootnoteReference"/>
          <w:noProof/>
        </w:rPr>
        <w:footnoteReference w:id="3"/>
      </w:r>
      <w:r>
        <w:rPr>
          <w:noProof/>
        </w:rPr>
        <w:t>, il-Kummissjoni stabbilixxiet il-prinċipji sottostanti għall-miżuri ta’ kontinġenza, inkluż li huma m’għandhomx jirrimedjaw għan-nuqqas ta’ miżuri ta’ tħejjija mill-partijiet ikkonċernati, jew dewmien fl-implimentazzjoni tagħhom. F’dik il-Komunikazzjoni, il-Kummissjoni elenkat l-azzjonijiet li fil-fehma tagħha jkunu meħtieġa, filwaqt li fakkret li jista’ jkun hemm ħtieġa ta’ azzjonijiet addizzjonali f’xi stadju aktar ’il quddiem.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Fit-13 ta’ Diċembru 2018 il-Kunsill Ewropew (l-Artikolu 50) tenna l-appell tiegħu biex tkompli tiġi intensifikata l-ħidma dwar it-tħejjija, fil-livelli kollha, għall-konsegwenzi tal-ħruġ tar-Renju Unit, filwaqt li jitqiesu l-eżiti kollha possibbli.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Il-Kummissjoni ddiskutiet mal-Istati Membri l-konsegwenzi possibbli tal-ħruġ fil-kuntest ta’ seminars organizzati mill-Kunsill tal-Unjoni Ewropea fl-2018. Barra minn hekk, l-impatti tal-ħruġ kif ukoll il-miżuri ta’ tħejjija ġew diskussi b’mod estensiv matul sensiela ta’ żjarat fl-Istati Membri kollha.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Fil-qasam tat-trasport ferrovjarju, fil-biċċa l-kbira tal-każijiet, l-effett tal-ħruġ tar-Renju Unit mill-Unjoni Ewropea fuq iċ-ċertifikati, l-awtorizzazzjonijiet u l-liċenzji jista’ jiġi rrimedjat mill-partijiet ikkonċernati permezz ta’ diversi miżuri, b’mod partikolari permezz tal-istabbiliment tagħhom fi Stat Membru u permezz tal-ksib tal-awtorizzazzjonijiet, taċ-ċertifikati u tal-liċenzji xierqa hemmhekk. </w:t>
      </w:r>
    </w:p>
    <w:p>
      <w:pPr>
        <w:rPr>
          <w:noProof/>
        </w:rPr>
      </w:pPr>
      <w:r>
        <w:rPr>
          <w:noProof/>
        </w:rPr>
        <w:t xml:space="preserve">Madankollu, in-negozjar u l-iffirmar ta’ ftehimiet bejn l-Istati Membri kkonċernati tal-UE u r-Renju Unit ikunu meħtieġa biex jindirizzaw kwistjonijiet relatati direttament ma’ operazzjonijiet ferrovjarji transfruntiera, jiżguraw il-kontinwità tagħhom wara d-data tal-ħruġ, u b’hekk itaffu t-tfixkil fl-Unjoni. Il-konklużjoni ta’ ftehimiet bilaterali bħal dawn tkun possibbli biss wara li r-Renju Unit isir pajjiż terz. </w:t>
      </w:r>
    </w:p>
    <w:p>
      <w:pPr>
        <w:rPr>
          <w:noProof/>
        </w:rPr>
      </w:pPr>
      <w:r>
        <w:rPr>
          <w:noProof/>
        </w:rPr>
        <w:t xml:space="preserve">B’mod partikolari, is-sitwazzjoni rigward l-awtorità binazzjonali tas-sikurezza, stabbilita skont it-Trattat ta’ Canterbury dwar iċ-Channel Tunnel, trid tiġi adattata filwaqt li jitqies l-istatus il-ġdid tar-Renju Unit bħala pajjiż terz. </w:t>
      </w:r>
    </w:p>
    <w:p>
      <w:pPr>
        <w:rPr>
          <w:noProof/>
        </w:rPr>
      </w:pPr>
      <w:r>
        <w:rPr>
          <w:noProof/>
        </w:rPr>
        <w:lastRenderedPageBreak/>
        <w:t xml:space="preserve">Għalhekk huwa xieraq li l-Kummissjoni tipproponi miżuri li jiżguraw il-validità kontinwa tal-awtorizzazzjonijiet għal ċerti partijiet tal-infrastruttura ferrovjarja skont il-liġi rilevanti tal-UE.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Din il-validità estiża jenħtieġ li tkun limitata fiż-żmien għal dak li huwa strettament meħtieġ biex ir-Renju Unit u l-Istati Membri kkonċernati jingħataw iż-żmien neċessarju għall-konklużjoni tal-ftehimiet meħtieġa. </w:t>
      </w:r>
    </w:p>
    <w:p>
      <w:pPr>
        <w:rPr>
          <w:noProof/>
        </w:rPr>
      </w:pPr>
      <w:r>
        <w:rPr>
          <w:noProof/>
        </w:rPr>
        <w:t>Dan jikkonċerna biss l-awtorizzazzjonijiet tas-sikurezza maħruġa skont l-Artikolu 11 tad-Direttiva 2004/49/KE għall-managers tal-infrastruttura għall-ġestjoni u t-tħaddim tal-infrastruttura transfruntiera li tgħaqqad lill-Unjoni mar-Renju Unit.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Id-dispożizzjonijiet proposti huma maħsuba biex jiżguraw il-kontinwità limitata għal operazzjonijiet u servizzi transfruntiera, f’konformità mar-rekwiżiti legali applikabbli tal-Unjoni. Interruzzjoni ta’ dawn l-attivitajiet tista’ tikkawża problemi soċjali u ekonomiċi sinifikanti. Filwaqt li tiżgura l-konformità tal-organizzazzjonijiet mal-liġi tal-UE, il-proposta se tiżgura wkoll il-protezzjoni tal-konsumaturi u taċ-ċittadini</w:t>
      </w:r>
      <w:r>
        <w:rPr>
          <w:rFonts w:ascii="Arial" w:hAnsi="Arial"/>
          <w:noProof/>
          <w:sz w:val="20"/>
          <w:szCs w:val="20"/>
        </w:rPr>
        <w:t xml:space="preserve">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Il-miżuri f’din il-proposta huma kondizzjonali fuq l-istandards tas-sikurezza identiċi mar-rekwiżiti tal-UE li jiġu applikati għall-infrastruttura fit-territorju tar-Renju Unit, li jintużaw għall-finijiet tal-iżgurar tal-konnettività ferrovjarja transfruntiera.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Madankollu, it-tfixkil kbir jista’ jiġi evitat biss jekk l-operaturi ferrovjarji u l-awtoritajiet nazzjonali jieħdu l-miżuri kollha meħtieġa malajr biex jiżguraw li l-liċenzji tal-aċċess għas-suq, il-liċenzji tas-sewwieqa tal-ferroviji, kif ukoll iċ-ċertifikati u l-awtorizzazzjonijiet kollha l-oħra meħtieġa biex joperaw fit-territorju tal-Unjoni jinħarġu kmieni biżżejjed qabel it-30 ta’ Marzu 2019.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</w:r>
      <w:r>
        <w:rPr>
          <w:noProof/>
        </w:rPr>
        <w:t>Konsistenza mad-dispożizzjonijiet ta’ politika eżistenti fil-qasam ta’ politika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Din il-proposta hija maħsuba bħala </w:t>
      </w:r>
      <w:r>
        <w:rPr>
          <w:i/>
          <w:noProof/>
        </w:rPr>
        <w:t>lex specialis</w:t>
      </w:r>
      <w:r>
        <w:rPr>
          <w:noProof/>
        </w:rPr>
        <w:t xml:space="preserve"> li tindirizza xi wħud mill-konsegwenzi li jirriżultaw mill-fatt li d-Direttiva 2004/49/KE ma tibqax tapplika għar-Renju Unit. It-termini proposti huma strettament limitati għal dak li huwa meħtieġ f’dan ir-rigward, sabiex jiġi evitat it-tfixkil tal-operazzjonijiet transfruntiera. Huma maħsuba wkoll biex japplikaw għal perjodu limitat. Id-dispożizzjonijiet ġenerali ta’ dawk l-atti se jibqgħu japplikaw. Din il-proposta hija kompletament konsistenti mal-leġiżlazzjoni eżistenti.  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</w:r>
      <w:r>
        <w:rPr>
          <w:noProof/>
        </w:rPr>
        <w:t>Konsistenza ma’ politiki oħra tal-Unjoni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Il-proposta tikkonċerna s-sikurezza ferrovjarja u l-konnettività ferrovjarja, tikkumplementa d-Direttiva 2004/49/KE biex tittratta b’mod speċifiku s-sitwazzjoni tal-ħruġ tar-Renju Unit mill-Unjoni mingħajr ftehim dwar il-ħruġ.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BAŻI ĠURIDIKA, SUSSIDJARJETÀ U PROPORZJONALITÀ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Bażi ġuridika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Il-bażi ġuridika hija l-Artikolu 91(1) tat-Trattat dwar il-Funzjonament tal-Unjoni Ewropea (TFUE).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 xml:space="preserve">Sussidjarjetà (għall-kompetenza mhux esklużiva)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Peress li l-proposta tikkumplementa l-liġi eżistenti tal-Unjoni, b’dispożizzjonijiet li jiffaċilitaw l-applikazzjoni tagħhom kif suppost wara l-ħruġ tar-Renju Unit mill-Unjoni, l-għan tagħha jista’ jinkiseb biss permezz ta’ att fil-livell tal-Unjoni.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lastRenderedPageBreak/>
        <w:t>•</w:t>
      </w:r>
      <w:r>
        <w:rPr>
          <w:noProof/>
          <w:u w:color="000000"/>
          <w:bdr w:val="nil"/>
        </w:rPr>
        <w:tab/>
        <w:t>Proporzjonalità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Ir-Regolament propost jitqies li huwa proporzjonat peress li kapaċi jevita t-tfixkil billi jipprevedi bidla ġuridika limitata u meħtieġa, li tkopri l-ħtieġa għall-kontinwità tas-servizzi ferrovjarji transfruntiera mar-Renju Unit. Ma jmurx lil hinn minn dak li huwa meħtieġ biex jinkiseb dan l-għan u joqgħod lura milli jwassal għal xi bidliet usa’ jew xi miżuri permanenti.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Għażla tal-istrument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Din il-proposta fiha sett limitat ta’ dispożizzjonijiet biex tiġi indirizzata sitwazzjoni speċifika ħafna u ta’ darba. Għalhekk, mhuwiex xieraq li jiġu modifikati d-Direttiva 2004/49/KE u d-Direttiva 2016/798/UE, li tissostitwiha b’effett mis-16 ta’ Ġunju 2019. Id-dispożizzjonijiet rilevanti li jikkonċernaw l-awtorizzazzjonijiet milquta huma koperti mid-Direttiva 2004/49/KE. Meta jitqies dan, jidher li Regolament tal-Parlament Ewropew u tal-Kunsill huwa l-unika forma adegwata ta’ att ġuridiku.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RIŻULTATI TAL-EVALWAZZJONIJIET </w:t>
      </w:r>
      <w:r>
        <w:rPr>
          <w:i/>
          <w:noProof/>
        </w:rPr>
        <w:t>EX POST</w:t>
      </w:r>
      <w:r>
        <w:rPr>
          <w:noProof/>
        </w:rPr>
        <w:t>, TAL-KONSULTAZZJONIJIET MAL-PARTIJIET IKKONĊERNATI U TAL-VALUTAZZJONIJIET TAL-IMPATT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 xml:space="preserve">Evalwazzjonijiet </w:t>
      </w:r>
      <w:r>
        <w:rPr>
          <w:i/>
          <w:noProof/>
          <w:u w:color="000000"/>
          <w:bdr w:val="nil"/>
        </w:rPr>
        <w:t>ex post</w:t>
      </w:r>
      <w:r>
        <w:rPr>
          <w:noProof/>
          <w:u w:color="000000"/>
          <w:bdr w:val="nil"/>
        </w:rPr>
        <w:t>/kontrolli tal-idoneità tal-leġiżlazzjoni eżistenti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Mhux applikabbli minħabba n-natura eċċezzjonali u ta’ darba tal-avveniment li wassal biex din il-proposta tkun meħtieġa.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Konsultazzjonijiet mal-partijiet ikkonċernati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Iċ-ċirkostanzi speċifiċi fl-isfond tan-negozjati għall-ħruġ tar-Renju Unit mill-Unjoni u s-sitwazzjoni li qiegħda tevolvi b’mod kontinwu kienu limitazzjonijiet kbar fuq il-possibbiltà li jkun hemm konsultazzjoni pubblika rigward din il-proposta. Madankollu, l-isfidi li jfeġġu mill-ħruġ tar-Renju Unit mill-UE u s-soluzzjonijiet possibbli tqajmu minn diversi partijiet ikkonċernati fil-qasam ferrovjarju u rappreżentanti tal-Istati Membri.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Il-ġbir u l-użu tal-għarfien espert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Din l-informazzjoni ġiet soġġetta għal analiżi legali u teknika interna biex jiġi żgurat li l-miżura proposta tilħaq l-għan maħsub tagħha, iżda fl-istess ħin hija limitata għal dak li huwa strettament meħtieġ.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Valutazzjoni tal-impatt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Mhijiex meħtieġa valutazzjoni tal-impatt billi s-sitwazzjoni hija eċċezzjonali u l-ħtiġijiet għall-perjodu li matulu tiġi implimentata l-bidla fl-istatus tar-Renju Unit huma limitati. Ma hemm l-ebda opzjoni ta’ politika materjalment differenti li hija disponibbli għajr għal dik proposta.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Drittijiet fundamentali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Il-proposta ma għandha l-ebda impatt fuq l-applikazzjoni jew il-protezzjoni tad-drittijiet fundamentali. 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IMPLIKAZZJONIJIET GĦALL-BAĠIT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Mhux applikabbli. </w:t>
      </w:r>
    </w:p>
    <w:p>
      <w:pPr>
        <w:pStyle w:val="ManualHeading1"/>
        <w:rPr>
          <w:noProof/>
        </w:rPr>
      </w:pPr>
      <w:r>
        <w:rPr>
          <w:noProof/>
        </w:rPr>
        <w:lastRenderedPageBreak/>
        <w:t>5.</w:t>
      </w:r>
      <w:r>
        <w:rPr>
          <w:noProof/>
        </w:rPr>
        <w:tab/>
        <w:t>ELEMENTI OĦRA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Pjanijiet ta’ implimentazzjoni u arranġamenti dwar il-monitoraġġ, l-evalwazzjoni u r-rapportar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Mhux applikabbli minħabba n-natura fuq medda qasira ta’ żmien tal-miżura proposta.  </w:t>
      </w:r>
    </w:p>
    <w:p>
      <w:pPr>
        <w:rPr>
          <w:noProof/>
        </w:rPr>
        <w:sectPr>
          <w:footerReference w:type="default" r:id="rId20"/>
          <w:footerReference w:type="first" r:id="rId21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2019/0040 (COD)</w:t>
      </w:r>
    </w:p>
    <w:p>
      <w:pPr>
        <w:pStyle w:val="Statut"/>
        <w:rPr>
          <w:noProof/>
        </w:rPr>
      </w:pPr>
      <w:r>
        <w:rPr>
          <w:noProof/>
        </w:rPr>
        <w:t>Proposta għal</w:t>
      </w:r>
    </w:p>
    <w:p>
      <w:pPr>
        <w:pStyle w:val="Typedudocument"/>
        <w:rPr>
          <w:noProof/>
        </w:rPr>
      </w:pPr>
      <w:r>
        <w:rPr>
          <w:noProof/>
        </w:rPr>
        <w:t>REGOLAMENT TAL-PARLAMENT EWROPEW U TAL-KUNSILL</w:t>
      </w:r>
    </w:p>
    <w:p>
      <w:pPr>
        <w:pStyle w:val="Titreobjet"/>
        <w:rPr>
          <w:noProof/>
        </w:rPr>
      </w:pPr>
      <w:r>
        <w:rPr>
          <w:noProof/>
        </w:rPr>
        <w:t xml:space="preserve">dwar ċerti aspetti tas-sikurezza u tal-konnettività ferrovjarja fir-rigward tal-ħruġ tar-Renju Unit tal-Gran Brittanja u l-Irlanda ta’ Fuq mill-Unjoni </w:t>
      </w:r>
    </w:p>
    <w:p>
      <w:pPr>
        <w:pStyle w:val="IntrtEEE"/>
        <w:rPr>
          <w:noProof/>
        </w:rPr>
      </w:pPr>
      <w:r>
        <w:rPr>
          <w:noProof/>
        </w:rPr>
        <w:t>(Test b’relevanza għaż-ŻEE)</w:t>
      </w:r>
    </w:p>
    <w:p>
      <w:pPr>
        <w:pStyle w:val="Institutionquiagit"/>
        <w:rPr>
          <w:noProof/>
        </w:rPr>
      </w:pPr>
      <w:r>
        <w:rPr>
          <w:noProof/>
        </w:rPr>
        <w:t>IL-PARLAMENT EWROPEW U L-KUNSILL TAL-UNJONI EWROPEA,</w:t>
      </w:r>
    </w:p>
    <w:p>
      <w:pPr>
        <w:rPr>
          <w:noProof/>
        </w:rPr>
      </w:pPr>
      <w:r>
        <w:rPr>
          <w:noProof/>
        </w:rPr>
        <w:t>Wara li kkunsidraw it-Trattat dwar il-Funzjonament tal-Unjoni Ewropea, u b'mod partikolari l-Artikolu 91(1) tiegħu,</w:t>
      </w:r>
    </w:p>
    <w:p>
      <w:pPr>
        <w:rPr>
          <w:noProof/>
        </w:rPr>
      </w:pPr>
      <w:r>
        <w:rPr>
          <w:noProof/>
        </w:rPr>
        <w:t>Wara li kkunsidraw il-proposta tal-Kummissjoni Ewropea,</w:t>
      </w:r>
    </w:p>
    <w:p>
      <w:pPr>
        <w:rPr>
          <w:noProof/>
        </w:rPr>
      </w:pPr>
      <w:r>
        <w:rPr>
          <w:noProof/>
        </w:rPr>
        <w:t>Wara li l-abbozz tal-att leġiżlattiv intbagħat lill-parlamenti nazzjonali,</w:t>
      </w:r>
    </w:p>
    <w:p>
      <w:pPr>
        <w:rPr>
          <w:noProof/>
        </w:rPr>
      </w:pPr>
      <w:r>
        <w:rPr>
          <w:noProof/>
        </w:rPr>
        <w:t>Wara li kkunsidraw l-opinjoni tal-Kumitat Ekonomiku u Soċjali Ewropew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, </w:t>
      </w:r>
    </w:p>
    <w:p>
      <w:pPr>
        <w:rPr>
          <w:noProof/>
        </w:rPr>
      </w:pPr>
      <w:r>
        <w:rPr>
          <w:noProof/>
        </w:rPr>
        <w:t>Wara li kkunsidraw l-opinjoni tal-Kumitat tar-Reġjuni</w:t>
      </w:r>
      <w:r>
        <w:rPr>
          <w:rStyle w:val="FootnoteReference"/>
          <w:noProof/>
        </w:rPr>
        <w:footnoteReference w:id="5"/>
      </w:r>
    </w:p>
    <w:p>
      <w:pPr>
        <w:rPr>
          <w:noProof/>
        </w:rPr>
      </w:pPr>
      <w:r>
        <w:rPr>
          <w:noProof/>
        </w:rPr>
        <w:t>Filwaqt li jaġixxu skont il-proċedura leġiżlattiva ordinarja,</w:t>
      </w:r>
    </w:p>
    <w:p>
      <w:pPr>
        <w:rPr>
          <w:noProof/>
        </w:rPr>
      </w:pPr>
      <w:r>
        <w:rPr>
          <w:noProof/>
        </w:rPr>
        <w:t>Billi: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ab/>
        <w:t>Fid-29 ta' Marzu 2017, ir-Renju Unit issottometta n-notifika tal-intenzjoni tiegħu li jitlaq mill-Unjoni, skont l-Artikolu 50 tat-Trattat dwar l-Unjoni Ewropea. It-Trattati ma jibqgħux japplikaw għar-Renju Unit mid-data tad-dħul fis-seħħ ta’ ftehim dwar il-ħruġ jew, fin-nuqqas ta’ dan, sentejn wara li tkun saret in-notifika, jiġifieri mit-30 ta’ Marzu 2019, sakemm il-Kunsill Ewropew, bi ftehim mar-Renju Unit, ma jiddeċidix b’mod unanimu li jestendi dak il-perjodu.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ab/>
        <w:t xml:space="preserve">Fil-qasam tat-trasport ferrovjarju, l-impatt tal-ħruġ tar-Renju Unit mill-Unjoni fuq iċ-ċertifikati u l-awtorizzazzjonijiet jista’ jiġi rrimedjat mill-operaturi kkonċernati permezz ta’ diversi miżuri, pereżempju billi l-operaturi jistabilixxu rwieħhom fi Stat Membru u billi jiksbu l-awtorizzazzjonijiet u ċ-ċertifikati xierqa hemmhekk.  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 xml:space="preserve">L-applikazzjoni tar-regoli tal-Unjoni tas-sikurezza għaċ-Channel Tunnel bħalissa hija konferita lil awtorità binazzjonali tas-sikurezza, stabbilita skont it-Trattat ta’ Canterbury. Is-sistema stabbilita minn dan it-Trattat ikollha tiġi adattata filwaqt li jitqies l-istatus tar-Renju Unit bħala pajjiż terz. 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ab/>
        <w:t xml:space="preserve">Il-miżuri f’din il-proposta huma kondizzjonali fuq l-applikazzjoni ta’ standards u proċeduri tas-sikurezza identiċi mar-rekwiżiti tal-Unjoni għall-infrastruttura, li jintużaw għall-finijiet tal-iżgurar tal-konnettività ferrovjarja transfruntiera mar-Renju Unit. </w:t>
      </w:r>
    </w:p>
    <w:p>
      <w:pPr>
        <w:pStyle w:val="ManualConsidrant"/>
        <w:rPr>
          <w:noProof/>
        </w:rPr>
      </w:pPr>
      <w:r>
        <w:lastRenderedPageBreak/>
        <w:t>(5)</w:t>
      </w:r>
      <w:r>
        <w:tab/>
      </w:r>
      <w:r>
        <w:rPr>
          <w:noProof/>
        </w:rPr>
        <w:t>Biex il-partijiet ikkonċernati jkunu jistgħu jidħlu fil-ftehimiet meħtieġa u biex jieħdu kwalunkwe miżura oħra neċessarja ħalli jiġi evitat it-tfixkil, filwaqt li jitqies l-istatus tar-Renju Unit bħala pajjiż terz, huwa meħtieġ li tiġi estiża l-validità ta’ ċerti awtorizzazzjonijiet.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 xml:space="preserve">It-tul ta’ din l-estensjoni tal-validità tal-awtorizzazzjonijiet jenħtieġ li jkun limitat fiż-żmien għal dak li huwa strettament neċessarju biex l-Istati Membri kkonċernati jkunu jistgħu jieħdu dawk il-passi meħtieġa, skont id-dispożizzjoni applikabbli tad-dritt tal-Unjoni. </w:t>
      </w:r>
    </w:p>
    <w:p>
      <w:pPr>
        <w:pStyle w:val="ManualConsidrant"/>
        <w:rPr>
          <w:noProof/>
        </w:rPr>
      </w:pPr>
      <w:r>
        <w:t>(7)</w:t>
      </w:r>
      <w:r>
        <w:tab/>
      </w:r>
      <w:r>
        <w:rPr>
          <w:noProof/>
        </w:rPr>
        <w:t>Biex jiġi evitat tfixkil maġġuri tas-servizzi ferrovarji transfruntiera mar-Renju Unit, se jkun ukoll essenzjali li l-operaturi ferrovjarji u l-awtoritajiet nazzjonali jieħdu l-miżuri meħtieġa malajr biex jiżguraw li l-liċenzji tal-aċċess għas-suq, il-liċenzji tas-sewwieqa tal-ferroviji, kif ukoll iċ-ċertifikati, liċenzji u l-awtorizzazzjonijiet meħtieġa biex joperaw fit-territorju tal-Unjoni jinħarġu kmieni biżżejjed qabel id-29 ta’ Marzu 2019.</w:t>
      </w:r>
    </w:p>
    <w:p>
      <w:pPr>
        <w:pStyle w:val="ManualConsidrant"/>
        <w:rPr>
          <w:noProof/>
        </w:rPr>
      </w:pPr>
      <w:r>
        <w:t>(8)</w:t>
      </w:r>
      <w:r>
        <w:tab/>
      </w:r>
      <w:r>
        <w:rPr>
          <w:noProof/>
        </w:rPr>
        <w:t>Biex jiġu żgurati kundizzjonijiet uniformi għall-implimentazzjoni ta’ dan ir-Regolament, jenħtieġ l-Kummissjoni tingħata s-setgħat ta’ implimentazzjoni fir-rigward tal-irtirar tal-benefiċċju mogħti lid-detenturi tal-awtorizzazzjonijiet, meta ma jkunx żgurat li l-istandards tas-sikurezza identiċi għar-rekwiżiti tal-Unjoni jkunu applikati għal kwalunkwe infrastruttura rilevanti.   Dawk is-setgħat jenħtieġ li jiġu eżerċitati skont ir-Regolament (UE) Nru 182/2011 tal-Parlament Ewropew u tal-Kunsill</w:t>
      </w:r>
      <w:r>
        <w:rPr>
          <w:rStyle w:val="FootnoteReference"/>
          <w:noProof/>
        </w:rPr>
        <w:footnoteReference w:id="6"/>
      </w:r>
      <w:r>
        <w:rPr>
          <w:noProof/>
        </w:rPr>
        <w:t>. Jenħtieġ li tintuża l-proċedura ta’ eżami għall-adozzjoni ta’ dawk il-miżuri, minħabba l-impatt potenzjali tagħhom fuq is-sikurezza ferrovjarja. Fid-dawl tal-urġenza inerenti tal-kwistjoni, jenħtieġ li l-Kummissjoni tadotta minnufih atti ta’ implimentazzjoni applikabbli.</w:t>
      </w:r>
    </w:p>
    <w:p>
      <w:pPr>
        <w:pStyle w:val="ManualConsidrant"/>
        <w:rPr>
          <w:noProof/>
        </w:rPr>
      </w:pPr>
      <w:r>
        <w:t>(9)</w:t>
      </w:r>
      <w:r>
        <w:tab/>
      </w:r>
      <w:r>
        <w:rPr>
          <w:noProof/>
        </w:rPr>
        <w:t>Minħabba l-urġenza li nħolqot miċ-ċirkostanzi tat-tluq tar-Renju Unit mill-Unjoni, jenħtieġ li tapplika eċċezzjoni għall-perjodu ta’ tmien ġimgħat imsemmi fl-Artikolu 4 tal-Protokoll Nru 1 dwar ir-rwol tal-Parlamenti nazzjonali fl-Unjoni, li huwa anness mat-Trattat dwar l-Unjoni Ewropea, mat-Trattat dwar il-Funzjonament tal-Unjoni Ewropea u mat-Trattat li jistabbilixxi l-Komunità Ewropea tal-Enerġija Atomika.</w:t>
      </w:r>
    </w:p>
    <w:p>
      <w:pPr>
        <w:pStyle w:val="ManualConsidrant"/>
        <w:rPr>
          <w:noProof/>
        </w:rPr>
      </w:pPr>
      <w:r>
        <w:t>(10)</w:t>
      </w:r>
      <w:r>
        <w:tab/>
      </w:r>
      <w:r>
        <w:rPr>
          <w:noProof/>
        </w:rPr>
        <w:t xml:space="preserve">Jenħtieġ li d-dispożizzjonijiet ta’ dan ir-Regolament jidħlu fis-seħħ b’urġenza u japplikaw mill-għada tal-jum meta t-Trattati ma jibqgħux japplikaw għar-Renju Unit u ġewwa fih, sakemm ma jidħolx fis-seħħ ftehim dwar il-ħruġ konkluż mar-Renju Unit sa dik id-data. </w:t>
      </w:r>
    </w:p>
    <w:p>
      <w:pPr>
        <w:rPr>
          <w:noProof/>
        </w:rPr>
      </w:pPr>
    </w:p>
    <w:p>
      <w:pPr>
        <w:pStyle w:val="Formuledadoption"/>
        <w:rPr>
          <w:noProof/>
        </w:rPr>
      </w:pPr>
      <w:r>
        <w:rPr>
          <w:noProof/>
        </w:rPr>
        <w:t>ADOTTAW DAN IR-REGOLAMENT:</w:t>
      </w:r>
    </w:p>
    <w:p>
      <w:pPr>
        <w:pStyle w:val="Titrearticle"/>
        <w:rPr>
          <w:noProof/>
        </w:rPr>
      </w:pPr>
      <w:r>
        <w:rPr>
          <w:noProof/>
        </w:rPr>
        <w:t>Artikolu 1</w:t>
      </w:r>
    </w:p>
    <w:p>
      <w:pPr>
        <w:pStyle w:val="Titrearticle"/>
        <w:rPr>
          <w:b/>
          <w:i w:val="0"/>
          <w:noProof/>
        </w:rPr>
      </w:pPr>
      <w:r>
        <w:rPr>
          <w:b/>
          <w:i w:val="0"/>
          <w:noProof/>
        </w:rPr>
        <w:t>Suġġett u kamp ta' applikazzjoni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 xml:space="preserve">Dan ir-Regolament jistabbilixxi dispożizzjonijiet speċifiċi, fid-dawl tal-irtirar tar-Renju Unit tal-Gran Brittanja u l-Irlanda ta’ Fuq (“ir-Renju Unit”) mill-Unjoni </w:t>
      </w:r>
      <w:r>
        <w:rPr>
          <w:noProof/>
        </w:rPr>
        <w:lastRenderedPageBreak/>
        <w:t>Ewropea, għal ċerti awtorizzazzjonijiet tas-sikurezza maħruġa skont id-Direttiva 2004/49/KE tal-Parlament Ewropew u tal-Kunsill</w:t>
      </w:r>
      <w:r>
        <w:rPr>
          <w:rStyle w:val="FootnoteReference"/>
          <w:noProof/>
        </w:rPr>
        <w:footnoteReference w:id="7"/>
      </w:r>
      <w:r>
        <w:rPr>
          <w:noProof/>
        </w:rPr>
        <w:t xml:space="preserve">.  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Dan ir-Regolament għandu japplika għall-awtorizzazzjonijiet tas-sikurezza maħruġa skont l-Artikolu 11 tad-Direttiva 2004/49/KE għall-managers tal-infrastruttura għall-ġestjoni u t-tħaddim tal-infrastruttura transfruntiera li tgħaqqad lill-Unjoni mar-Renju Unit, li jkunu validi fil-jum qabel id-data tal-applikazzjoni ta’ dan ir-Regolament.</w:t>
      </w:r>
    </w:p>
    <w:p>
      <w:pPr>
        <w:pStyle w:val="Titrearticle"/>
        <w:rPr>
          <w:noProof/>
        </w:rPr>
      </w:pPr>
      <w:r>
        <w:rPr>
          <w:noProof/>
        </w:rPr>
        <w:t>Artikolu 2</w:t>
      </w:r>
    </w:p>
    <w:p>
      <w:pPr>
        <w:pStyle w:val="Titrearticle"/>
        <w:rPr>
          <w:b/>
          <w:i w:val="0"/>
          <w:noProof/>
        </w:rPr>
      </w:pPr>
      <w:r>
        <w:rPr>
          <w:b/>
          <w:i w:val="0"/>
          <w:noProof/>
        </w:rPr>
        <w:t>Definizzjonijiet</w:t>
      </w:r>
    </w:p>
    <w:p>
      <w:pPr>
        <w:rPr>
          <w:noProof/>
        </w:rPr>
      </w:pPr>
      <w:r>
        <w:rPr>
          <w:noProof/>
        </w:rPr>
        <w:t>Għall-finijiet ta’ dan ir-Regolament, għandhom japplikaw id-definizzjonijiet rilevanti tad-Direttiva 2004/49/KE flimkien mal-atti ta’ implimentazzjoni adottati bis-saħħa ta’ din id-Direttiva. Id-definizzjonijiet rilevanti tad-Direttiva (UE) 2016/798 tal-Parlament Ewropew u tal-Kunsill</w:t>
      </w:r>
      <w:r>
        <w:rPr>
          <w:rStyle w:val="FootnoteReference"/>
          <w:noProof/>
        </w:rPr>
        <w:footnoteReference w:id="8"/>
      </w:r>
      <w:r>
        <w:rPr>
          <w:noProof/>
        </w:rPr>
        <w:t xml:space="preserve"> u kwalunkwe atti delegati u ta’ implimentazzjoni adottati skontha għandhom japplikaw mid-data li fiha dik id-Direttiva ssir applikabbli għall-awtorizzazzjonijiet imsemmija fl-Artikolu 1(2). </w:t>
      </w:r>
    </w:p>
    <w:p>
      <w:pPr>
        <w:pStyle w:val="Titrearticle"/>
        <w:rPr>
          <w:noProof/>
        </w:rPr>
      </w:pPr>
      <w:r>
        <w:rPr>
          <w:noProof/>
        </w:rPr>
        <w:t>Artikolu 3</w:t>
      </w:r>
    </w:p>
    <w:p>
      <w:pPr>
        <w:pStyle w:val="Titrearticle"/>
        <w:rPr>
          <w:b/>
          <w:i w:val="0"/>
          <w:noProof/>
        </w:rPr>
      </w:pPr>
      <w:r>
        <w:rPr>
          <w:b/>
          <w:i w:val="0"/>
          <w:noProof/>
        </w:rPr>
        <w:t>Validità tal-awtorizzazzjonijiet tas-sikurezza</w:t>
      </w:r>
    </w:p>
    <w:p>
      <w:pPr>
        <w:rPr>
          <w:noProof/>
        </w:rPr>
      </w:pPr>
      <w:r>
        <w:rPr>
          <w:noProof/>
        </w:rPr>
        <w:t xml:space="preserve">L-awtorizzazzjonijiet imsemmija fl-Artikolu 1(2) għandhom jibqgħu validi għal tliet (3) xhur mid-data tal-applikazzjoni ta’ dan ir-Regolament. </w:t>
      </w:r>
    </w:p>
    <w:p>
      <w:pPr>
        <w:pStyle w:val="Titrearticle"/>
        <w:rPr>
          <w:noProof/>
        </w:rPr>
      </w:pPr>
      <w:r>
        <w:rPr>
          <w:noProof/>
        </w:rPr>
        <w:t>Artikolu 4</w:t>
      </w:r>
    </w:p>
    <w:p>
      <w:pPr>
        <w:pStyle w:val="Titrearticle"/>
        <w:rPr>
          <w:b/>
          <w:i w:val="0"/>
          <w:noProof/>
        </w:rPr>
      </w:pPr>
      <w:r>
        <w:rPr>
          <w:b/>
          <w:i w:val="0"/>
          <w:noProof/>
        </w:rPr>
        <w:t>Regoli u obbligi fir-rigward tal-awtorizzazzjonijiet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 xml:space="preserve">L-awtorizzazzjonijiet irregolati mill-Artikolu 1(2) ta’ dan ir-Regolament huma soġġetti għar-regoli applikabbli għalihom skont id-Direttiva 2004/49/KE u d-Direttiva 2016/798/UE mid-data meta ssir applikabbli għal dawn l-awtorizzazzjonijiet, u l-atti ta’ implimentazzjoni u delegati adottati bis-saħħa ta’ dawn id-Direttivi. 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 xml:space="preserve">Id-detenturi tal-awtorizzazzjonijiet imsemmija fl-Artikolu 1(2), u, kif xieraq, l-awtorità li toħroġhom, meta din tkun differenti mill-Awtorità Nazzjonali tas-Sikurezza kompetenti li fit-territorju tagħha tinsab l-infrastruttura fl-Unjoni, għandhom jikkooperaw mal-Awtorità Nazzjonali tas-Sikurezza u jagħtuha l-informazzjoni u d-dokumenti rilevanti kollha.   </w:t>
      </w:r>
    </w:p>
    <w:p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 xml:space="preserve">Fejn l-informazzjoni jew id-dokumenti ma jkunux twasslu fil-limiti ta’ żmien stabbiliti mill-Awtorità Nazzjonali tas-Sikurezza msemmija fil-paragrafu 2 fit-talbiet </w:t>
      </w:r>
      <w:r>
        <w:rPr>
          <w:noProof/>
        </w:rPr>
        <w:lastRenderedPageBreak/>
        <w:t xml:space="preserve">tagħha, il-Kummissjoni tista’, malli tirċievi notifika mill-Awtorità Nazzjonali tas-Sikurezza, permezz ta’ atti ta’ implimentazzjoni adottati skont l-Artikolu 7(2), tirtira l-benefiċċju mogħti lid-detentur skont l-Artikolu 3. </w:t>
      </w:r>
    </w:p>
    <w:p>
      <w:pPr>
        <w:pStyle w:val="ManualNumPar1"/>
        <w:rPr>
          <w:noProof/>
        </w:rPr>
      </w:pPr>
      <w:r>
        <w:t>4.</w:t>
      </w:r>
      <w:r>
        <w:tab/>
      </w:r>
      <w:r>
        <w:rPr>
          <w:noProof/>
        </w:rPr>
        <w:t xml:space="preserve">Id-detenturi tal-awtorizzazzjonijiet imsemmija fl-Artikolu 1(2) ta’ dan ir-Regolament għandhom jinfurmaw mingħajr dewmien lill-Kummissjoni u lill-Aġenzija tal-Unjoni Ewropea għall-Ferroviji dwar kwalunkwe azzjoni minn awtoritajiet kompetenti tas-sikurezza oħra, li tista’ tkun f’kunflitt mal-obbligi tagħhom skont dan ir-Regolament, skont id-Direttiva 2004/49/KE, u skont id-Direttiva 2016/798/UE. </w:t>
      </w:r>
    </w:p>
    <w:p>
      <w:pPr>
        <w:pStyle w:val="ManualNumPar1"/>
        <w:rPr>
          <w:noProof/>
        </w:rPr>
      </w:pPr>
      <w:r>
        <w:t>5.</w:t>
      </w:r>
      <w:r>
        <w:tab/>
      </w:r>
      <w:r>
        <w:rPr>
          <w:noProof/>
        </w:rPr>
        <w:t>Qabel ma tirtira l-benefiċċji skont l-Artikolu 3, il-Kummissjoni għandha, fi stadju bikri kemm jista’ jkun, tinforma lill-Awtorità Nazzjonali tas-Sikurezza msemmija fil-paragrafu 2, lill-awtorità li ħarġet l-awtorizzazzjonijiet imsemmija fl-Artikolu 1(2), lid-detenturi ta’ awtorizzazzjonijiet bħal dawn, kif ukoll lill-Awtorità Nazzjonali tas-Sikurezza tar-Renju Unit, bl-intenzjoni tagħha li tipproċedi għal tali rtirar u tagħtihom l-opportunità li jesprimu l-fehmiet tagħhom.</w:t>
      </w:r>
    </w:p>
    <w:p>
      <w:pPr>
        <w:pStyle w:val="Titrearticle"/>
        <w:rPr>
          <w:noProof/>
        </w:rPr>
      </w:pPr>
      <w:r>
        <w:rPr>
          <w:noProof/>
        </w:rPr>
        <w:t>Artikolu 5</w:t>
      </w:r>
    </w:p>
    <w:p>
      <w:pPr>
        <w:pStyle w:val="Titrearticle"/>
        <w:rPr>
          <w:b/>
          <w:i w:val="0"/>
          <w:noProof/>
        </w:rPr>
      </w:pPr>
      <w:r>
        <w:rPr>
          <w:b/>
          <w:i w:val="0"/>
          <w:noProof/>
        </w:rPr>
        <w:t>Standards tas-sikurezza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 xml:space="preserve">L-Awtorità Nazzjonali tas-Sikurezza msemmija fl-Artikolu 4(2) għandha timmonitorja l-istandards tas-sikurezza ferrovjarja applikati għall-infrastruttura transfruntiera msemmija fl-Artikolu 1(2). L-Awtorità Nazzjonali tas-Sikurezza għandha tipprovdi lill-Kummissjoni u lill-Aġenzija tal-Unjoni Ewropea għall-Ferroviji b’rapporti regolari dwar din il-kwistjoni, akkumpanjati, fejn xieraq, b’rakkomandazzjoni għall-Kummissjoni biex taġixxi skont il-paragrafu 2. 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Meta l-Kummissjoni jkollha dubji ġustifikati dwar jekk l-istandards tas-sikurezza applikati għat-tħaddim tal-infrastruttura koperta mill-kamp tal-applikazzjoni ta’ dan ir-Regolament jew parti mill-istess infrastruttura li tinsab fir-Renju Unit humiex konformi mad-dispożizzjonijiet rilevanti tad-dritt tal-Unjoni, hija għandha mingħajr dewmien żejjed, permezz tal-atti ta’ implimentazzjoni adottati skont l-Artikolu 7(2), tirtira l-benefiċċju mogħti lid-detentur skont l-Artikolu 3.</w:t>
      </w:r>
    </w:p>
    <w:p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>Għall-finijiet tal-paragrafu 1, l-Awtorità Nazzjonali tas-Sikurezza tista’ titlob informazzjoni mingħand l-awtoritajiet kompetenti rilevanti, filwaqt li tistabbilixxi limitu ta’ żmien raġonevoli. Meta dawn l-awtoritajiet kompetenti rilevanti ma jipprovdux l-informazzjoni mitluba sal-iskadenza stabbilita mill-Awtorità Nazzjonali tas-Sikurezza, inkella jipprovdu informazzjoni mhux kompluta, il-Kummissjoni tista’, wara li tinnotifika lill-Awtorità tas-Sikurezza Internazzjonali, permezz ta’ atti ta’ implimentazzjoni adottati skont l-Artikolu 7(2), tirtira l-benefiċċju mogħti lid-detentur skont l-Artikolu 3.</w:t>
      </w:r>
    </w:p>
    <w:p>
      <w:pPr>
        <w:pStyle w:val="ManualNumPar1"/>
        <w:rPr>
          <w:noProof/>
        </w:rPr>
      </w:pPr>
      <w:r>
        <w:t>4.</w:t>
      </w:r>
      <w:r>
        <w:tab/>
      </w:r>
      <w:r>
        <w:rPr>
          <w:noProof/>
        </w:rPr>
        <w:t>Qabel ma tirtira l-benefiċċji skont l-Artikolu 3, il-Kummissjoni għandha, fi stadju bikri kemm jista’ jkun, tinforma lill-Awtorità Nazzjonali tas-Sikurezza msemmija fl-Artikolu 4(2), lill-awtorità li ħarġet l-awtorizzazzjonijiet imsemmija fl-Artikolu 1(2), lid-detenturi ta’ awtorizzazzjonijiet bħal dawn, kif ukoll lill-Awtorità Nazzjonali tas-Sikurezza tar-Renju Unit bl-intenzjoni tagħha li tipproċedi għal tali rtirar u tagħtihom l-opportunità li jesprimu l-fehmiet tagħhom.</w:t>
      </w:r>
    </w:p>
    <w:p>
      <w:pPr>
        <w:pStyle w:val="Titrearticle"/>
        <w:rPr>
          <w:noProof/>
        </w:rPr>
      </w:pPr>
      <w:r>
        <w:rPr>
          <w:noProof/>
        </w:rPr>
        <w:lastRenderedPageBreak/>
        <w:t>Artikolu 6</w:t>
      </w:r>
    </w:p>
    <w:p>
      <w:pPr>
        <w:pStyle w:val="Titrearticle"/>
        <w:rPr>
          <w:b/>
          <w:i w:val="0"/>
          <w:noProof/>
        </w:rPr>
      </w:pPr>
      <w:r>
        <w:rPr>
          <w:b/>
          <w:i w:val="0"/>
          <w:noProof/>
        </w:rPr>
        <w:t>Konsultazzjoni u kooperazzjoni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 xml:space="preserve">L-awtoritajiet kompetenti tal-Istati Membri għandhom jikkonsultaw l-awtoritajiet kompetenti tar-Renju Unit u jikkooperaw magħhom skont il-ħtieġa sabiex jassiguraw l-implimentazzjoni ta’ dan ir-Regolament. 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Fuq talba, l-Istati Membri għandhom jipprovdu lill-Kummissjoni mingħajr dewmien żejjed kwalunkwe informazzjoni miksuba skont il-paragrafu 1 jew kwalunkwe informazzjoni rilevanti oħra għall-implimentazzjoni ta’ dan ir-Regolament.</w:t>
      </w:r>
    </w:p>
    <w:p>
      <w:pPr>
        <w:pStyle w:val="Titrearticle"/>
        <w:rPr>
          <w:noProof/>
        </w:rPr>
      </w:pPr>
      <w:r>
        <w:rPr>
          <w:noProof/>
        </w:rPr>
        <w:t>Artikolu 7</w:t>
      </w:r>
    </w:p>
    <w:p>
      <w:pPr>
        <w:pStyle w:val="Titrearticle"/>
        <w:rPr>
          <w:b/>
          <w:bCs/>
          <w:i w:val="0"/>
          <w:noProof/>
        </w:rPr>
      </w:pPr>
      <w:r>
        <w:rPr>
          <w:b/>
          <w:bCs/>
          <w:i w:val="0"/>
          <w:noProof/>
        </w:rPr>
        <w:t>Kumitat</w:t>
      </w:r>
    </w:p>
    <w:p>
      <w:pPr>
        <w:pStyle w:val="ManualNumPar1"/>
        <w:rPr>
          <w:noProof/>
        </w:rPr>
      </w:pPr>
      <w:r>
        <w:rPr>
          <w:noProof/>
        </w:rPr>
        <w:t>1.</w:t>
      </w:r>
      <w:r>
        <w:rPr>
          <w:noProof/>
        </w:rPr>
        <w:tab/>
        <w:t>Il-Kummissjoni għandha tkun megħjuna mill-kumitat imsemmi fl-Artikolu 51 tad-Direttiva 2016/797/UE tal-Parlament u tal-Kunsill</w:t>
      </w:r>
      <w:r>
        <w:rPr>
          <w:rStyle w:val="FootnoteReference"/>
          <w:noProof/>
        </w:rPr>
        <w:footnoteReference w:id="9"/>
      </w:r>
      <w:r>
        <w:rPr>
          <w:noProof/>
        </w:rPr>
        <w:t xml:space="preserve">. Dak il-kumitat għandu jkun kumitat skont it-tifsira tar-Regolament (UE) Nru 182/2011.  </w:t>
      </w:r>
    </w:p>
    <w:p>
      <w:pPr>
        <w:pStyle w:val="ManualNumPar1"/>
        <w:rPr>
          <w:i/>
          <w:noProof/>
        </w:rPr>
      </w:pPr>
      <w:r>
        <w:rPr>
          <w:noProof/>
        </w:rPr>
        <w:t xml:space="preserve">2. </w:t>
      </w:r>
      <w:r>
        <w:rPr>
          <w:noProof/>
        </w:rPr>
        <w:tab/>
        <w:t>Fejn issir referenza għal dan il-paragrafu, għandu japplika l-Artikolu 8 tar-Regolament (UE) 182/2011, flimkien mal-Artikolu 5 tiegħu.</w:t>
      </w:r>
    </w:p>
    <w:p>
      <w:pPr>
        <w:pStyle w:val="Titrearticle"/>
        <w:rPr>
          <w:noProof/>
        </w:rPr>
      </w:pPr>
      <w:r>
        <w:rPr>
          <w:noProof/>
        </w:rPr>
        <w:t>Artikolu 8</w:t>
      </w:r>
    </w:p>
    <w:p>
      <w:pPr>
        <w:pStyle w:val="Titrearticle"/>
        <w:rPr>
          <w:b/>
          <w:i w:val="0"/>
          <w:noProof/>
        </w:rPr>
      </w:pPr>
      <w:r>
        <w:rPr>
          <w:b/>
          <w:i w:val="0"/>
          <w:noProof/>
        </w:rPr>
        <w:t>Dħul fis-seħħ u applikazzjoni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Dan ir-Regolament għandu jidħol fis-seħħ fil-jum wara dak tal-pubblikazzjoni tiegħu f'</w:t>
      </w:r>
      <w:r>
        <w:rPr>
          <w:i/>
          <w:noProof/>
        </w:rPr>
        <w:t>Il-Ġurnal Uffiċjali tal-Unjoni Ewropea</w:t>
      </w:r>
      <w:r>
        <w:rPr>
          <w:noProof/>
        </w:rPr>
        <w:t>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Għandu japplika mill-għada tal-jum li fih it-Trattati ma jibqgħux japplikaw għar-Renju Unit u ġeww fih, skont l-Artikolu 50(3) tat-Trattat dwar l-Unjoni Ewropea.</w:t>
      </w:r>
    </w:p>
    <w:p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>Dan ir-Regolament ma għandux japplika jekk ftehim dwar il-ħruġ konkluż mar-Renju Unit skont l-Artikolu 50(2) tat-Trattat dwar l-Unjoni Ewropea jkun daħal fis-seħħ mid-data msemmija fil-paragrafu 2.</w:t>
      </w:r>
    </w:p>
    <w:p>
      <w:pPr>
        <w:pStyle w:val="ManualNumPar1"/>
        <w:rPr>
          <w:noProof/>
        </w:rPr>
      </w:pPr>
      <w:r>
        <w:t>4.</w:t>
      </w:r>
      <w:r>
        <w:tab/>
      </w:r>
      <w:r>
        <w:rPr>
          <w:noProof/>
        </w:rPr>
        <w:t>Dan ir-Regolament għandu jieqaf japplika tliet xhur wara li jkun sar applikabbli skont il-paragrafu 2.</w:t>
      </w:r>
    </w:p>
    <w:p>
      <w:pPr>
        <w:pStyle w:val="Applicationdirecte"/>
        <w:keepNext/>
        <w:keepLines/>
        <w:rPr>
          <w:noProof/>
        </w:rPr>
      </w:pPr>
      <w:r>
        <w:rPr>
          <w:noProof/>
        </w:rPr>
        <w:t>Dan ir-Regolament għandu jorbot fl-intier tiegħu u japplika direttament fl-Istati Membri kollha.</w:t>
      </w:r>
    </w:p>
    <w:p>
      <w:pPr>
        <w:pStyle w:val="Fait"/>
        <w:rPr>
          <w:noProof/>
        </w:rPr>
      </w:pPr>
      <w:r>
        <w:t>Magħmul fi Strasburgu,</w:t>
      </w:r>
    </w:p>
    <w:p>
      <w:pPr>
        <w:pStyle w:val="Institutionquisigne"/>
        <w:rPr>
          <w:noProof/>
        </w:rPr>
      </w:pPr>
      <w:r>
        <w:rPr>
          <w:noProof/>
        </w:rPr>
        <w:t>Għall-Parlament Ewropew</w:t>
      </w:r>
      <w:r>
        <w:rPr>
          <w:noProof/>
        </w:rPr>
        <w:tab/>
        <w:t>Għall-Kunsill</w:t>
      </w:r>
    </w:p>
    <w:p>
      <w:pPr>
        <w:pStyle w:val="Personnequisigne"/>
        <w:rPr>
          <w:noProof/>
        </w:rPr>
      </w:pPr>
      <w:r>
        <w:rPr>
          <w:noProof/>
        </w:rPr>
        <w:t>Il-President</w:t>
      </w:r>
      <w:r>
        <w:rPr>
          <w:noProof/>
        </w:rPr>
        <w:tab/>
        <w:t>Il-President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489827" w16cid:durableId="200746F8"/>
  <w16cid:commentId w16cid:paraId="66D40F26" w16cid:durableId="200746F9"/>
  <w16cid:commentId w16cid:paraId="157B78D3" w16cid:durableId="200746FB"/>
  <w16cid:commentId w16cid:paraId="0EB9E1DA" w16cid:durableId="200746FC"/>
  <w16cid:commentId w16cid:paraId="2C3BCB11" w16cid:durableId="200746FD"/>
  <w16cid:commentId w16cid:paraId="0CEC882F" w16cid:durableId="200746FE"/>
  <w16cid:commentId w16cid:paraId="07ADE9D7" w16cid:durableId="200746FF"/>
  <w16cid:commentId w16cid:paraId="7EF97E35" w16cid:durableId="20074700"/>
  <w16cid:commentId w16cid:paraId="743C7B25" w16cid:durableId="20074701"/>
  <w16cid:commentId w16cid:paraId="5A021876" w16cid:durableId="20074702"/>
  <w16cid:commentId w16cid:paraId="4FB4B8D7" w16cid:durableId="20074703"/>
  <w16cid:commentId w16cid:paraId="4ADED9A0" w16cid:durableId="20074704"/>
  <w16cid:commentId w16cid:paraId="52C4FC7B" w16cid:durableId="20074705"/>
  <w16cid:commentId w16cid:paraId="35415BB9" w16cid:durableId="2007470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  <w:endnote w:type="continuationNotice" w:id="1">
    <w:p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charset w:val="00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9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type="continuationNotice" w:id="1">
    <w:p>
      <w:pPr>
        <w:spacing w:before="0" w:after="0"/>
      </w:pP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</w:r>
      <w:hyperlink r:id="rId1" w:history="1">
        <w:r>
          <w:rPr>
            <w:rStyle w:val="Hyperlink"/>
          </w:rPr>
          <w:t>https://ec.europa.eu/commission/sites/beta-political/files/draft_withdrawal_agreement_0.pdf</w:t>
        </w:r>
      </w:hyperlink>
      <w:r>
        <w:t>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COM(2018)880 final, 13.11.2018.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ĠU C […], […], p. […].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>ĠU C […], […], p. […].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  <w:t>Ir-Regolament (UE) Nru 182/2011 tal-Parlament Ewropew u tal-Kunsill tas-16 ta’ Frar 2011 li jistabbilixxi r-regoli u l-prinċipji ġenerali dwar il-modalitajiet ta’ kontroll mill-Istati Membri tal-eżerċizzju mill-Kummissjoni tas-setgħat ta’ implimentazzjoni, ĠU L 55, 28.2.2011, p. 13.</w:t>
      </w:r>
    </w:p>
  </w:footnote>
  <w:footnote w:id="7">
    <w:p>
      <w:pPr>
        <w:pStyle w:val="FootnoteText"/>
      </w:pPr>
      <w:r>
        <w:rPr>
          <w:rStyle w:val="FootnoteReference"/>
        </w:rPr>
        <w:footnoteRef/>
      </w:r>
      <w:r>
        <w:tab/>
        <w:t>Direttiva 2004/49/KE tal-Parlament Ewropew u tal-Kunsill tad-29 ta' April 2004 fuq is-sigurtà tal-linji tal-ferrovija tal-Komunità u li temenda d-Direttiva tal-Kunsill 95/18/KE fuq l-għoti tal-liċenzi tal-impriżi tal-linji tal-ferrovija u d-Direttiva 2001/14/KE fuq l-allokazzjoni tal-kapaċità tal-infrastruttura tal-linji tal-ferrovija u l-intaxxar tal-piżijiet għall-użu tal-infrastruttura tal-linji tal-ferrovija u ċ-ċertifikazzjoni tas-sigurtà, ĠU L 164, 30.4.2004, p. 44.</w:t>
      </w:r>
    </w:p>
  </w:footnote>
  <w:footnote w:id="8">
    <w:p>
      <w:pPr>
        <w:pStyle w:val="FootnoteText"/>
      </w:pPr>
      <w:r>
        <w:rPr>
          <w:rStyle w:val="FootnoteReference"/>
        </w:rPr>
        <w:footnoteRef/>
      </w:r>
      <w:r>
        <w:tab/>
        <w:t>Id-Direttiva (UE) 2016/798 tal-Parlament Ewropew u tal-Kunsill tal-11 ta’ Mejju 2016 dwar is-sikurezza ferrovjarja (riformulazzjoni), ĠU L 138, 26.5.2016, p.102.</w:t>
      </w:r>
    </w:p>
  </w:footnote>
  <w:footnote w:id="9">
    <w:p>
      <w:pPr>
        <w:pStyle w:val="FootnoteText"/>
      </w:pPr>
      <w:r>
        <w:rPr>
          <w:rStyle w:val="FootnoteReference"/>
        </w:rPr>
        <w:footnoteRef/>
      </w:r>
      <w:r>
        <w:tab/>
        <w:t>Id-Direttiva (UE) 2016/797 tal-Parlament Ewropew u tal-Kunsill tal-11 ta’ Mejju 2016 dwar l-interoperabilità tas-sistema ferrovjarja fl-Unjoni Ewropea, ĠU L 138, 26.5.2016, p. 44.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55C27F9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20640C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0FF0A6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9B4C4CD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20B64A8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8BD055C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B1162BA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0AC222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2"/>
  </w:num>
  <w:num w:numId="17">
    <w:abstractNumId w:val="20"/>
  </w:num>
  <w:num w:numId="18">
    <w:abstractNumId w:val="11"/>
  </w:num>
  <w:num w:numId="19">
    <w:abstractNumId w:val="13"/>
  </w:num>
  <w:num w:numId="20">
    <w:abstractNumId w:val="9"/>
  </w:num>
  <w:num w:numId="21">
    <w:abstractNumId w:val="19"/>
  </w:num>
  <w:num w:numId="22">
    <w:abstractNumId w:val="8"/>
  </w:num>
  <w:num w:numId="23">
    <w:abstractNumId w:val="14"/>
  </w:num>
  <w:num w:numId="24">
    <w:abstractNumId w:val="16"/>
  </w:num>
  <w:num w:numId="25">
    <w:abstractNumId w:val="17"/>
  </w:num>
  <w:num w:numId="26">
    <w:abstractNumId w:val="10"/>
  </w:num>
  <w:num w:numId="27">
    <w:abstractNumId w:val="15"/>
  </w:num>
  <w:num w:numId="28">
    <w:abstractNumId w:val="21"/>
  </w:num>
  <w:num w:numId="29">
    <w:abstractNumId w:val="18"/>
  </w:num>
  <w:num w:numId="30">
    <w:abstractNumId w:val="12"/>
  </w:num>
  <w:num w:numId="31">
    <w:abstractNumId w:val="20"/>
  </w:num>
  <w:num w:numId="32">
    <w:abstractNumId w:val="11"/>
  </w:num>
  <w:num w:numId="33">
    <w:abstractNumId w:val="13"/>
  </w:num>
  <w:num w:numId="34">
    <w:abstractNumId w:val="9"/>
  </w:num>
  <w:num w:numId="35">
    <w:abstractNumId w:val="19"/>
  </w:num>
  <w:num w:numId="36">
    <w:abstractNumId w:val="8"/>
  </w:num>
  <w:num w:numId="37">
    <w:abstractNumId w:val="14"/>
  </w:num>
  <w:num w:numId="38">
    <w:abstractNumId w:val="16"/>
  </w:num>
  <w:num w:numId="39">
    <w:abstractNumId w:val="17"/>
  </w:num>
  <w:num w:numId="40">
    <w:abstractNumId w:val="10"/>
  </w:num>
  <w:num w:numId="41">
    <w:abstractNumId w:val="15"/>
  </w:num>
  <w:num w:numId="42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8"/>
  <w:removePersonalInformation/>
  <w:removeDateAndTime/>
  <w:displayBackgroundShape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2-12 14:27:38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9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B2C32AA2-36A0-405C-A46F-0557E438E4A1"/>
    <w:docVar w:name="LW_COVERPAGE_TYPE" w:val="1"/>
    <w:docVar w:name="LW_CROSSREFERENCE" w:val="&lt;UNUSED&gt;"/>
    <w:docVar w:name="LW_DocType" w:val="COM"/>
    <w:docVar w:name="LW_EMISSION" w:val="12.2.2019"/>
    <w:docVar w:name="LW_EMISSION_ISODATE" w:val="2019-02-12"/>
    <w:docVar w:name="LW_EMISSION_LOCATION" w:val="STR"/>
    <w:docVar w:name="LW_EMISSION_PREFIX" w:val="Strasburgu, "/>
    <w:docVar w:name="LW_EMISSION_SUFFIX" w:val="&lt;EMPTY&gt;"/>
    <w:docVar w:name="LW_ID_DOCMODEL" w:val="SJ-023"/>
    <w:docVar w:name="LW_ID_DOCSIGNATURE" w:val="SJ-023"/>
    <w:docVar w:name="LW_ID_DOCSTRUCTURE" w:val="COM/PL/ORG"/>
    <w:docVar w:name="LW_ID_DOCTYPE" w:val="SJ-023"/>
    <w:docVar w:name="LW_ID_EXP.MOTIFS.NEW" w:val="EM_PL_"/>
    <w:docVar w:name="LW_ID_STATUT" w:val="SJ-023"/>
    <w:docVar w:name="LW_INTERETEEE.CP" w:val="(Test b\u8217?relevanza g\u295?a\u380?-\u379?EE)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COD"/>
    <w:docVar w:name="LW_REF.II.NEW.CP_NUMBER" w:val="0040"/>
    <w:docVar w:name="LW_REF.II.NEW.CP_YEAR" w:val="2019"/>
    <w:docVar w:name="LW_REF.INST.NEW" w:val="COM"/>
    <w:docVar w:name="LW_REF.INST.NEW_ADOPTED" w:val="final"/>
    <w:docVar w:name="LW_REF.INST.NEW_TEXT" w:val="(2019) 88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TATUT.CP" w:val="Proposta g\u295?al"/>
    <w:docVar w:name="LW_SUPERTITRE" w:val="&lt;UNUSED&gt;"/>
    <w:docVar w:name="LW_TITRE.OBJ.CP" w:val="dwar \u267?erti aspetti tas-sikurezza u tal-konnettività ferrovjarja fir-rigward tal-\u295?ru\u289? tar-Renju Unit tal-Gran Brittanja u l-Irlanda ta\u8217? Fuq mill-Unjoni "/>
    <w:docVar w:name="LW_TYPE.DOC.CP" w:val="REGOLAMENT TAL-PARLAMENT EWROPEW U TA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character" w:customStyle="1" w:styleId="DeltaViewInsertion">
    <w:name w:val="DeltaView Insertion"/>
    <w:uiPriority w:val="99"/>
    <w:rPr>
      <w:b/>
      <w:i/>
      <w:color w:val="0000FF"/>
    </w:rPr>
  </w:style>
  <w:style w:type="character" w:customStyle="1" w:styleId="DeltaViewDeletion">
    <w:name w:val="DeltaView Deletion"/>
    <w:uiPriority w:val="99"/>
    <w:rPr>
      <w:strike/>
      <w:color w:val="FF000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Para">
    <w:name w:val="Para"/>
    <w:basedOn w:val="NumPar1"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Pr>
      <w:rFonts w:cstheme="minorBidi"/>
      <w:color w:val="auto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9"/>
      </w:numPr>
    </w:pPr>
  </w:style>
  <w:style w:type="paragraph" w:customStyle="1" w:styleId="Tiret1">
    <w:name w:val="Tiret 1"/>
    <w:basedOn w:val="Point1"/>
    <w:pPr>
      <w:numPr>
        <w:numId w:val="30"/>
      </w:numPr>
    </w:pPr>
  </w:style>
  <w:style w:type="paragraph" w:customStyle="1" w:styleId="Tiret2">
    <w:name w:val="Tiret 2"/>
    <w:basedOn w:val="Point2"/>
    <w:pPr>
      <w:numPr>
        <w:numId w:val="31"/>
      </w:numPr>
    </w:pPr>
  </w:style>
  <w:style w:type="paragraph" w:customStyle="1" w:styleId="Tiret3">
    <w:name w:val="Tiret 3"/>
    <w:basedOn w:val="Point3"/>
    <w:pPr>
      <w:numPr>
        <w:numId w:val="32"/>
      </w:numPr>
    </w:pPr>
  </w:style>
  <w:style w:type="paragraph" w:customStyle="1" w:styleId="Tiret4">
    <w:name w:val="Tiret 4"/>
    <w:basedOn w:val="Point4"/>
    <w:pPr>
      <w:numPr>
        <w:numId w:val="3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6"/>
      </w:numPr>
    </w:pPr>
  </w:style>
  <w:style w:type="paragraph" w:customStyle="1" w:styleId="Point1number">
    <w:name w:val="Point 1 (number)"/>
    <w:basedOn w:val="Normal"/>
    <w:pPr>
      <w:numPr>
        <w:ilvl w:val="2"/>
        <w:numId w:val="36"/>
      </w:numPr>
    </w:pPr>
  </w:style>
  <w:style w:type="paragraph" w:customStyle="1" w:styleId="Point2number">
    <w:name w:val="Point 2 (number)"/>
    <w:basedOn w:val="Normal"/>
    <w:pPr>
      <w:numPr>
        <w:ilvl w:val="4"/>
        <w:numId w:val="36"/>
      </w:numPr>
    </w:pPr>
  </w:style>
  <w:style w:type="paragraph" w:customStyle="1" w:styleId="Point3number">
    <w:name w:val="Point 3 (number)"/>
    <w:basedOn w:val="Normal"/>
    <w:pPr>
      <w:numPr>
        <w:ilvl w:val="6"/>
        <w:numId w:val="36"/>
      </w:numPr>
    </w:pPr>
  </w:style>
  <w:style w:type="paragraph" w:customStyle="1" w:styleId="Point0letter">
    <w:name w:val="Point 0 (letter)"/>
    <w:basedOn w:val="Normal"/>
    <w:pPr>
      <w:numPr>
        <w:ilvl w:val="1"/>
        <w:numId w:val="36"/>
      </w:numPr>
    </w:pPr>
  </w:style>
  <w:style w:type="paragraph" w:customStyle="1" w:styleId="Point1letter">
    <w:name w:val="Point 1 (letter)"/>
    <w:basedOn w:val="Normal"/>
    <w:pPr>
      <w:numPr>
        <w:ilvl w:val="3"/>
        <w:numId w:val="36"/>
      </w:numPr>
    </w:pPr>
  </w:style>
  <w:style w:type="paragraph" w:customStyle="1" w:styleId="Point2letter">
    <w:name w:val="Point 2 (letter)"/>
    <w:basedOn w:val="Normal"/>
    <w:pPr>
      <w:numPr>
        <w:ilvl w:val="5"/>
        <w:numId w:val="36"/>
      </w:numPr>
    </w:pPr>
  </w:style>
  <w:style w:type="paragraph" w:customStyle="1" w:styleId="Point3letter">
    <w:name w:val="Point 3 (letter)"/>
    <w:basedOn w:val="Normal"/>
    <w:pPr>
      <w:numPr>
        <w:ilvl w:val="7"/>
        <w:numId w:val="36"/>
      </w:numPr>
    </w:pPr>
  </w:style>
  <w:style w:type="paragraph" w:customStyle="1" w:styleId="Point4letter">
    <w:name w:val="Point 4 (letter)"/>
    <w:basedOn w:val="Normal"/>
    <w:pPr>
      <w:numPr>
        <w:ilvl w:val="8"/>
        <w:numId w:val="36"/>
      </w:numPr>
    </w:pPr>
  </w:style>
  <w:style w:type="paragraph" w:customStyle="1" w:styleId="Bullet0">
    <w:name w:val="Bullet 0"/>
    <w:basedOn w:val="Normal"/>
    <w:pPr>
      <w:numPr>
        <w:numId w:val="37"/>
      </w:numPr>
    </w:pPr>
  </w:style>
  <w:style w:type="paragraph" w:customStyle="1" w:styleId="Bullet1">
    <w:name w:val="Bullet 1"/>
    <w:basedOn w:val="Normal"/>
    <w:pPr>
      <w:numPr>
        <w:numId w:val="38"/>
      </w:numPr>
    </w:pPr>
  </w:style>
  <w:style w:type="paragraph" w:customStyle="1" w:styleId="Bullet2">
    <w:name w:val="Bullet 2"/>
    <w:basedOn w:val="Normal"/>
    <w:pPr>
      <w:numPr>
        <w:numId w:val="39"/>
      </w:numPr>
    </w:pPr>
  </w:style>
  <w:style w:type="paragraph" w:customStyle="1" w:styleId="Bullet3">
    <w:name w:val="Bullet 3"/>
    <w:basedOn w:val="Normal"/>
    <w:pPr>
      <w:numPr>
        <w:numId w:val="40"/>
      </w:numPr>
    </w:pPr>
  </w:style>
  <w:style w:type="paragraph" w:customStyle="1" w:styleId="Bullet4">
    <w:name w:val="Bullet 4"/>
    <w:basedOn w:val="Normal"/>
    <w:pPr>
      <w:numPr>
        <w:numId w:val="4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character" w:customStyle="1" w:styleId="DeltaViewInsertion">
    <w:name w:val="DeltaView Insertion"/>
    <w:uiPriority w:val="99"/>
    <w:rPr>
      <w:b/>
      <w:i/>
      <w:color w:val="0000FF"/>
    </w:rPr>
  </w:style>
  <w:style w:type="character" w:customStyle="1" w:styleId="DeltaViewDeletion">
    <w:name w:val="DeltaView Deletion"/>
    <w:uiPriority w:val="99"/>
    <w:rPr>
      <w:strike/>
      <w:color w:val="FF000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Para">
    <w:name w:val="Para"/>
    <w:basedOn w:val="NumPar1"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Pr>
      <w:rFonts w:cstheme="minorBidi"/>
      <w:color w:val="auto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9"/>
      </w:numPr>
    </w:pPr>
  </w:style>
  <w:style w:type="paragraph" w:customStyle="1" w:styleId="Tiret1">
    <w:name w:val="Tiret 1"/>
    <w:basedOn w:val="Point1"/>
    <w:pPr>
      <w:numPr>
        <w:numId w:val="30"/>
      </w:numPr>
    </w:pPr>
  </w:style>
  <w:style w:type="paragraph" w:customStyle="1" w:styleId="Tiret2">
    <w:name w:val="Tiret 2"/>
    <w:basedOn w:val="Point2"/>
    <w:pPr>
      <w:numPr>
        <w:numId w:val="31"/>
      </w:numPr>
    </w:pPr>
  </w:style>
  <w:style w:type="paragraph" w:customStyle="1" w:styleId="Tiret3">
    <w:name w:val="Tiret 3"/>
    <w:basedOn w:val="Point3"/>
    <w:pPr>
      <w:numPr>
        <w:numId w:val="32"/>
      </w:numPr>
    </w:pPr>
  </w:style>
  <w:style w:type="paragraph" w:customStyle="1" w:styleId="Tiret4">
    <w:name w:val="Tiret 4"/>
    <w:basedOn w:val="Point4"/>
    <w:pPr>
      <w:numPr>
        <w:numId w:val="3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6"/>
      </w:numPr>
    </w:pPr>
  </w:style>
  <w:style w:type="paragraph" w:customStyle="1" w:styleId="Point1number">
    <w:name w:val="Point 1 (number)"/>
    <w:basedOn w:val="Normal"/>
    <w:pPr>
      <w:numPr>
        <w:ilvl w:val="2"/>
        <w:numId w:val="36"/>
      </w:numPr>
    </w:pPr>
  </w:style>
  <w:style w:type="paragraph" w:customStyle="1" w:styleId="Point2number">
    <w:name w:val="Point 2 (number)"/>
    <w:basedOn w:val="Normal"/>
    <w:pPr>
      <w:numPr>
        <w:ilvl w:val="4"/>
        <w:numId w:val="36"/>
      </w:numPr>
    </w:pPr>
  </w:style>
  <w:style w:type="paragraph" w:customStyle="1" w:styleId="Point3number">
    <w:name w:val="Point 3 (number)"/>
    <w:basedOn w:val="Normal"/>
    <w:pPr>
      <w:numPr>
        <w:ilvl w:val="6"/>
        <w:numId w:val="36"/>
      </w:numPr>
    </w:pPr>
  </w:style>
  <w:style w:type="paragraph" w:customStyle="1" w:styleId="Point0letter">
    <w:name w:val="Point 0 (letter)"/>
    <w:basedOn w:val="Normal"/>
    <w:pPr>
      <w:numPr>
        <w:ilvl w:val="1"/>
        <w:numId w:val="36"/>
      </w:numPr>
    </w:pPr>
  </w:style>
  <w:style w:type="paragraph" w:customStyle="1" w:styleId="Point1letter">
    <w:name w:val="Point 1 (letter)"/>
    <w:basedOn w:val="Normal"/>
    <w:pPr>
      <w:numPr>
        <w:ilvl w:val="3"/>
        <w:numId w:val="36"/>
      </w:numPr>
    </w:pPr>
  </w:style>
  <w:style w:type="paragraph" w:customStyle="1" w:styleId="Point2letter">
    <w:name w:val="Point 2 (letter)"/>
    <w:basedOn w:val="Normal"/>
    <w:pPr>
      <w:numPr>
        <w:ilvl w:val="5"/>
        <w:numId w:val="36"/>
      </w:numPr>
    </w:pPr>
  </w:style>
  <w:style w:type="paragraph" w:customStyle="1" w:styleId="Point3letter">
    <w:name w:val="Point 3 (letter)"/>
    <w:basedOn w:val="Normal"/>
    <w:pPr>
      <w:numPr>
        <w:ilvl w:val="7"/>
        <w:numId w:val="36"/>
      </w:numPr>
    </w:pPr>
  </w:style>
  <w:style w:type="paragraph" w:customStyle="1" w:styleId="Point4letter">
    <w:name w:val="Point 4 (letter)"/>
    <w:basedOn w:val="Normal"/>
    <w:pPr>
      <w:numPr>
        <w:ilvl w:val="8"/>
        <w:numId w:val="36"/>
      </w:numPr>
    </w:pPr>
  </w:style>
  <w:style w:type="paragraph" w:customStyle="1" w:styleId="Bullet0">
    <w:name w:val="Bullet 0"/>
    <w:basedOn w:val="Normal"/>
    <w:pPr>
      <w:numPr>
        <w:numId w:val="37"/>
      </w:numPr>
    </w:pPr>
  </w:style>
  <w:style w:type="paragraph" w:customStyle="1" w:styleId="Bullet1">
    <w:name w:val="Bullet 1"/>
    <w:basedOn w:val="Normal"/>
    <w:pPr>
      <w:numPr>
        <w:numId w:val="38"/>
      </w:numPr>
    </w:pPr>
  </w:style>
  <w:style w:type="paragraph" w:customStyle="1" w:styleId="Bullet2">
    <w:name w:val="Bullet 2"/>
    <w:basedOn w:val="Normal"/>
    <w:pPr>
      <w:numPr>
        <w:numId w:val="39"/>
      </w:numPr>
    </w:pPr>
  </w:style>
  <w:style w:type="paragraph" w:customStyle="1" w:styleId="Bullet3">
    <w:name w:val="Bullet 3"/>
    <w:basedOn w:val="Normal"/>
    <w:pPr>
      <w:numPr>
        <w:numId w:val="40"/>
      </w:numPr>
    </w:pPr>
  </w:style>
  <w:style w:type="paragraph" w:customStyle="1" w:styleId="Bullet4">
    <w:name w:val="Bullet 4"/>
    <w:basedOn w:val="Normal"/>
    <w:pPr>
      <w:numPr>
        <w:numId w:val="4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0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5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444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5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29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290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77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984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737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485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7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0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63656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54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49499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61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13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146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microsoft.com/office/2016/09/relationships/commentsIds" Target="commentsId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commission/sites/beta-political/files/draft_withdrawal_agreement_0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D33D44CF0C8FEB45875F235DEEF2E1B9" ma:contentTypeVersion="7" ma:contentTypeDescription="Create a new document in this library." ma:contentTypeScope="" ma:versionID="0cb51d011d44aaa2f2f2559eb8aaf02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25173920-bf43-43cc-9123-1897e847dfc2" targetNamespace="http://schemas.microsoft.com/office/2006/metadata/properties" ma:root="true" ma:fieldsID="a931e117a4c2a292401c17c6d61581df" ns1:_="" ns2:_="" ns3:_="">
    <xsd:import namespace="http://schemas.microsoft.com/sharepoint/v3"/>
    <xsd:import namespace="http://schemas.microsoft.com/sharepoint/v3/fields"/>
    <xsd:import namespace="25173920-bf43-43cc-9123-1897e847dfc2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2:_Status" minOccurs="0"/>
                <xsd:element ref="ns3:EC_Collab_DocumentLanguage"/>
                <xsd:element ref="ns3:EC_Collab_Status"/>
                <xsd:element ref="ns1:RelatedItems" minOccurs="0"/>
                <xsd:element ref="ns3:DG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latedItems" ma:index="16" nillable="true" ma:displayName="Related Items" ma:internalName="RelatedItems" ma:readOnly="false">
      <xsd:simpleType>
        <xsd:restriction base="dms:Note"/>
      </xsd:simpleType>
    </xsd:element>
    <xsd:element name="_dlc_Exempt" ma:index="18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3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73920-bf43-43cc-9123-1897e847dfc2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4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5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  <xsd:element name="DG" ma:index="17" nillable="true" ma:displayName="DG" ma:description="Associated DG(s)" ma:list="{a436e1b9-89ab-4a0f-bf89-77e0c01004af}" ma:internalName="DG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:Policy xmlns:p="office.server.policy" id="" local="true">
  <p:Name>EC Document</p:Name>
  <p:Description/>
  <p:Statement/>
  <p:PolicyItems>
    <p:PolicyItem featureId="Microsoft.Office.RecordsManagement.PolicyFeatures.PolicyAudit" staticId="0x010100258AA79CEB83498886A3A0868112325000D33D44CF0C8FEB45875F235DEEF2E1B9|8138272" UniqueId="82ebddaa-263f-44a4-b383-ae40ea096670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Collab_Reference xmlns="25173920-bf43-43cc-9123-1897e847dfc2" xsi:nil="true"/>
    <_Status xmlns="http://schemas.microsoft.com/sharepoint/v3/fields">Not Started</_Status>
    <EC_Collab_Status xmlns="25173920-bf43-43cc-9123-1897e847dfc2">Not Started</EC_Collab_Status>
    <DG xmlns="25173920-bf43-43cc-9123-1897e847dfc2"/>
    <EC_Collab_DocumentLanguage xmlns="25173920-bf43-43cc-9123-1897e847dfc2">EN</EC_Collab_DocumentLanguage>
    <RelatedItems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C84A9-6480-45DC-B25C-A240D9E8E8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25173920-bf43-43cc-9123-1897e847df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254933-A1A7-46FC-8A71-8DBA45C8329F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709F2297-0230-46F0-A5A3-82C3A9A02C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573828-6C65-40D4-BA74-D9B2A13A8297}">
  <ds:schemaRefs>
    <ds:schemaRef ds:uri="http://schemas.microsoft.com/office/2006/metadata/properties"/>
    <ds:schemaRef ds:uri="http://purl.org/dc/elements/1.1/"/>
    <ds:schemaRef ds:uri="http://purl.org/dc/terms/"/>
    <ds:schemaRef ds:uri="http://schemas.microsoft.com/sharepoint/v3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25173920-bf43-43cc-9123-1897e847dfc2"/>
    <ds:schemaRef ds:uri="http://schemas.microsoft.com/sharepoint/v3/field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D44C1856-442F-450F-A6E2-3E05832F2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0</TotalTime>
  <Pages>10</Pages>
  <Words>2364</Words>
  <Characters>18275</Characters>
  <Application>Microsoft Office Word</Application>
  <DocSecurity>0</DocSecurity>
  <Lines>304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2019-02-12T13:17:00Z</dcterms:created>
  <dcterms:modified xsi:type="dcterms:W3CDTF">2019-02-12T13:27:00Z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 edited using">
    <vt:lpwstr>LW 6.0.1, Build 20180503</vt:lpwstr>
  </property>
  <property fmtid="{D5CDD505-2E9C-101B-9397-08002B2CF9AE}" pid="3" name="Category">
    <vt:lpwstr>COM/PL/ORG</vt:lpwstr>
  </property>
  <property fmtid="{D5CDD505-2E9C-101B-9397-08002B2CF9AE}" pid="4" name="ContentTypeId">
    <vt:lpwstr>0x010100258AA79CEB83498886A3A0868112325000D33D44CF0C8FEB45875F235DEEF2E1B9</vt:lpwstr>
  </property>
  <property fmtid="{D5CDD505-2E9C-101B-9397-08002B2CF9AE}" pid="5" name="Level of sensitivity">
    <vt:lpwstr>Standard treatment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WTemplateID">
    <vt:lpwstr>SJ-023</vt:lpwstr>
  </property>
  <property fmtid="{D5CDD505-2E9C-101B-9397-08002B2CF9AE}" pid="9" name="DQCStatus">
    <vt:lpwstr>Green (DQC version 03)</vt:lpwstr>
  </property>
</Properties>
</file>