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9181DD6-3D1E-4F34-8B91-CBC156E0B308"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1.</w:t>
      </w:r>
      <w:r>
        <w:rPr>
          <w:noProof/>
        </w:rPr>
        <w:tab/>
        <w:t>BAKGRUND TILL FÖRSLAGET</w:t>
      </w:r>
    </w:p>
    <w:p>
      <w:pPr>
        <w:pStyle w:val="ManualHeading2"/>
        <w:rPr>
          <w:rFonts w:eastAsia="Arial Unicode MS"/>
          <w:noProof/>
        </w:rPr>
      </w:pPr>
      <w:r>
        <w:rPr>
          <w:noProof/>
        </w:rPr>
        <w:t>•</w:t>
      </w:r>
      <w:r>
        <w:rPr>
          <w:noProof/>
        </w:rPr>
        <w:tab/>
        <w:t>Motiv och syfte med förslaget</w:t>
      </w:r>
    </w:p>
    <w:p>
      <w:pPr>
        <w:pBdr>
          <w:top w:val="nil"/>
          <w:left w:val="nil"/>
          <w:bottom w:val="nil"/>
          <w:right w:val="nil"/>
          <w:between w:val="nil"/>
          <w:bar w:val="nil"/>
        </w:pBdr>
        <w:spacing w:before="0" w:after="240"/>
        <w:rPr>
          <w:rFonts w:eastAsia="Arial Unicode MS"/>
          <w:noProof/>
        </w:rPr>
      </w:pPr>
      <w:r>
        <w:rPr>
          <w:noProof/>
        </w:rPr>
        <w:t xml:space="preserve">Stockholmskonventionen om långlivade organiska föroreningar (nedan kallad </w:t>
      </w:r>
      <w:r>
        <w:rPr>
          <w:i/>
          <w:noProof/>
        </w:rPr>
        <w:t>konventionen</w:t>
      </w:r>
      <w:r>
        <w:rPr>
          <w:noProof/>
        </w:rPr>
        <w:t>), som godkändes genom rådets beslut 2006/507/EG</w:t>
      </w:r>
      <w:r>
        <w:rPr>
          <w:rStyle w:val="FootnoteReference"/>
          <w:noProof/>
        </w:rPr>
        <w:footnoteReference w:id="1"/>
      </w:r>
      <w:r>
        <w:rPr>
          <w:noProof/>
        </w:rPr>
        <w:t xml:space="preserve">, trädde i kraft den 17 maj 2004. Konventionens syfte är att skydda människors hälsa och miljön mot långlivade organiska föroreningar (nedan kallade </w:t>
      </w:r>
      <w:r>
        <w:rPr>
          <w:i/>
          <w:noProof/>
        </w:rPr>
        <w:t>POP</w:t>
      </w:r>
      <w:r>
        <w:rPr>
          <w:noProof/>
        </w:rPr>
        <w:t>). Konventionen tillhandahåller ett ramverk, grundat på försiktighetsprincipen, för hur produktion, användning, import och export av POP ska kunna elimineras, hur de på ett säkert sätt ska kunna hanteras och bortskaffas, och hur utsläpp av vissa oavsiktliga POP ska kunna elimineras eller minskas.</w:t>
      </w:r>
    </w:p>
    <w:p>
      <w:pPr>
        <w:pBdr>
          <w:top w:val="nil"/>
          <w:left w:val="nil"/>
          <w:bottom w:val="nil"/>
          <w:right w:val="nil"/>
          <w:between w:val="nil"/>
          <w:bar w:val="nil"/>
        </w:pBdr>
        <w:spacing w:before="0" w:after="240"/>
        <w:rPr>
          <w:rFonts w:eastAsia="Arial Unicode MS"/>
          <w:noProof/>
        </w:rPr>
      </w:pPr>
      <w:r>
        <w:rPr>
          <w:noProof/>
        </w:rPr>
        <w:t>Genom Europaparlamentets och rådets förordning (EG) nr 850/2004</w:t>
      </w:r>
      <w:r>
        <w:rPr>
          <w:rStyle w:val="FootnoteReference"/>
          <w:noProof/>
        </w:rPr>
        <w:footnoteReference w:id="2"/>
      </w:r>
      <w:r>
        <w:rPr>
          <w:noProof/>
        </w:rPr>
        <w:t xml:space="preserve"> införlivas i unionens lagstiftning de åtaganden som ingår i konventionen och i protokollet till 1979 års konvention om långväga gränsöverskridande luftföroreningar om långlivade organiska föroreningar (nedan kallat </w:t>
      </w:r>
      <w:r>
        <w:rPr>
          <w:i/>
          <w:noProof/>
        </w:rPr>
        <w:t>protokollet</w:t>
      </w:r>
      <w:r>
        <w:rPr>
          <w:noProof/>
        </w:rPr>
        <w:t>), godkänt genom rådets beslut nr 259/2004/EG</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I artikel 8.1 i konventionen fastställs att en part får lämna in förslag till sekretariatet om införande av en kemikalie i bilaga A, B och/eller C till konventionen, som sedan kommer att prövas av granskningskommittén för långlivade organiska föroreningar (nedan kallad </w:t>
      </w:r>
      <w:r>
        <w:rPr>
          <w:i/>
          <w:noProof/>
        </w:rPr>
        <w:t>granskningskommittén</w:t>
      </w:r>
      <w:r>
        <w:rPr>
          <w:noProof/>
        </w:rPr>
        <w:t>) i enlighet med artikel 8.3 och 8.4. Förslaget ska innehålla den information som anges i bilaga D. Baserat på rekommendationerna från granskningskommittén ska partskonferensen besluta om ett ämne ska föras in i bilaga A (eliminering), bilaga B (begränsning) och/eller bilaga C (oavsiktlig produktion). Förfarandet för antagande av ändringar av bilagorna fastställs i artikel 22 i konventionen.</w:t>
      </w:r>
    </w:p>
    <w:p>
      <w:pPr>
        <w:pBdr>
          <w:top w:val="nil"/>
          <w:left w:val="nil"/>
          <w:bottom w:val="nil"/>
          <w:right w:val="nil"/>
          <w:between w:val="nil"/>
          <w:bar w:val="nil"/>
        </w:pBdr>
        <w:spacing w:before="0" w:after="240"/>
        <w:rPr>
          <w:rFonts w:eastAsia="Arial Unicode MS"/>
          <w:noProof/>
        </w:rPr>
      </w:pPr>
      <w:r>
        <w:rPr>
          <w:noProof/>
        </w:rPr>
        <w:t>Användningen av metoxiklor som verksamt ämne är förbjudet i växtskyddsmedel och i biocidprodukter i Europeiska unionen i enlighet med Europaparlamentets och rådets förordning (EG) nr 1107/2009</w:t>
      </w:r>
      <w:r>
        <w:rPr>
          <w:rStyle w:val="FootnoteReference"/>
          <w:noProof/>
        </w:rPr>
        <w:footnoteReference w:id="4"/>
      </w:r>
      <w:r>
        <w:rPr>
          <w:noProof/>
        </w:rPr>
        <w:t xml:space="preserve"> respektive Europaparlamentets och rådets förordning (EU) nr 528/2012</w:t>
      </w:r>
      <w:r>
        <w:rPr>
          <w:rStyle w:val="FootnoteReference"/>
          <w:noProof/>
        </w:rPr>
        <w:footnoteReference w:id="5"/>
      </w:r>
      <w:r>
        <w:rPr>
          <w:noProof/>
        </w:rPr>
        <w:t>. Dessutom är metoxiklor inte registrerat i enlighet med Europaparlamentets och rådets förordning (EG) nr 1907/2006</w:t>
      </w:r>
      <w:r>
        <w:rPr>
          <w:rStyle w:val="FootnoteReference"/>
          <w:noProof/>
        </w:rPr>
        <w:footnoteReference w:id="6"/>
      </w:r>
      <w:r>
        <w:rPr>
          <w:noProof/>
        </w:rPr>
        <w:t xml:space="preserve"> och får därför inte tillverkas eller släppas ut på marknaden inom unionen i mängder på ett ton eller mer per år och per tillverkare eller importör.</w:t>
      </w:r>
    </w:p>
    <w:p>
      <w:pPr>
        <w:pBdr>
          <w:top w:val="nil"/>
          <w:left w:val="nil"/>
          <w:bottom w:val="nil"/>
          <w:right w:val="nil"/>
          <w:between w:val="nil"/>
          <w:bar w:val="nil"/>
        </w:pBdr>
        <w:spacing w:before="0" w:after="240"/>
        <w:rPr>
          <w:rFonts w:eastAsia="Arial Unicode MS"/>
          <w:noProof/>
        </w:rPr>
      </w:pPr>
      <w:r>
        <w:rPr>
          <w:noProof/>
        </w:rPr>
        <w:lastRenderedPageBreak/>
        <w:t>Enligt tillgängliga uppgifter och data om metoxiklors inneboende egenskaper, som bedömts enligt kriterierna i bilaga D till konventionen, kan man dra slutsatsen att metoxiklor är långlivat, bioackumulerande och toxiskt. Dessutom kan metoxiklor spridas över långa avstånd i miljön och har påträffats i avlägsna områden som Arktis. Mot bakgrund av uppgifterna om metoxiklors långlivade, bioackumulerande och toxiska egenskaper och förmåga att transporteras långväga i miljön, anses metoxiklor enligt förslaget uppfylla kriterierna i bilaga D till konventionen och borde därför betraktas som en POP. Detaljerna i bedömningen finns tillgängliga i det vetenskapliga underlaget som åtföljer förslaget att införa metoxiklor i bilaga A till Stockholmskonventionen.</w:t>
      </w:r>
    </w:p>
    <w:p>
      <w:pPr>
        <w:pBdr>
          <w:top w:val="nil"/>
          <w:left w:val="nil"/>
          <w:bottom w:val="nil"/>
          <w:right w:val="nil"/>
          <w:between w:val="nil"/>
          <w:bar w:val="nil"/>
        </w:pBdr>
        <w:spacing w:before="0" w:after="240"/>
        <w:rPr>
          <w:rFonts w:eastAsia="Arial Unicode MS"/>
          <w:noProof/>
        </w:rPr>
      </w:pPr>
      <w:r>
        <w:rPr>
          <w:noProof/>
        </w:rPr>
        <w:t>Fastän metoxiklor förbjöds som verksamt ämne i växtskyddsprodukter och biocidprodukter i unionen för några år sedan och det inte finns andra kända användningsområden går det inte att utesluta att metoxiklor fortfarande tillverkas, används eller släpps ut i andra länder. Eftersom metoxiklor kan transporteras långt i miljön räcker det inte med de åtgärder som enskilda länder eller unionen vidtar, utan det behövs en internationell insats för att upprätthålla en hög miljö- och hälsoskyddsnivå.</w:t>
      </w:r>
    </w:p>
    <w:p>
      <w:pPr>
        <w:pBdr>
          <w:top w:val="nil"/>
          <w:left w:val="nil"/>
          <w:bottom w:val="nil"/>
          <w:right w:val="nil"/>
          <w:between w:val="nil"/>
          <w:bar w:val="nil"/>
        </w:pBdr>
        <w:spacing w:before="0" w:after="240"/>
        <w:rPr>
          <w:rFonts w:eastAsia="Arial Unicode MS"/>
          <w:noProof/>
        </w:rPr>
      </w:pPr>
      <w:r>
        <w:rPr>
          <w:noProof/>
        </w:rPr>
        <w:t>Inför granskningskommitténs nästa möte i september 2019 bör kommissionen på unionens vägnar lämna in ett förslag om införande av metoxiklor i bilaga A till Stockholmskonventionens sekretariat. Förslaget kommer att granskas enligt kriterierna och förfarandena i konventionen innan partskonferensen fattar ett beslut om införande.</w:t>
      </w:r>
    </w:p>
    <w:p>
      <w:pPr>
        <w:pStyle w:val="ManualHeading2"/>
        <w:rPr>
          <w:rFonts w:eastAsia="Arial Unicode MS"/>
          <w:noProof/>
          <w:color w:val="000000"/>
          <w:u w:color="000000"/>
          <w:bdr w:val="nil"/>
        </w:rPr>
      </w:pPr>
      <w:r>
        <w:rPr>
          <w:noProof/>
        </w:rPr>
        <w:t>•</w:t>
      </w:r>
      <w:r>
        <w:rPr>
          <w:noProof/>
        </w:rPr>
        <w:tab/>
        <w:t>Förenlighet med befintliga bestämmelser inom området</w:t>
      </w:r>
    </w:p>
    <w:p>
      <w:pPr>
        <w:pBdr>
          <w:top w:val="nil"/>
          <w:left w:val="nil"/>
          <w:bottom w:val="nil"/>
          <w:right w:val="nil"/>
          <w:between w:val="nil"/>
          <w:bar w:val="nil"/>
        </w:pBdr>
        <w:spacing w:before="0" w:after="240"/>
        <w:rPr>
          <w:rFonts w:eastAsia="Arial Unicode MS"/>
          <w:noProof/>
        </w:rPr>
      </w:pPr>
      <w:r>
        <w:rPr>
          <w:noProof/>
        </w:rPr>
        <w:t>Föreslaget är förenligt med och kompletterar genomförandet av förordning (EG) nr 850/2004, som genomför Stockholmskonventionen i unionen. Det är helt i linje med målet att skydda människors hälsa och miljön mot långlivade organiska föroreningar.</w:t>
      </w:r>
    </w:p>
    <w:p>
      <w:pPr>
        <w:pStyle w:val="ManualHeading2"/>
        <w:rPr>
          <w:rFonts w:eastAsia="Arial Unicode MS"/>
          <w:noProof/>
        </w:rPr>
      </w:pPr>
      <w:r>
        <w:rPr>
          <w:noProof/>
        </w:rPr>
        <w:t>•</w:t>
      </w:r>
      <w:r>
        <w:rPr>
          <w:noProof/>
        </w:rPr>
        <w:tab/>
        <w:t>Förenlighet med unionens politik inom andra områden</w:t>
      </w:r>
    </w:p>
    <w:p>
      <w:pPr>
        <w:pBdr>
          <w:top w:val="nil"/>
          <w:left w:val="nil"/>
          <w:bottom w:val="nil"/>
          <w:right w:val="nil"/>
          <w:between w:val="nil"/>
          <w:bar w:val="nil"/>
        </w:pBdr>
        <w:spacing w:before="0" w:after="240"/>
        <w:rPr>
          <w:rFonts w:eastAsia="Arial Unicode MS"/>
          <w:noProof/>
        </w:rPr>
      </w:pPr>
      <w:r>
        <w:rPr>
          <w:noProof/>
        </w:rPr>
        <w:t>Förslaget är förenligt med förordning (EG) nr 1107/2009 och förordning (EU) nr 528/2012 eftersom båda föreskriver kriterier som inte tillåter utsläppande på marknaden och användning av ämnen som är långlivade, bioackumulerande och toxiska och av ämnen som klassificeras som långlivade organiska föroreningar. I ett samsynsdokument</w:t>
      </w:r>
      <w:r>
        <w:rPr>
          <w:rStyle w:val="FootnoteReference"/>
          <w:noProof/>
        </w:rPr>
        <w:footnoteReference w:id="7"/>
      </w:r>
      <w:r>
        <w:rPr>
          <w:noProof/>
        </w:rPr>
        <w:t xml:space="preserve"> granskas förhållandet mellan Stockholmskonventionen, förordning (EG) 850/2004 och förordning (EG) nr 1907/2006 vad gäller begränsningar och krav på tillstånd, för att säkerställa samstämmigheten.</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rPr>
        <w:t>•</w:t>
      </w:r>
      <w:r>
        <w:rPr>
          <w:noProof/>
        </w:rPr>
        <w:tab/>
        <w:t>Rättslig grund</w:t>
      </w:r>
    </w:p>
    <w:p>
      <w:pPr>
        <w:pBdr>
          <w:top w:val="nil"/>
          <w:left w:val="nil"/>
          <w:bottom w:val="nil"/>
          <w:right w:val="nil"/>
          <w:between w:val="nil"/>
          <w:bar w:val="nil"/>
        </w:pBdr>
        <w:spacing w:before="0" w:after="240"/>
        <w:rPr>
          <w:noProof/>
        </w:rPr>
      </w:pPr>
      <w:r>
        <w:rPr>
          <w:noProof/>
        </w:rPr>
        <w:t>Den förfarandemässiga rättsliga grunden för det föreslagna rådsbeslutet är artikel 218.9 i EUF-fördraget, som är en lämplig grund för en akt som fastställer Europeiska unionens ståndpunkt i förhållande till ett internationellt avtal, i det här fallet Stockholmskonventionen.</w:t>
      </w:r>
    </w:p>
    <w:p>
      <w:pPr>
        <w:pBdr>
          <w:top w:val="nil"/>
          <w:left w:val="nil"/>
          <w:bottom w:val="nil"/>
          <w:right w:val="nil"/>
          <w:between w:val="nil"/>
          <w:bar w:val="nil"/>
        </w:pBdr>
        <w:spacing w:before="0" w:after="240"/>
        <w:rPr>
          <w:rFonts w:eastAsia="Arial Unicode MS"/>
          <w:noProof/>
        </w:rPr>
      </w:pPr>
      <w:r>
        <w:rPr>
          <w:noProof/>
        </w:rPr>
        <w:t>Den materiella rättsliga grunden är artikel 192.1 i EUF-fördraget, med tanke på att de åtgärder som överenskoms inom ramen för Stockholmskonventionen främst eftersträvar ett miljömål (dvs. eliminering av långlivade organiska föroreningar).</w:t>
      </w:r>
    </w:p>
    <w:p>
      <w:pPr>
        <w:pStyle w:val="ManualHeading2"/>
        <w:rPr>
          <w:rFonts w:eastAsia="Arial Unicode MS"/>
          <w:noProof/>
          <w:u w:color="000000"/>
          <w:bdr w:val="nil"/>
        </w:rPr>
      </w:pPr>
      <w:r>
        <w:rPr>
          <w:noProof/>
        </w:rPr>
        <w:lastRenderedPageBreak/>
        <w:t>•</w:t>
      </w:r>
      <w:r>
        <w:rPr>
          <w:noProof/>
        </w:rPr>
        <w:tab/>
        <w:t xml:space="preserve">Subsidiaritetsprincipen (för icke-exklusiv befogenhet) </w:t>
      </w:r>
    </w:p>
    <w:p>
      <w:pPr>
        <w:pBdr>
          <w:top w:val="nil"/>
          <w:left w:val="nil"/>
          <w:bottom w:val="nil"/>
          <w:right w:val="nil"/>
          <w:between w:val="nil"/>
          <w:bar w:val="nil"/>
        </w:pBdr>
        <w:spacing w:before="0" w:after="240"/>
        <w:rPr>
          <w:rFonts w:eastAsia="Arial Unicode MS"/>
          <w:noProof/>
        </w:rPr>
      </w:pPr>
      <w:r>
        <w:rPr>
          <w:noProof/>
        </w:rPr>
        <w:t>Långlivade organiska föroreningar är ett globalt problem och Stockholmskonventionen genomförs i unionen genom förordning (EG) nr 850/2004. Eftersom unionen är part i konventionen är det lämpligt att en ny kemikalie föreslås av unionen.</w:t>
      </w:r>
    </w:p>
    <w:p>
      <w:pPr>
        <w:pStyle w:val="ManualHeading2"/>
        <w:rPr>
          <w:rFonts w:eastAsia="Arial Unicode MS"/>
          <w:noProof/>
          <w:u w:color="000000"/>
          <w:bdr w:val="nil"/>
        </w:rPr>
      </w:pPr>
      <w:r>
        <w:rPr>
          <w:noProof/>
        </w:rPr>
        <w:t>•</w:t>
      </w:r>
      <w:r>
        <w:rPr>
          <w:noProof/>
        </w:rPr>
        <w:tab/>
        <w:t>Proportionalitetsprincipen</w:t>
      </w:r>
    </w:p>
    <w:p>
      <w:pPr>
        <w:pBdr>
          <w:top w:val="nil"/>
          <w:left w:val="nil"/>
          <w:bottom w:val="nil"/>
          <w:right w:val="nil"/>
          <w:between w:val="nil"/>
          <w:bar w:val="nil"/>
        </w:pBdr>
        <w:spacing w:before="0" w:after="240"/>
        <w:rPr>
          <w:rFonts w:eastAsia="Arial Unicode MS"/>
          <w:noProof/>
        </w:rPr>
      </w:pPr>
      <w:r>
        <w:rPr>
          <w:noProof/>
        </w:rPr>
        <w:t>Långlivade organiska föroreningar är ett globalt problem och Stockholmskonventionen syftar till att eliminera produktionen och användningen av de kemikalierna. Det är därför proportionellt att föreslå att kemikalien införs i konventionen för att säkerställa att lämpliga åtgärder vidtas på global nivå.</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rPr>
        <w:t>•</w:t>
      </w:r>
      <w:r>
        <w:rPr>
          <w:noProof/>
        </w:rPr>
        <w:tab/>
        <w:t>Samråd med berörda parter</w:t>
      </w:r>
    </w:p>
    <w:p>
      <w:pPr>
        <w:pBdr>
          <w:top w:val="nil"/>
          <w:left w:val="nil"/>
          <w:bottom w:val="nil"/>
          <w:right w:val="nil"/>
          <w:between w:val="nil"/>
          <w:bar w:val="nil"/>
        </w:pBdr>
        <w:spacing w:before="0" w:after="240"/>
        <w:rPr>
          <w:rFonts w:eastAsia="Arial Unicode MS"/>
          <w:noProof/>
        </w:rPr>
      </w:pPr>
      <w:r>
        <w:rPr>
          <w:noProof/>
        </w:rPr>
        <w:t>Förslaget diskuterades med medlemsstaterna och andra berörda parter vid flera möten med de behöriga myndigheterna för förordning (EG) nr 850/2004 och dessutom vid ett möte och i ett skriftligt förfarande i Europeiska kemikaliemyndighetens expertgrupp för långlivade, bioackumulerande och toxiska ämnen, och de inkomna synpunkterna behandlades.</w:t>
      </w:r>
    </w:p>
    <w:p>
      <w:pPr>
        <w:pStyle w:val="ManualHeading2"/>
        <w:rPr>
          <w:rFonts w:eastAsia="Arial Unicode MS"/>
          <w:noProof/>
          <w:u w:color="000000"/>
          <w:bdr w:val="nil"/>
        </w:rPr>
      </w:pPr>
      <w:r>
        <w:rPr>
          <w:noProof/>
        </w:rPr>
        <w:t>•</w:t>
      </w:r>
      <w:r>
        <w:rPr>
          <w:noProof/>
        </w:rPr>
        <w:tab/>
        <w:t>Konsekvensbedömning</w:t>
      </w:r>
    </w:p>
    <w:p>
      <w:pPr>
        <w:pBdr>
          <w:top w:val="nil"/>
          <w:left w:val="nil"/>
          <w:bottom w:val="nil"/>
          <w:right w:val="nil"/>
          <w:between w:val="nil"/>
          <w:bar w:val="nil"/>
        </w:pBdr>
        <w:spacing w:before="0" w:after="240"/>
        <w:rPr>
          <w:rFonts w:eastAsia="Arial Unicode MS"/>
          <w:noProof/>
        </w:rPr>
      </w:pPr>
      <w:r>
        <w:rPr>
          <w:noProof/>
        </w:rPr>
        <w:t>Ingen konsekvensbedömning har gjorts. Att kemikalien föreslås för införande i konventionen kommer inte att ha några konsekvenser eftersom den inte verkar användas i unionen. Om granskningskommittén för POP skulle dra slutsatsen att det rör sig om en långlivad organisk förorening kommer kommittén att göra en bedömning av eventuella kontrollåtgärder, med beaktande av socioekonomiska uppgifter.</w:t>
      </w:r>
    </w:p>
    <w:p>
      <w:pPr>
        <w:pStyle w:val="ManualHeading2"/>
        <w:rPr>
          <w:rFonts w:eastAsia="Arial Unicode MS"/>
          <w:noProof/>
          <w:u w:color="000000"/>
          <w:bdr w:val="nil"/>
        </w:rPr>
      </w:pPr>
      <w:r>
        <w:rPr>
          <w:noProof/>
        </w:rPr>
        <w:t>•</w:t>
      </w:r>
      <w:r>
        <w:rPr>
          <w:noProof/>
        </w:rPr>
        <w:tab/>
        <w:t>Lagstiftningens ändamålsenlighet och förenkling</w:t>
      </w:r>
    </w:p>
    <w:p>
      <w:pPr>
        <w:pBdr>
          <w:top w:val="nil"/>
          <w:left w:val="nil"/>
          <w:bottom w:val="nil"/>
          <w:right w:val="nil"/>
          <w:between w:val="nil"/>
          <w:bar w:val="nil"/>
        </w:pBdr>
        <w:spacing w:before="0" w:after="240"/>
        <w:rPr>
          <w:rFonts w:eastAsia="Arial Unicode MS"/>
          <w:noProof/>
        </w:rPr>
      </w:pPr>
      <w:r>
        <w:rPr>
          <w:noProof/>
        </w:rPr>
        <w:t>Förslaget påverkar inte någon kommersiell verksamhet eftersom kemikalien inte används kommersiellt i unionen och det innehåller därför inte några undantag för mikroföretag eller några specialregler för små- och medelstora företag. Föreslaget påverkar inte konkurrenskraften i enskilda sektorer inom EU eller handeln, eftersom ingen handel sker med kemikalien mellan unionen och tredjeländer.</w:t>
      </w:r>
    </w:p>
    <w:p>
      <w:pPr>
        <w:pStyle w:val="ManualHeading1"/>
        <w:rPr>
          <w:noProof/>
        </w:rPr>
      </w:pPr>
      <w:r>
        <w:rPr>
          <w:noProof/>
        </w:rPr>
        <w:t>4.</w:t>
      </w:r>
      <w:r>
        <w:rPr>
          <w:noProof/>
        </w:rPr>
        <w:tab/>
        <w:t>BUDGETKONSEKVENSER</w:t>
      </w:r>
    </w:p>
    <w:p>
      <w:pPr>
        <w:pBdr>
          <w:top w:val="nil"/>
          <w:left w:val="nil"/>
          <w:bottom w:val="nil"/>
          <w:right w:val="nil"/>
          <w:between w:val="nil"/>
          <w:bar w:val="nil"/>
        </w:pBdr>
        <w:spacing w:before="0" w:after="240"/>
        <w:rPr>
          <w:rFonts w:eastAsia="Arial Unicode MS"/>
          <w:noProof/>
        </w:rPr>
      </w:pPr>
      <w:r>
        <w:rPr>
          <w:noProof/>
        </w:rPr>
        <w:t>Förslaget påverkar inte unionens budget.</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rPr>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Det anses inte vara nödvändigt med någon genomförandeplan, övervakning, utvärdering eller rapportering.</w:t>
      </w:r>
    </w:p>
    <w:p>
      <w:pPr>
        <w:pStyle w:val="ManualHeading2"/>
        <w:rPr>
          <w:rFonts w:eastAsia="Arial Unicode MS"/>
          <w:noProof/>
          <w:u w:color="000000"/>
          <w:bdr w:val="nil"/>
        </w:rPr>
      </w:pPr>
      <w:r>
        <w:rPr>
          <w:noProof/>
        </w:rPr>
        <w:t>•</w:t>
      </w:r>
      <w:r>
        <w:rPr>
          <w:noProof/>
        </w:rPr>
        <w:tab/>
        <w:t>Ingående redogörelse för de specifika bestämmelserna i förslaget</w:t>
      </w:r>
    </w:p>
    <w:p>
      <w:pPr>
        <w:pBdr>
          <w:top w:val="nil"/>
          <w:left w:val="nil"/>
          <w:bottom w:val="nil"/>
          <w:right w:val="nil"/>
          <w:between w:val="nil"/>
          <w:bar w:val="nil"/>
        </w:pBdr>
        <w:spacing w:before="0" w:after="240"/>
        <w:rPr>
          <w:rFonts w:eastAsia="Arial Unicode MS"/>
          <w:noProof/>
        </w:rPr>
      </w:pPr>
      <w:r>
        <w:rPr>
          <w:noProof/>
        </w:rPr>
        <w:t>Föreslaget innebär att kommissionen på Europeiska unionens vägnar får föreslå införandet av metoxiklor i Stockholmskonventionen.</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2019/0039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inlämning, på Europeiska unionens vägnar, av ett förslag om införande av metoxiklor i bilaga A till Stockholmskonventionen om långlivade organiska föroreningar</w:t>
      </w:r>
    </w:p>
    <w:p>
      <w:pPr>
        <w:pStyle w:val="Institutionquiagit"/>
        <w:rPr>
          <w:noProof/>
        </w:rPr>
      </w:pPr>
      <w:r>
        <w:rPr>
          <w:noProof/>
        </w:rPr>
        <w:t>EUROPAPARLAMENTET OCH EUROPEISKA UNIONENS RÅD HAR ANTAGIT DETTA BESLUT</w:t>
      </w:r>
    </w:p>
    <w:p>
      <w:pPr>
        <w:rPr>
          <w:noProof/>
        </w:rPr>
      </w:pPr>
      <w:r>
        <w:rPr>
          <w:noProof/>
        </w:rPr>
        <w:t>med beaktande av fördraget om Europeiska unionens funktionssätt, särskilt artikel 192.1 jämförd med artikel 218.9,</w:t>
      </w:r>
    </w:p>
    <w:p>
      <w:pPr>
        <w:rPr>
          <w:noProof/>
        </w:rPr>
      </w:pPr>
      <w:r>
        <w:rPr>
          <w:noProof/>
        </w:rPr>
        <w:t>med beaktande av Europeiska kommissionens förslag, och</w:t>
      </w:r>
    </w:p>
    <w:p>
      <w:pPr>
        <w:rPr>
          <w:noProof/>
        </w:rPr>
      </w:pPr>
      <w:r>
        <w:rPr>
          <w:noProof/>
        </w:rPr>
        <w:t>av följande skäl:</w:t>
      </w:r>
    </w:p>
    <w:p>
      <w:pPr>
        <w:pStyle w:val="ManualConsidrant"/>
        <w:rPr>
          <w:noProof/>
        </w:rPr>
      </w:pPr>
      <w:r>
        <w:t>(1)</w:t>
      </w:r>
      <w:r>
        <w:tab/>
      </w:r>
      <w:r>
        <w:rPr>
          <w:noProof/>
        </w:rPr>
        <w:t>Stockholmskonventionen om långlivade organiska föroreningar ingicks av Europeiska gemenskapen den 14 oktober 2004 genom rådets beslut 2006/507/EG</w:t>
      </w:r>
      <w:r>
        <w:rPr>
          <w:rStyle w:val="FootnoteReference"/>
          <w:noProof/>
        </w:rPr>
        <w:footnoteReference w:id="8"/>
      </w:r>
      <w:r>
        <w:rPr>
          <w:noProof/>
        </w:rPr>
        <w:t>.</w:t>
      </w:r>
    </w:p>
    <w:p>
      <w:pPr>
        <w:pStyle w:val="ManualConsidrant"/>
        <w:rPr>
          <w:noProof/>
        </w:rPr>
      </w:pPr>
      <w:r>
        <w:t>(2)</w:t>
      </w:r>
      <w:r>
        <w:tab/>
      </w:r>
      <w:r>
        <w:rPr>
          <w:noProof/>
        </w:rPr>
        <w:t xml:space="preserve">Som part i konventionen kan unionen lägga fram förslag om ändring av bilagorna till konventionen. I bilaga A till konventionen förtecknas långlivade organiska föroreningar som bör elimineras, i bilaga B långlivade organiska föroreningar som bör begränsas och i bilaga C långlivade organiska föroreningar vars oavsiktliga produktion bör begränsas eller elimineras. </w:t>
      </w:r>
    </w:p>
    <w:p>
      <w:pPr>
        <w:pStyle w:val="ManualConsidrant"/>
        <w:rPr>
          <w:noProof/>
        </w:rPr>
      </w:pPr>
      <w:r>
        <w:t>(3)</w:t>
      </w:r>
      <w:r>
        <w:tab/>
      </w:r>
      <w:r>
        <w:rPr>
          <w:noProof/>
        </w:rPr>
        <w:t xml:space="preserve">Enligt den vetenskapliga information och de granskningsrapporter som finns att tillgå och med hänsyn till urvalskriterierna i bilaga D till konventionen, uppvisar metoxiklor egenskaper som är karakteristiska för långlivade organiska föroreningar. </w:t>
      </w:r>
    </w:p>
    <w:p>
      <w:pPr>
        <w:pStyle w:val="ManualConsidrant"/>
        <w:rPr>
          <w:noProof/>
        </w:rPr>
      </w:pPr>
      <w:r>
        <w:t>(4)</w:t>
      </w:r>
      <w:r>
        <w:tab/>
      </w:r>
      <w:r>
        <w:rPr>
          <w:noProof/>
        </w:rPr>
        <w:t>Metoxiklor är inte godkänt som verksamt ämne i enlighet med Europaparlamentets och rådets förordning (EG) nr 1107/2009</w:t>
      </w:r>
      <w:r>
        <w:rPr>
          <w:rStyle w:val="FootnoteReference"/>
          <w:noProof/>
        </w:rPr>
        <w:footnoteReference w:id="9"/>
      </w:r>
      <w:r>
        <w:rPr>
          <w:noProof/>
        </w:rPr>
        <w:t xml:space="preserve"> och får därför inte släppas ut på marknaden eller användas inom unionen i växtskyddsmedel. Metoxiklor är inte heller godkänt som verksamt ämne i enlighet med Europaparlamentets och rådets förordning (EU) nr 528/2012</w:t>
      </w:r>
      <w:r>
        <w:rPr>
          <w:rStyle w:val="FootnoteReference"/>
          <w:noProof/>
        </w:rPr>
        <w:footnoteReference w:id="10"/>
      </w:r>
      <w:r>
        <w:rPr>
          <w:noProof/>
        </w:rPr>
        <w:t xml:space="preserve"> och får därför inte släppas ut på marknaden eller användas inom unionen i biocidprodukter. Dessutom är metoxiklor inte registrerat enligt Europaparlamentets och rådets förordning (EG) nr 1907/2006</w:t>
      </w:r>
      <w:r>
        <w:rPr>
          <w:rStyle w:val="FootnoteReference"/>
          <w:noProof/>
        </w:rPr>
        <w:footnoteReference w:id="11"/>
      </w:r>
      <w:r>
        <w:rPr>
          <w:noProof/>
        </w:rPr>
        <w:t xml:space="preserve"> och får därför inte tillverkas eller släppas </w:t>
      </w:r>
      <w:r>
        <w:rPr>
          <w:noProof/>
        </w:rPr>
        <w:lastRenderedPageBreak/>
        <w:t>ut på marknaden inom unionen i mängder på ett ton eller mer per år och per tillverkare eller importör.</w:t>
      </w:r>
    </w:p>
    <w:p>
      <w:pPr>
        <w:pStyle w:val="ManualConsidrant"/>
        <w:rPr>
          <w:noProof/>
        </w:rPr>
      </w:pPr>
      <w:r>
        <w:t>(5)</w:t>
      </w:r>
      <w:r>
        <w:tab/>
      </w:r>
      <w:r>
        <w:rPr>
          <w:noProof/>
        </w:rPr>
        <w:t>Fastän metoxiklor fasades ut i unionen för många år sedan får det fortfarande användas som bekämpningsmedel och spridas i miljön utanför unionen, vilket skulle kunna vara anledningen till att det kan påvisas i miljön. Eftersom metoxiklor kan transporteras långt i miljön räcker det inte med de åtgärder som enskilda länder eller unionen vidtar, utan det behövs en internationell insats för att upprätthålla en hög miljö- och hälsoskyddsnivå.</w:t>
      </w:r>
    </w:p>
    <w:p>
      <w:pPr>
        <w:pStyle w:val="ManualConsidrant"/>
        <w:rPr>
          <w:noProof/>
        </w:rPr>
      </w:pPr>
      <w:r>
        <w:t>(6)</w:t>
      </w:r>
      <w:r>
        <w:tab/>
      </w:r>
      <w:r>
        <w:rPr>
          <w:noProof/>
        </w:rPr>
        <w:t>Unionen bör därför lämna in ett förslag till konventionens sekretariat om införande av metoxiklor i bilaga A till konventionen.</w:t>
      </w:r>
    </w:p>
    <w:p>
      <w:pPr>
        <w:pStyle w:val="Formuledadoption"/>
        <w:rPr>
          <w:noProof/>
        </w:rPr>
      </w:pPr>
      <w:r>
        <w:rPr>
          <w:noProof/>
        </w:rPr>
        <w:t xml:space="preserve">HÄRIGENOM FÖRESKRIVS FÖLJANDE. </w:t>
      </w:r>
    </w:p>
    <w:p>
      <w:pPr>
        <w:pStyle w:val="Titrearticle"/>
        <w:rPr>
          <w:noProof/>
        </w:rPr>
      </w:pPr>
      <w:r>
        <w:rPr>
          <w:noProof/>
        </w:rPr>
        <w:t>Artikel 1</w:t>
      </w:r>
    </w:p>
    <w:p>
      <w:pPr>
        <w:outlineLvl w:val="0"/>
        <w:rPr>
          <w:rFonts w:eastAsia="Calibri"/>
          <w:noProof/>
          <w:szCs w:val="24"/>
        </w:rPr>
      </w:pPr>
      <w:r>
        <w:rPr>
          <w:noProof/>
        </w:rPr>
        <w:t xml:space="preserve">Unionen ska lämna in ett förslag om införande av metoxiklor (CAS-nr 72-43-5, EG-nr 200-779-9) i bilaga A till Stockholmskonventionen om långlivade organiska föroreningar (nedan kallad </w:t>
      </w:r>
      <w:r>
        <w:rPr>
          <w:i/>
          <w:noProof/>
        </w:rPr>
        <w:t>konventionen</w:t>
      </w:r>
      <w:r>
        <w:rPr>
          <w:noProof/>
        </w:rPr>
        <w:t>).</w:t>
      </w:r>
    </w:p>
    <w:p>
      <w:pPr>
        <w:outlineLvl w:val="0"/>
        <w:rPr>
          <w:rFonts w:eastAsia="Calibri"/>
          <w:noProof/>
          <w:szCs w:val="24"/>
        </w:rPr>
      </w:pPr>
      <w:r>
        <w:rPr>
          <w:noProof/>
        </w:rPr>
        <w:t>Kommissionen ska överlämna förslaget på unionens vägnar till konventionens sekretariat tillsammans med den information som krävs enligt bilaga D till konventionen.</w:t>
      </w:r>
    </w:p>
    <w:p>
      <w:pPr>
        <w:pStyle w:val="Titrearticle"/>
        <w:rPr>
          <w:noProof/>
        </w:rPr>
      </w:pPr>
      <w:r>
        <w:rPr>
          <w:noProof/>
        </w:rPr>
        <w:t>Artikel 2</w:t>
      </w:r>
    </w:p>
    <w:p>
      <w:pPr>
        <w:outlineLvl w:val="0"/>
        <w:rPr>
          <w:noProof/>
        </w:rPr>
      </w:pPr>
      <w:r>
        <w:rPr>
          <w:noProof/>
        </w:rPr>
        <w:t>Detta beslut riktar sig till kommissionen.</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Rådets beslut 2006/507/EG av den 14 oktober 2004 om ingående på Europeiska gemenskapens vägnar av Stockholmskonventionen om långlivade organiska föroreningar (EUT L 209, 31.7.2006, s. 1).</w:t>
      </w:r>
    </w:p>
  </w:footnote>
  <w:footnote w:id="2">
    <w:p>
      <w:pPr>
        <w:pStyle w:val="FootnoteText"/>
      </w:pPr>
      <w:r>
        <w:rPr>
          <w:rStyle w:val="FootnoteReference"/>
        </w:rPr>
        <w:footnoteRef/>
      </w:r>
      <w:r>
        <w:tab/>
        <w:t>Europaparlamentets och rådets förordning (EG) nr 850/2004 av den 29 april 2004 om långlivade organiska föroreningar och om ändring av direktiv 79/117/EEG (EUT L 158, 30.4.2004, s. 7).</w:t>
      </w:r>
    </w:p>
  </w:footnote>
  <w:footnote w:id="3">
    <w:p>
      <w:pPr>
        <w:pStyle w:val="FootnoteText"/>
      </w:pPr>
      <w:r>
        <w:rPr>
          <w:rStyle w:val="FootnoteReference"/>
        </w:rPr>
        <w:footnoteRef/>
      </w:r>
      <w:r>
        <w:tab/>
        <w:t>Rådets beslut 2004/259/EG av den 19 februari 2004 om ingående på Europeiska gemenskapens vägnar av protokollet till 1979 års konvention om långväga gränsöverskridande luftföroreningar om långlivade organiska föroreningar (EUT L 81, 19.3.2004, s. 35).</w:t>
      </w:r>
    </w:p>
  </w:footnote>
  <w:footnote w:id="4">
    <w:p>
      <w:pPr>
        <w:pStyle w:val="FootnoteText"/>
      </w:pPr>
      <w:r>
        <w:rPr>
          <w:rStyle w:val="FootnoteReference"/>
        </w:rPr>
        <w:footnoteRef/>
      </w:r>
      <w:r>
        <w:tab/>
        <w:t>Europaparlamentets och rådets förordning (EG) nr 1107/2009 av den 21 oktober 2009 om utsläppande av växtskyddsmedel på marknaden och om upphävande av rådets direktiv 79/117/EEG och 91/414/EEG (EUT L 309, 24.11.2009, s. 1).</w:t>
      </w:r>
    </w:p>
  </w:footnote>
  <w:footnote w:id="5">
    <w:p>
      <w:pPr>
        <w:pStyle w:val="FootnoteText"/>
      </w:pPr>
      <w:r>
        <w:rPr>
          <w:rStyle w:val="FootnoteReference"/>
        </w:rPr>
        <w:footnoteRef/>
      </w:r>
      <w:r>
        <w:tab/>
        <w:t>Europaparlamentets och rådets förordning (EU) nr 528/2012 av den 22 maj 2012 om tillhandahållande på marknaden och användning av biocidprodukter (EUT L 167, 27.6.2012, s. 1).</w:t>
      </w:r>
    </w:p>
  </w:footnote>
  <w:footnote w:id="6">
    <w:p>
      <w:pPr>
        <w:pStyle w:val="FootnoteText"/>
      </w:pPr>
      <w:r>
        <w:rPr>
          <w:rStyle w:val="FootnoteReference"/>
        </w:rPr>
        <w:footnoteRef/>
      </w:r>
      <w:r>
        <w:tab/>
        <w:t>Europaparlamentets och rådets förordning (EG) nr 1907/2006 av den 18 december 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(EUT L 396, 30.12.2006, s. 1).</w:t>
      </w:r>
    </w:p>
  </w:footnote>
  <w:footnote w:id="7">
    <w:p>
      <w:pPr>
        <w:pStyle w:val="FootnoteText"/>
      </w:pPr>
      <w:r>
        <w:rPr>
          <w:rStyle w:val="FootnoteReference"/>
        </w:rPr>
        <w:footnoteRef/>
      </w:r>
      <w:r>
        <w:tab/>
      </w:r>
      <w:hyperlink r:id="rId1">
        <w:r>
          <w:rPr>
            <w:rStyle w:val="Hyperlink"/>
          </w:rPr>
          <w:t>http://ec.europa.eu/growth/sectors/chemicals/reach/special-cases_en</w:t>
        </w:r>
      </w:hyperlink>
      <w:r>
        <w:t xml:space="preserve"> </w:t>
      </w:r>
    </w:p>
  </w:footnote>
  <w:footnote w:id="8">
    <w:p>
      <w:pPr>
        <w:pStyle w:val="FootnoteText"/>
      </w:pPr>
      <w:r>
        <w:rPr>
          <w:rStyle w:val="FootnoteReference"/>
        </w:rPr>
        <w:footnoteRef/>
      </w:r>
      <w:r>
        <w:tab/>
        <w:t>Rådets beslut 2006/507/EG av den 14 oktober 2004 om ingående på Europeiska gemenskapens vägnar av Stockholmskonventionen om långlivade organiska föroreningar (EUT L 209, 31.7.2006, s. 1).</w:t>
      </w:r>
    </w:p>
  </w:footnote>
  <w:footnote w:id="9">
    <w:p>
      <w:pPr>
        <w:pStyle w:val="FootnoteText"/>
      </w:pPr>
      <w:r>
        <w:rPr>
          <w:rStyle w:val="FootnoteReference"/>
        </w:rPr>
        <w:footnoteRef/>
      </w:r>
      <w:r>
        <w:tab/>
        <w:t>Europaparlamentets och rådets förordning (EG) nr 1107/2009 av den 21 oktober 2009 om utsläppande av växtskyddsmedel på marknaden och om upphävande av rådets direktiv 79/117/EEG och 91/414/EEG (EUT L 309, 24.11.2009, s. 1).</w:t>
      </w:r>
    </w:p>
  </w:footnote>
  <w:footnote w:id="10">
    <w:p>
      <w:pPr>
        <w:pStyle w:val="FootnoteText"/>
      </w:pPr>
      <w:r>
        <w:rPr>
          <w:rStyle w:val="FootnoteReference"/>
        </w:rPr>
        <w:footnoteRef/>
      </w:r>
      <w:r>
        <w:tab/>
        <w:t>Europaparlamentets och rådets förordning (EU) nr 528/2012 av den 22 maj 2012 om tillhandahållande på marknaden och användning av biocidprodukter (EUT L 167, 27.6.2012, s. 1).</w:t>
      </w:r>
    </w:p>
  </w:footnote>
  <w:footnote w:id="11">
    <w:p>
      <w:pPr>
        <w:pStyle w:val="FootnoteText"/>
      </w:pPr>
      <w:r>
        <w:rPr>
          <w:rStyle w:val="FootnoteReference"/>
        </w:rPr>
        <w:footnoteRef/>
      </w:r>
      <w:r>
        <w:tab/>
        <w:t>Europaparlamentets och rådets förordning (EG) nr 1907/2006 av den 18 december 2006 om registrering, utvärdering, godkännande och begränsning av kemikalier (Reach), inrättande av en europeisk kemikaliemyndighet, ändring av direktiv 1999/45/EG och upphävande av rådets förordning (EEG) nr 793/93 och kommissionens förordning (EG) nr 1488/94 samt rådets direktiv 76/769/EEG och kommissionens direktiv 91/155/EEG, 93/67/EEG, 93/105/EG och 2000/21/EG (EUT L 396, 30.12.2006,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163BF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C7AC4A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A04C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39625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24E14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247BF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A85850"/>
    <w:lvl w:ilvl="0">
      <w:start w:val="1"/>
      <w:numFmt w:val="decimal"/>
      <w:pStyle w:val="ListNumber"/>
      <w:lvlText w:val="%1."/>
      <w:lvlJc w:val="left"/>
      <w:pPr>
        <w:tabs>
          <w:tab w:val="num" w:pos="360"/>
        </w:tabs>
        <w:ind w:left="360" w:hanging="360"/>
      </w:pPr>
    </w:lvl>
  </w:abstractNum>
  <w:abstractNum w:abstractNumId="7">
    <w:nsid w:val="FFFFFF89"/>
    <w:multiLevelType w:val="singleLevel"/>
    <w:tmpl w:val="C8E6A67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8 10:21:1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9181DD6-3D1E-4F34-8B91-CBC156E0B308"/>
    <w:docVar w:name="LW_COVERPAGE_TYPE" w:val="1"/>
    <w:docVar w:name="LW_CROSSREFERENCE" w:val="&lt;UNUSED&gt;"/>
    <w:docVar w:name="LW_DocType" w:val="COM"/>
    <w:docVar w:name="LW_EMISSION" w:val="15.2.2019"/>
    <w:docVar w:name="LW_EMISSION_ISODATE" w:val="2019-02-15"/>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039"/>
    <w:docVar w:name="LW_REF.II.NEW.CP_YEAR" w:val="2019"/>
    <w:docVar w:name="LW_REF.INST.NEW" w:val="COM"/>
    <w:docVar w:name="LW_REF.INST.NEW_ADOPTED" w:val="final"/>
    <w:docVar w:name="LW_REF.INST.NEW_TEXT" w:val="(2019) 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örslag till"/>
    <w:docVar w:name="LW_SUPERTITRE" w:val="&lt;UNUSED&gt;"/>
    <w:docVar w:name="LW_TITRE.OBJ.CP" w:val="om inlämning, på Europeiska unionens vägnar, av ett förslag om införande av metoxiklor i bilaga A till Stockholmskonventionen om långlivade organiska föroreningar"/>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v-S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v-S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ectors/chemicals/reach/special-case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D5E9B2B-C207-4315-9FFD-DDF61AE5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1440</Words>
  <Characters>9263</Characters>
  <Application>Microsoft Office Word</Application>
  <DocSecurity>0</DocSecurity>
  <Lines>159</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2018-04-16T08:53:00Z</cp:lastPrinted>
  <dcterms:created xsi:type="dcterms:W3CDTF">2019-01-30T17:09:00Z</dcterms:created>
  <dcterms:modified xsi:type="dcterms:W3CDTF">2019-02-08T09:21:00Z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SJ-019</vt:lpwstr>
  </property>
  <property fmtid="{D5CDD505-2E9C-101B-9397-08002B2CF9AE}" pid="9" name="Level of sensitivity">
    <vt:lpwstr>Standard treatment</vt:lpwstr>
  </property>
  <property fmtid="{D5CDD505-2E9C-101B-9397-08002B2CF9AE}" pid="10" name="DQCStatus">
    <vt:lpwstr>Green (DQC version 03)</vt:lpwstr>
  </property>
</Properties>
</file>