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91F53391-4920-48A5-A034-22235C2A9D7B" style="width:450.75pt;height:321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Default"/>
        <w:numPr>
          <w:ilvl w:val="0"/>
          <w:numId w:val="1"/>
        </w:numPr>
        <w:rPr>
          <w:noProof/>
        </w:rPr>
      </w:pPr>
      <w:bookmarkStart w:id="1" w:name="_GoBack"/>
      <w:bookmarkEnd w:id="1"/>
      <w:r>
        <w:rPr>
          <w:b/>
          <w:noProof/>
        </w:rPr>
        <w:lastRenderedPageBreak/>
        <w:t>Kontekst</w:t>
      </w:r>
    </w:p>
    <w:p>
      <w:pPr>
        <w:pStyle w:val="Default"/>
        <w:rPr>
          <w:noProof/>
        </w:rPr>
      </w:pPr>
    </w:p>
    <w:p>
      <w:pPr>
        <w:pStyle w:val="Default"/>
        <w:jc w:val="both"/>
        <w:rPr>
          <w:noProof/>
        </w:rPr>
      </w:pPr>
      <w:r>
        <w:rPr>
          <w:noProof/>
        </w:rPr>
        <w:t>Uredbom (EU) br. 1143/2014 o invazivnim stranim vrstama</w:t>
      </w:r>
      <w:r>
        <w:rPr>
          <w:rStyle w:val="FootnoteReference"/>
          <w:noProof/>
        </w:rPr>
        <w:footnoteReference w:id="1"/>
      </w:r>
      <w:r>
        <w:rPr>
          <w:noProof/>
        </w:rPr>
        <w:t xml:space="preserve"> (dalje u tekstu „Uredba o invazivnim stranim vrstama”) utvrđuje se okvir za rješavanje pitanja učinka invazivnih stranih vrsta na bioraznolikost i povezane usluge ekosustava te se Komisija ovlašćuje da provedbenim aktima donosi, ažurira i preispituje popis invazivnih stranih vrsta koje izazivaju zabrinutost u Uniji. U tu svrhu Komisiji pomaže Odbor koji se sastoji od predstavnika država članica (dalje u tekstu „Odbor za invazivne strane vrste”).</w:t>
      </w:r>
    </w:p>
    <w:p>
      <w:pPr>
        <w:pStyle w:val="Default"/>
        <w:jc w:val="both"/>
        <w:rPr>
          <w:noProof/>
        </w:rPr>
      </w:pPr>
    </w:p>
    <w:p>
      <w:pPr>
        <w:pStyle w:val="Default"/>
        <w:jc w:val="both"/>
        <w:rPr>
          <w:noProof/>
        </w:rPr>
      </w:pPr>
      <w:r>
        <w:rPr>
          <w:noProof/>
        </w:rPr>
        <w:t>Prije razmatranja uvrštenja vrste na popis invazivnih stranih vrsta koje izazivaju zabrinutost u Uniji potrebno je izvršiti detaljnu procjenu rizika za tu vrstu koja se temelji na pouzdanim znanstvenim dokazima i uključuje sve elemente utvrđene člankom 5. stavkom 1. Uredbe o invazivnim stranim vrstama.</w:t>
      </w:r>
    </w:p>
    <w:p>
      <w:pPr>
        <w:pStyle w:val="Default"/>
        <w:jc w:val="both"/>
        <w:rPr>
          <w:noProof/>
        </w:rPr>
      </w:pPr>
    </w:p>
    <w:p>
      <w:pPr>
        <w:pStyle w:val="Default"/>
        <w:jc w:val="both"/>
        <w:rPr>
          <w:noProof/>
        </w:rPr>
      </w:pPr>
      <w:r>
        <w:rPr>
          <w:noProof/>
        </w:rPr>
        <w:t>Člankom 5. stavkom 1. Uredbe o invazivnim stranim vrstama utvrđeni su svi elementi koji su potrebni za izradu procjene rizika na kojoj se može temeljiti donošenje odluke. U Uredbi o invazivnim stranim vrstama uvažava se da može biti korisno detaljnije opisati te elemente, uključujući pružanjem metodologije za procjenu rizika. Nadalje, znanstvena praksa u području procjena rizika može se dalje razvijati te bi takva kretanja trebalo integrirati u praksu razvoja procjene rizika za potrebe Uredbe o invazivnim stranim vrstama.</w:t>
      </w:r>
    </w:p>
    <w:p>
      <w:pPr>
        <w:pStyle w:val="Default"/>
        <w:jc w:val="both"/>
        <w:rPr>
          <w:noProof/>
        </w:rPr>
      </w:pPr>
    </w:p>
    <w:p>
      <w:pPr>
        <w:pStyle w:val="Default"/>
        <w:jc w:val="both"/>
        <w:rPr>
          <w:noProof/>
        </w:rPr>
      </w:pPr>
      <w:r>
        <w:rPr>
          <w:noProof/>
        </w:rPr>
        <w:t>Člankom 5. stavkom 3. Uredbe o invazivnim stranim vrstama Komisija se ovlašćuje za donošenje delegiranih akata kako bi detaljnije opisala tip prihvatljivog dokaza u pogledu sposobnosti uspostave održive populacije invazivnih stranih vrsta i njihova širenja u okolišu te pružila detaljan opis elemenata procjena rizika. Taj bi opis trebao uključivati metodologiju koju treba primijeniti uzimajući u obzir relevantne nacionalne i međunarodne norme.</w:t>
      </w:r>
    </w:p>
    <w:p>
      <w:pPr>
        <w:pStyle w:val="Default"/>
        <w:jc w:val="both"/>
        <w:rPr>
          <w:noProof/>
        </w:rPr>
      </w:pPr>
    </w:p>
    <w:p>
      <w:pPr>
        <w:pStyle w:val="Default"/>
        <w:numPr>
          <w:ilvl w:val="0"/>
          <w:numId w:val="1"/>
        </w:numPr>
        <w:rPr>
          <w:b/>
          <w:bCs/>
          <w:noProof/>
          <w:color w:val="auto"/>
        </w:rPr>
      </w:pPr>
      <w:r>
        <w:rPr>
          <w:b/>
          <w:noProof/>
          <w:color w:val="auto"/>
        </w:rPr>
        <w:t>Pravna osnova</w:t>
      </w:r>
    </w:p>
    <w:p>
      <w:pPr>
        <w:pStyle w:val="Default"/>
        <w:rPr>
          <w:noProof/>
          <w:color w:val="auto"/>
        </w:rPr>
      </w:pPr>
    </w:p>
    <w:p>
      <w:pPr>
        <w:pStyle w:val="Default"/>
        <w:jc w:val="both"/>
        <w:rPr>
          <w:noProof/>
          <w:color w:val="auto"/>
        </w:rPr>
      </w:pPr>
      <w:r>
        <w:rPr>
          <w:noProof/>
          <w:color w:val="auto"/>
        </w:rPr>
        <w:t>Ovo se izvješće propisuje člankom 29. stavkom 2. Uredbe o invazivnim stranim vrstama. Na temelju te odredbe delegiranje ovlasti iz članka 5. stavka 3. dodjeljuje se Komisiji na razdoblje od pet godina počevši od 1. siječnja 2015. Komisija također mora sastaviti izvješće o tom delegiranju ovlasti najkasnije devet mjeseci prije kraja tog petogodišnjeg razdoblja. Nadalje, u skladu s člankom 29. stavkom 2. delegiranje ovlasti automatski se produljuje za razdoblja jednakog trajanja, osim ako se Europski parlament ili Vijeće tom produljenju usprotive najkasnije tri mjeseca prije kraja svakog razdoblja.</w:t>
      </w:r>
    </w:p>
    <w:p>
      <w:pPr>
        <w:pStyle w:val="Default"/>
        <w:jc w:val="both"/>
        <w:rPr>
          <w:noProof/>
          <w:color w:val="auto"/>
        </w:rPr>
      </w:pPr>
    </w:p>
    <w:p>
      <w:pPr>
        <w:pStyle w:val="Default"/>
        <w:numPr>
          <w:ilvl w:val="0"/>
          <w:numId w:val="1"/>
        </w:numPr>
        <w:jc w:val="both"/>
        <w:rPr>
          <w:b/>
          <w:noProof/>
          <w:color w:val="auto"/>
        </w:rPr>
      </w:pPr>
      <w:r>
        <w:rPr>
          <w:b/>
          <w:noProof/>
          <w:color w:val="auto"/>
        </w:rPr>
        <w:t>Izvršavanje delegiranja ovlasti</w:t>
      </w:r>
    </w:p>
    <w:p>
      <w:pPr>
        <w:pStyle w:val="Default"/>
        <w:jc w:val="both"/>
        <w:rPr>
          <w:noProof/>
          <w:color w:val="auto"/>
        </w:rPr>
      </w:pPr>
    </w:p>
    <w:p>
      <w:pPr>
        <w:pStyle w:val="Default"/>
        <w:jc w:val="both"/>
        <w:rPr>
          <w:bCs/>
          <w:noProof/>
        </w:rPr>
      </w:pPr>
      <w:r>
        <w:rPr>
          <w:noProof/>
          <w:color w:val="auto"/>
        </w:rPr>
        <w:t xml:space="preserve">Komisija je izvršila ovlast 2018. </w:t>
      </w:r>
      <w:r>
        <w:rPr>
          <w:noProof/>
        </w:rPr>
        <w:t>Komisija je 30. travnja 2018. donijela Delegiranu uredbu Komisije (EU) 2018/968</w:t>
      </w:r>
      <w:r>
        <w:rPr>
          <w:rStyle w:val="FootnoteReference"/>
          <w:noProof/>
        </w:rPr>
        <w:footnoteReference w:id="2"/>
      </w:r>
      <w:r>
        <w:rPr>
          <w:noProof/>
        </w:rPr>
        <w:t xml:space="preserve"> (dalje u tekstu „Delegirana uredba”), koja je objavljena u Službenom listu 10. srpnja 2018. nakon isteka razdoblja kontrole Europskog parlamenta i Vijeća. Na snagu je stupila 30. srpnja 2018.</w:t>
      </w:r>
    </w:p>
    <w:p>
      <w:pPr>
        <w:rPr>
          <w:rFonts w:ascii="Times New Roman" w:hAnsi="Times New Roman" w:cs="Times New Roman"/>
          <w:noProof/>
          <w:color w:val="000000"/>
          <w:sz w:val="24"/>
          <w:szCs w:val="24"/>
        </w:rPr>
      </w:pPr>
      <w:r>
        <w:rPr>
          <w:noProof/>
        </w:rPr>
        <w:br w:type="page"/>
      </w:r>
    </w:p>
    <w:p>
      <w:pPr>
        <w:pStyle w:val="Default"/>
        <w:jc w:val="both"/>
        <w:rPr>
          <w:noProof/>
          <w:color w:val="auto"/>
        </w:rPr>
      </w:pPr>
      <w:r>
        <w:rPr>
          <w:noProof/>
          <w:color w:val="auto"/>
        </w:rPr>
        <w:t>Ova Delegirana uredba izrađena je na temelju niza studija i najbolje dostupne znanstvene literature. Nadalje, Znanstveni forum</w:t>
      </w:r>
      <w:r>
        <w:rPr>
          <w:noProof/>
          <w:vertAlign w:val="superscript"/>
        </w:rPr>
        <w:footnoteReference w:id="3"/>
      </w:r>
      <w:r>
        <w:rPr>
          <w:noProof/>
          <w:color w:val="auto"/>
        </w:rPr>
        <w:t>, stručna skupina koja je uspostavljena na temelju Uredbe o invazivnim stranim vrstama s mandatom za pružanje znanstvenih savjeta u vezi s njezinom provedbom, bio je intenzivno uključen u njezinu pripremu, a javnosti je bilo omogućeno da šalje povratne informacije o nacrtu Delegirane uredbe.</w:t>
      </w:r>
    </w:p>
    <w:p>
      <w:pPr>
        <w:pStyle w:val="Default"/>
        <w:jc w:val="both"/>
        <w:rPr>
          <w:noProof/>
          <w:color w:val="auto"/>
        </w:rPr>
      </w:pPr>
    </w:p>
    <w:p>
      <w:pPr>
        <w:pStyle w:val="Default"/>
        <w:jc w:val="both"/>
        <w:rPr>
          <w:noProof/>
          <w:color w:val="auto"/>
        </w:rPr>
      </w:pPr>
      <w:r>
        <w:rPr>
          <w:noProof/>
          <w:color w:val="auto"/>
        </w:rPr>
        <w:t>Člankom 5. stavkom 3. Uredbe o invazivnim stranim vrstama pruža se pravna osnova za donošenje Delegirane uredbe. Člankom 5. stavkom 3. Komisiju se posebno ovlašćuje da:</w:t>
      </w:r>
    </w:p>
    <w:p>
      <w:pPr>
        <w:pStyle w:val="Default"/>
        <w:jc w:val="both"/>
        <w:rPr>
          <w:noProof/>
          <w:color w:val="auto"/>
        </w:rPr>
      </w:pPr>
    </w:p>
    <w:p>
      <w:pPr>
        <w:pStyle w:val="Default"/>
        <w:spacing w:line="360" w:lineRule="auto"/>
        <w:jc w:val="both"/>
        <w:rPr>
          <w:noProof/>
          <w:color w:val="auto"/>
        </w:rPr>
      </w:pPr>
      <w:r>
        <w:rPr>
          <w:noProof/>
          <w:color w:val="auto"/>
        </w:rPr>
        <w:t>a) detaljnije opiše tip prihvatljivog dokaza za potrebe članka 4. stavka 3. točke (b);</w:t>
      </w:r>
    </w:p>
    <w:p>
      <w:pPr>
        <w:pStyle w:val="Default"/>
        <w:spacing w:line="360" w:lineRule="auto"/>
        <w:jc w:val="both"/>
        <w:rPr>
          <w:noProof/>
          <w:color w:val="auto"/>
        </w:rPr>
      </w:pPr>
      <w:r>
        <w:rPr>
          <w:noProof/>
          <w:color w:val="auto"/>
        </w:rPr>
        <w:t>b) pruži detaljan opis primjene članka 5. stavka 1. točaka od (a) do (h);</w:t>
      </w:r>
    </w:p>
    <w:p>
      <w:pPr>
        <w:pStyle w:val="Default"/>
        <w:jc w:val="both"/>
        <w:rPr>
          <w:noProof/>
          <w:color w:val="auto"/>
        </w:rPr>
      </w:pPr>
      <w:r>
        <w:rPr>
          <w:noProof/>
          <w:color w:val="auto"/>
        </w:rPr>
        <w:t>c) utvrdi metodologiju koja se treba primijeniti u pripremi procjene rizika, uzimajući u obzir relevantne nacionalne i međunarodne norme i potrebu</w:t>
      </w:r>
      <w:r>
        <w:rPr>
          <w:noProof/>
        </w:rPr>
        <w:t xml:space="preserve"> da se prednost da mjerama protiv invazivnih stranih vrsta koje su povezane sa značajnim štetnim učinkom na bioraznolikost ili povezane usluge ekosustava, kao i na zdravlje ljudi ili gospodarstvo, ili ih mogu uzrokovati, budući da se takav štetan učinak smatra pogoršavajućim čimbenikom.</w:t>
      </w:r>
    </w:p>
    <w:p>
      <w:pPr>
        <w:pStyle w:val="Default"/>
        <w:jc w:val="both"/>
        <w:rPr>
          <w:noProof/>
          <w:color w:val="auto"/>
        </w:rPr>
      </w:pPr>
    </w:p>
    <w:p>
      <w:pPr>
        <w:spacing w:line="240" w:lineRule="auto"/>
        <w:jc w:val="both"/>
        <w:rPr>
          <w:rFonts w:ascii="Times New Roman" w:hAnsi="Times New Roman" w:cs="Times New Roman"/>
          <w:noProof/>
          <w:sz w:val="24"/>
          <w:szCs w:val="24"/>
        </w:rPr>
      </w:pPr>
      <w:r>
        <w:rPr>
          <w:rFonts w:ascii="Times New Roman" w:hAnsi="Times New Roman"/>
          <w:noProof/>
          <w:sz w:val="24"/>
        </w:rPr>
        <w:t>Člankom 1. Delegirane uredbe propisuje se da se detaljan opis primjene zajedničkih elemenata koje treba razmotriti u procjeni rizika utvrđuje u Prilogu, a u članku 2. opisuje se metodologija kojom se precizira i tip dokaza na kojima bi se trebala temeljiti procjena rizika, uključujući dokaze koji se odnose na članak 4. stavak 3. točku (b) Uredbe o invazivnim stranim vrstama.</w:t>
      </w:r>
    </w:p>
    <w:p>
      <w:pPr>
        <w:spacing w:after="0" w:line="240" w:lineRule="auto"/>
        <w:jc w:val="both"/>
        <w:rPr>
          <w:rFonts w:ascii="Times New Roman" w:hAnsi="Times New Roman" w:cs="Times New Roman"/>
          <w:noProof/>
          <w:sz w:val="24"/>
          <w:szCs w:val="24"/>
        </w:rPr>
      </w:pPr>
      <w:r>
        <w:rPr>
          <w:rFonts w:ascii="Times New Roman" w:hAnsi="Times New Roman"/>
          <w:noProof/>
          <w:sz w:val="24"/>
        </w:rPr>
        <w:t>Naposljetku, u Prilogu toj delegiranoj uredbi pruža se detaljan opis primjene članka 5. stavka 1. točaka od (a) do (h) Uredbe o invazivnim stranim vrstama u pogledu elemenata koje treba razmotriti prilikom izrade procjene rizika.</w:t>
      </w:r>
    </w:p>
    <w:p>
      <w:pPr>
        <w:spacing w:after="0" w:line="240" w:lineRule="auto"/>
        <w:jc w:val="both"/>
        <w:rPr>
          <w:rFonts w:ascii="Times New Roman" w:hAnsi="Times New Roman" w:cs="Times New Roman"/>
          <w:noProof/>
          <w:sz w:val="24"/>
          <w:szCs w:val="24"/>
        </w:rPr>
      </w:pPr>
    </w:p>
    <w:p>
      <w:pPr>
        <w:pStyle w:val="ListParagraph"/>
        <w:numPr>
          <w:ilvl w:val="0"/>
          <w:numId w:val="1"/>
        </w:numPr>
        <w:spacing w:after="0"/>
        <w:ind w:left="714" w:hanging="357"/>
        <w:rPr>
          <w:rFonts w:ascii="Times New Roman" w:hAnsi="Times New Roman" w:cs="Times New Roman"/>
          <w:b/>
          <w:noProof/>
          <w:sz w:val="24"/>
          <w:szCs w:val="24"/>
        </w:rPr>
      </w:pPr>
      <w:r>
        <w:rPr>
          <w:rFonts w:ascii="Times New Roman" w:hAnsi="Times New Roman"/>
          <w:b/>
          <w:noProof/>
          <w:sz w:val="24"/>
        </w:rPr>
        <w:t>Zaključak</w:t>
      </w:r>
    </w:p>
    <w:p>
      <w:pPr>
        <w:spacing w:after="0" w:line="240" w:lineRule="auto"/>
        <w:jc w:val="both"/>
        <w:rPr>
          <w:rFonts w:ascii="Times New Roman" w:hAnsi="Times New Roman" w:cs="Times New Roman"/>
          <w:bCs/>
          <w:noProof/>
          <w:sz w:val="24"/>
          <w:szCs w:val="24"/>
        </w:rPr>
      </w:pPr>
    </w:p>
    <w:p>
      <w:pPr>
        <w:spacing w:line="240" w:lineRule="auto"/>
        <w:jc w:val="both"/>
        <w:rPr>
          <w:rFonts w:ascii="Times New Roman" w:hAnsi="Times New Roman" w:cs="Times New Roman"/>
          <w:bCs/>
          <w:noProof/>
          <w:sz w:val="24"/>
          <w:szCs w:val="24"/>
        </w:rPr>
      </w:pPr>
      <w:r>
        <w:rPr>
          <w:rFonts w:ascii="Times New Roman" w:hAnsi="Times New Roman"/>
          <w:noProof/>
          <w:sz w:val="24"/>
        </w:rPr>
        <w:t>Komisija je svoje delegirane ovlasti izvršila pravodobno i pravilno.</w:t>
      </w:r>
    </w:p>
    <w:p>
      <w:pPr>
        <w:spacing w:line="240" w:lineRule="auto"/>
        <w:jc w:val="both"/>
        <w:rPr>
          <w:rFonts w:ascii="Times New Roman" w:hAnsi="Times New Roman" w:cs="Times New Roman"/>
          <w:noProof/>
          <w:sz w:val="24"/>
          <w:szCs w:val="24"/>
        </w:rPr>
      </w:pPr>
      <w:r>
        <w:rPr>
          <w:rFonts w:ascii="Times New Roman" w:hAnsi="Times New Roman"/>
          <w:noProof/>
          <w:sz w:val="24"/>
        </w:rPr>
        <w:t>Komisija smatra da bi trebalo zadržati sva delegiranja ovlasti s obzirom na to da bi u budućnosti mogli biti potrebni detaljniji opisi.</w:t>
      </w:r>
    </w:p>
    <w:p>
      <w:pPr>
        <w:spacing w:line="240" w:lineRule="auto"/>
        <w:jc w:val="both"/>
        <w:rPr>
          <w:rFonts w:ascii="Times New Roman" w:hAnsi="Times New Roman" w:cs="Times New Roman"/>
          <w:noProof/>
          <w:sz w:val="24"/>
          <w:szCs w:val="24"/>
        </w:rPr>
      </w:pPr>
      <w:r>
        <w:rPr>
          <w:rFonts w:ascii="Times New Roman" w:hAnsi="Times New Roman"/>
          <w:noProof/>
          <w:sz w:val="24"/>
        </w:rPr>
        <w:t>Komisija poziva Europski parlament i Vijeće da prime ovo izvješće na znanje.</w:t>
      </w:r>
    </w:p>
    <w:p>
      <w:pPr>
        <w:spacing w:line="240" w:lineRule="auto"/>
        <w:jc w:val="center"/>
        <w:rPr>
          <w:rFonts w:ascii="Times New Roman" w:hAnsi="Times New Roman" w:cs="Times New Roman"/>
          <w:noProof/>
          <w:sz w:val="24"/>
          <w:szCs w:val="24"/>
        </w:rPr>
      </w:pPr>
      <w:r>
        <w:rPr>
          <w:rFonts w:ascii="Times New Roman" w:hAnsi="Times New Roman"/>
          <w:noProof/>
          <w:sz w:val="24"/>
        </w:rPr>
        <w:t>___________________________</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36955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rFonts w:ascii="Times New Roman" w:hAnsi="Times New Roman" w:cs="Times New Roman"/>
          <w:sz w:val="18"/>
          <w:szCs w:val="18"/>
        </w:rPr>
      </w:pPr>
      <w:r>
        <w:rPr>
          <w:rStyle w:val="FootnoteReference"/>
        </w:rPr>
        <w:footnoteRef/>
      </w:r>
      <w:r>
        <w:t xml:space="preserve"> </w:t>
      </w:r>
      <w:r>
        <w:rPr>
          <w:rFonts w:ascii="Times New Roman" w:hAnsi="Times New Roman"/>
          <w:sz w:val="18"/>
        </w:rPr>
        <w:t>Uredba (EU) br. 1143/2014 Europskog parlamenta i Vijeća od 22. listopada 2014. o sprječavanju i upravljanju unošenja i širenja invazivnih stranih vrsta, SL L 317, 4.11.2014., str. 35.</w:t>
      </w:r>
    </w:p>
  </w:footnote>
  <w:footnote w:id="2">
    <w:p>
      <w:pPr>
        <w:pStyle w:val="FootnoteText"/>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Delegirana uredba Komisije (EU) 2018/968 оd 30. travnja 2018. o dopuni Uredbe (EU) br. 1143/2014 Europskog parlamenta i Vijeća u pogledu procjena rizika u odnosu na invazivne strane vrste, SL L 174, 10.7.2018., str. 5.</w:t>
      </w:r>
    </w:p>
  </w:footnote>
  <w:footnote w:id="3">
    <w:p>
      <w:pPr>
        <w:pStyle w:val="FootnoteText"/>
      </w:pPr>
      <w:r>
        <w:rPr>
          <w:rStyle w:val="FootnoteReference"/>
        </w:rPr>
        <w:footnoteRef/>
      </w:r>
      <w:r>
        <w:t xml:space="preserve"> </w:t>
      </w:r>
      <w:r>
        <w:rPr>
          <w:rFonts w:ascii="Times New Roman" w:hAnsi="Times New Roman"/>
          <w:sz w:val="18"/>
        </w:rPr>
        <w:t>Objavljeno u registru stručnih skupina Komisije i ostalih sličnih subjekata, šifra E03276.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14765"/>
    <w:multiLevelType w:val="hybridMultilevel"/>
    <w:tmpl w:val="808E5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CD0411"/>
    <w:multiLevelType w:val="hybridMultilevel"/>
    <w:tmpl w:val="CB38B568"/>
    <w:lvl w:ilvl="0" w:tplc="3214941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91F53391-4920-48A5-A034-22235C2A9D7B"/>
    <w:docVar w:name="LW_COVERPAGE_TYPE" w:val="1"/>
    <w:docVar w:name="LW_CROSSREFERENCE" w:val="&lt;UNUSED&gt;"/>
    <w:docVar w:name="LW_DocType" w:val="NORMAL"/>
    <w:docVar w:name="LW_EMISSION" w:val="19.2.2019."/>
    <w:docVar w:name="LW_EMISSION_ISODATE" w:val="2019-02-19"/>
    <w:docVar w:name="LW_EMISSION_LOCATION" w:val="BRX"/>
    <w:docVar w:name="LW_EMISSION_PREFIX" w:val="Bruxelles, "/>
    <w:docVar w:name="LW_EMISSION_SUFFIX" w:val="&lt;EMPTY&gt;"/>
    <w:docVar w:name="LW_ID_DOCTYPE_NONLW" w:val="CP-006"/>
    <w:docVar w:name="LW_LANGUE" w:val="HR"/>
    <w:docVar w:name="LW_LEVEL_OF_SENSITIVITY" w:val="Standard treatment"/>
    <w:docVar w:name="LW_NOM.INST" w:val="EUROPSKA KOMISIJA"/>
    <w:docVar w:name="LW_NOM.INST_JOINTDOC" w:val="&lt;EMPTY&gt;"/>
    <w:docVar w:name="LW_PART_NBR" w:val="1"/>
    <w:docVar w:name="LW_PART_NBR_TOTAL" w:val="1"/>
    <w:docVar w:name="LW_REF.INST.NEW" w:val="COM"/>
    <w:docVar w:name="LW_REF.INST.NEW_ADOPTED" w:val="final"/>
    <w:docVar w:name="LW_REF.INST.NEW_TEXT" w:val="(2019) 8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o izvr\u353?avanju ovlasti za dono\u353?enje provedbenih akata koja je dodijeljena Komisiji na temelju Uredbe (EU) br. 1143/2014 Europskog parlamenta i Vije\u263?a od 22. listopada 2014. o sprje\u269?avanju i upravljanju uno\u353?enja i \u353?irenja invazivnih stranih vrsta"/>
    <w:docVar w:name="LW_TYPE.DOC.CP" w:val="IZVJE\u352?\u262?E KOMISIJE EUROPSKOM PARLAMENTU I VIJE\u262?U"/>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0E267DD-3401-43F4-AF0C-06C1E8E6D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717</Words>
  <Characters>4165</Characters>
  <Application>Microsoft Office Word</Application>
  <DocSecurity>0</DocSecurity>
  <Lines>80</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17</cp:revision>
  <cp:lastPrinted>2018-12-03T12:24:00Z</cp:lastPrinted>
  <dcterms:created xsi:type="dcterms:W3CDTF">2019-01-23T12:53:00Z</dcterms:created>
  <dcterms:modified xsi:type="dcterms:W3CDTF">2019-02-11T15:29:00Z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ies>
</file>