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B4A977E-E757-4719-91CC-8E57DECA0BAD" style="width:450.6pt;height:379.6pt">
            <v:imagedata r:id="rId10" o:title=""/>
          </v:shape>
        </w:pict>
      </w:r>
    </w:p>
    <w:p>
      <w:pPr>
        <w:tabs>
          <w:tab w:val="left" w:pos="3840"/>
        </w:tabs>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rPr>
          <w:rFonts w:eastAsia="Arial Unicode MS"/>
          <w:noProof/>
        </w:rPr>
      </w:pPr>
      <w:r>
        <w:rPr>
          <w:noProof/>
        </w:rPr>
        <w:t xml:space="preserve">Ovaj Prijedlog odnosi se na odluku o utvrđivanju stajališta koje treba zauzeti u ime Unije u okviru Vijeća za pridruživanje EU-a i Ukrajine u vezi s predviđenim donošenjem odluke o izmjeni Priloga XXVII. (Suradnja u području energetike, uključujući nuklearna pitanja) Sporazumu o pridruživanju između EU-a i Ukrajine. </w:t>
      </w:r>
    </w:p>
    <w:p>
      <w:pPr>
        <w:pStyle w:val="ManualHeading1"/>
        <w:rPr>
          <w:noProof/>
        </w:rPr>
      </w:pPr>
      <w:r>
        <w:t>2.</w:t>
      </w:r>
      <w:r>
        <w:tab/>
      </w:r>
      <w:r>
        <w:rPr>
          <w:noProof/>
        </w:rPr>
        <w:t>Kontekst prijedloga</w:t>
      </w:r>
    </w:p>
    <w:p>
      <w:pPr>
        <w:pStyle w:val="ManualHeading2"/>
        <w:rPr>
          <w:noProof/>
        </w:rPr>
      </w:pPr>
      <w:r>
        <w:t>2.1.</w:t>
      </w:r>
      <w:r>
        <w:tab/>
      </w:r>
      <w:r>
        <w:rPr>
          <w:noProof/>
        </w:rPr>
        <w:t xml:space="preserve">Sporazum o pridruživanju između EU-a i Ukrajine </w:t>
      </w:r>
    </w:p>
    <w:p>
      <w:pPr>
        <w:rPr>
          <w:rFonts w:eastAsia="Arial Unicode MS"/>
          <w:noProof/>
        </w:rPr>
      </w:pPr>
      <w:r>
        <w:rPr>
          <w:noProof/>
        </w:rPr>
        <w:t>Sporazum o pridruživanju između Europske unije i Europske zajednice za atomsku energiju te njihovih država članica, s jedne strane, i Ukrajine, s druge strane (dalje u tekstu „Sporazum”) pruža okvir za postupno političko pridruživanje Ukrajine EU-u i njihovu međusobnu gospodarsku integraciju. U njemu se utvrđuju obvezne reforme sektorâ ukrajinskoga gospodarstva u skladu s pravnom stečevinom EU-a, među ostalim u cilju povećanja tržišne integracije i regulatornog približavanja ključnim elementima pravne stečevine EU-a u području energetike. Obveze u energetskom sektoru navedene su u poglavlju 1. (Suradnja u području energetike, uključujući nuklearna pitanja) glave V. (Gospodarska i sektorska suradnja) Sporazuma. Neke od tih obveza, primjerice pravila za provoz i promet, koje se odnose na aspekte energetskog sektora povezane s trgovinom navedene su i u poglavlju 11. (Energetika povezana s trgovinom) glave IV. (Trgovina i pitanja povezana s trgovinom). Sporazum je stupio na snagu 1. rujna 2017.</w:t>
      </w:r>
    </w:p>
    <w:p>
      <w:pPr>
        <w:pStyle w:val="ManualHeading2"/>
        <w:rPr>
          <w:noProof/>
        </w:rPr>
      </w:pPr>
      <w:r>
        <w:t>2.2.</w:t>
      </w:r>
      <w:r>
        <w:tab/>
      </w:r>
      <w:r>
        <w:rPr>
          <w:noProof/>
        </w:rPr>
        <w:t>Vijeće za pridruživanje EU-a i Ukrajine</w:t>
      </w:r>
    </w:p>
    <w:p>
      <w:pPr>
        <w:rPr>
          <w:rFonts w:eastAsia="Arial Unicode MS"/>
          <w:noProof/>
        </w:rPr>
      </w:pPr>
      <w:r>
        <w:rPr>
          <w:noProof/>
        </w:rPr>
        <w:t xml:space="preserve">Vijeće za pridruživanje EU-a i Ukrajine jedno je od zajedničkih tijela uspostavljenih Sporazumom. U skladu s člankom 461. Sporazuma ono nadzire i prati primjenu i provedbu Sporazuma te periodično preispituje njegovo funkcioniranje s obzirom na ciljeve. Vijeće za pridruživanje sastaje se na ministarskoj razini u svim potrebnim sastavima u pravilnim razmacima, najmanje jedanput godišnje i kada okolnosti to zahtijevaju, a sastoji se od članova Vijeća Europske unije, članova Europske komisije i članova Vlade Ukrajine. Ono je ovlašteno donositi odluke u okviru područja primjene Sporazuma, koje su obvezujuće za stranke Sporazuma, uključujući odluke koje se odnose na ažuriranje ili izmjenu prilogâ Sporazumu. Vijeće za pridruživanje može donositi i preporuke. Takve odluke ili preporuke donose se sporazumom između stranaka nakon zaključenja odgovarajućih internih postupaka.   </w:t>
      </w:r>
    </w:p>
    <w:p>
      <w:pPr>
        <w:pStyle w:val="ManualHeading2"/>
        <w:rPr>
          <w:noProof/>
        </w:rPr>
      </w:pPr>
      <w:r>
        <w:t>2.3.</w:t>
      </w:r>
      <w:r>
        <w:tab/>
      </w:r>
      <w:r>
        <w:rPr>
          <w:noProof/>
        </w:rPr>
        <w:t xml:space="preserve">Predviđeni akt Vijeća za pridruživanje EU-a i Ukrajine </w:t>
      </w:r>
    </w:p>
    <w:p>
      <w:pPr>
        <w:rPr>
          <w:rFonts w:eastAsia="Arial Unicode MS"/>
          <w:noProof/>
        </w:rPr>
      </w:pPr>
      <w:r>
        <w:rPr>
          <w:noProof/>
        </w:rPr>
        <w:t>Vijeće za pridruživanje EU-a i Ukrajine treba donijeti odluku o izmjeni Priloga XXVII. Sporazumu o pridruživanju između Europske unije i Europske zajednice za atomsku energiju te njihovih država članica, s jedne strane, i Ukrajine, s druge strane („predviđeni akt”).</w:t>
      </w:r>
    </w:p>
    <w:p>
      <w:pPr>
        <w:rPr>
          <w:rFonts w:eastAsia="Arial Unicode MS"/>
          <w:noProof/>
        </w:rPr>
      </w:pPr>
      <w:r>
        <w:rPr>
          <w:noProof/>
        </w:rPr>
        <w:t xml:space="preserve">Svrha je predviđenog akta ažurirati popis akata EU-a naveden u Prilogu XXVII. (Suradnja u području energetike, uključujući nuklearna pitanja) kako bi se uzeo u obzir znatan razvoj pravne stečevine EU-a u području energetike nakon završetka pregovora o Sporazumu. </w:t>
      </w:r>
    </w:p>
    <w:p>
      <w:pPr>
        <w:rPr>
          <w:rFonts w:eastAsia="Arial Unicode MS"/>
          <w:noProof/>
        </w:rPr>
      </w:pPr>
      <w:r>
        <w:rPr>
          <w:noProof/>
        </w:rPr>
        <w:t xml:space="preserve">Predviđenim aktom namjerava se utvrditi i dodatne odredbe u Prilogu XXVII. Sporazumu koje se odnose na praćenje procesa približavanja energetskog sektora u Ukrajini. Njihov je cilj poboljšati koordinaciju i nadzor pravnih aspekata reforme energetskog sektora te pridonijeti odgovarajućoj i učinkovitoj provedbi nacionalnih akata koji se temelje na pravnoj stečevini EU-a u području energetike u Ukrajini. </w:t>
      </w:r>
    </w:p>
    <w:p>
      <w:pPr>
        <w:rPr>
          <w:rFonts w:eastAsia="Arial Unicode MS"/>
          <w:noProof/>
        </w:rPr>
      </w:pPr>
      <w:r>
        <w:rPr>
          <w:noProof/>
        </w:rPr>
        <w:lastRenderedPageBreak/>
        <w:t xml:space="preserve">Predviđeni akt postaje obvezujući za stranke u skladu s člankom 463. Sporazuma, u kojemu se navodi sljedeće: „Vijeće za pridruživanje je, u svrhu postizanja ciljeva ovog Sporazuma, ovlašteno odlučivati o području primjene ovog Sporazuma u slučajevima koji su njime predviđeni. Te odluke obvezujuće su za stranke, koje u cilju provedbe tih odluka poduzimaju odgovarajuće mjere, po potrebi uključujući i mjere u okviru posebnih tijela uspostavljenih ovim Sporazumom. Vijeće za pridruživanje također može davati preporuke. Ono odluke i preporuke donosi putem sporazuma između stranaka nakon zaključenja odgovarajućih internih postupaka.” </w:t>
      </w:r>
    </w:p>
    <w:p>
      <w:pPr>
        <w:pStyle w:val="ManualHeading1"/>
        <w:rPr>
          <w:rFonts w:eastAsia="Arial Unicode MS"/>
          <w:noProof/>
        </w:rPr>
      </w:pPr>
      <w:r>
        <w:t>3.</w:t>
      </w:r>
      <w:r>
        <w:tab/>
      </w:r>
      <w:r>
        <w:rPr>
          <w:noProof/>
        </w:rPr>
        <w:t>Stajalište koje treba zauzeti u ime Unije</w:t>
      </w:r>
    </w:p>
    <w:p>
      <w:pPr>
        <w:rPr>
          <w:rFonts w:eastAsia="Arial Unicode MS"/>
          <w:noProof/>
        </w:rPr>
      </w:pPr>
      <w:r>
        <w:rPr>
          <w:noProof/>
        </w:rPr>
        <w:t xml:space="preserve">Predviđeni akt obuhvaća ažurirani popis pravne stečevine EU-a iz Priloga XXVII. Sporazumu, kojoj se Ukrajina obvezala približiti svoje zakonodavstvo, i dodatni skup pravila kojima se podupire proces približavanja nacionalnog zakonodavstva Ukrajine pravnoj stečevini EU-a u području energetike. </w:t>
      </w:r>
    </w:p>
    <w:p>
      <w:pPr>
        <w:rPr>
          <w:rFonts w:eastAsia="Arial Unicode MS"/>
          <w:noProof/>
        </w:rPr>
      </w:pPr>
      <w:r>
        <w:rPr>
          <w:noProof/>
        </w:rPr>
        <w:t xml:space="preserve">Kad je riječ o popisu pravne stečevine EU-a, potrebno je ažurirati navedeni Prilog kako bi se uzeo u obzir znatan razvoj pravne stečevine EU-a u području energetike nakon završetka pregovora o Sporazumu. Nekoliko akata EU-a navedenih u izvornom Prilogu Sporazumu više nije na snazi, stavljeno je izvan snage ili izmijenjeno, a Europska unija donijela je i neke nove akte. Zbog tih izmjena potrebno je ažurirati Prilog XXVII. Sporazumu kako bi se osiguralo da ukrajinsko približavanje bude usklađeno s trenutačnom pravnom stečevinom EU-a. Stoga se tim ukrajinskim obvezama približavanja zakonodavstva u energetskom sektoru pravnoj stečevini EU-a u području energetike ne mijenjaju pravila EU-a ili njihovo područje primjene. Nadalje, povećale su se obveze Ukrajine u pogledu energetskog sektora, što je posljedica njezina članstva u Energetskoj zajednici od 2011. i provedbe pravne stečevine EU-a navedene u Prilogu XXVII. Sporazumu. Štoviše, suradnju EU-a i Ukrajine u energetskom sektoru dodatno je osnažio Memorandum o razumijevanju o strateškom energetskom partnerstvu EU-a i Ukrajine potpisan 2016. Memorandumom se podupire obveza postizanja gospodarske integracije i političkog pridruživanja te se u njemu kao cilj navodi postizanje potpune integracije energetskih tržišta na temelju pet dimenzija energetske unije EU-a. Zbog prethodno navedenih promjena potrebno je ažurirati popis pravne stečevine EU-a iz Priloga XXVII. Sporazumu. </w:t>
      </w:r>
    </w:p>
    <w:p>
      <w:pPr>
        <w:rPr>
          <w:rFonts w:eastAsia="Arial Unicode MS"/>
          <w:noProof/>
        </w:rPr>
      </w:pPr>
      <w:r>
        <w:rPr>
          <w:noProof/>
        </w:rPr>
        <w:t>Nadalje, predviđenim aktom utvrđuju se i dodatne odredbe u Prilogu XXVII. Sporazumu o praćenju procesa približavanja energetskog sektora u Ukrajini, uključujući pravila o učinkovitoj provedbi pravne stečevine EU-a u području energetike, savjetovanjima o nacrtima zakonodavnih prijedloga u tom sektoru i izvješćivanju Vijeća za pridruživanje. Njihov je cilj poboljšati koordinaciju i nadzor pravnih aspekata reforme energetskog sektora te pridonijeti odgovarajućoj i učinkovitoj provedbi nacionalnih akata koji se temelje na pravnoj stečevini EU-a u području energetike u Ukrajini. Iz iskustva posljednje četiri godine vidljiv je napredak koji je Ukrajina postigla u nekoliko aspekata reforme energetskog sektora, no ono ukazuje i na potrebu za dodatnim mjerama potpore kako bi se osigurao nepovratan i trajan karakter provedenih reformi. Stoga je svrha dodatnih odredbi pridonijeti pravilnom približavanju zakonodavstva Ukrajine i njegovoj provedbi na temelju pravne stečevine EU-a u području energetike.</w:t>
      </w:r>
    </w:p>
    <w:p>
      <w:pPr>
        <w:rPr>
          <w:rFonts w:eastAsia="Arial Unicode MS"/>
          <w:noProof/>
        </w:rPr>
      </w:pPr>
      <w:r>
        <w:rPr>
          <w:noProof/>
        </w:rPr>
        <w:t xml:space="preserve">Ovaj Prijedlog u potpunosti je usklađen s općom politikom Istočnog partnerstva EU-a, a posebice prema Ukrajini, jer se njime podupire provedba Sporazuma o pridruživanju i pridonosi postizanju njegovih ciljeva. U skladu je i s energetskom politikom EU-a, koja se temelji na pet dimenzija energetske unije, uključujući sigurnost opskrbe energijom te ulogu Ukrajine kao strateške tranzitne zemlje za plin. Njime se uzima u obzir pravna stečevina EU-a </w:t>
      </w:r>
      <w:r>
        <w:rPr>
          <w:noProof/>
        </w:rPr>
        <w:lastRenderedPageBreak/>
        <w:t>u području energetike, a pridruženi partneri EU-a potiču se na njezino prihvaćanje, čime se pridonosi ciljevima EU-a u pogledu sigurnosti opskrbe energijom. Naposljetku, usklađen je s općom vanjskom energetskom politikom EU-a, a posebice prema Energetskoj zajednici, koju podupire u postizanju integracije energetskih tržišta među njezinim članicama, uključujući Ukrajinu.</w:t>
      </w:r>
    </w:p>
    <w:p>
      <w:pPr>
        <w:rPr>
          <w:rFonts w:eastAsia="Arial Unicode MS"/>
          <w:noProof/>
        </w:rPr>
      </w:pPr>
      <w:r>
        <w:rPr>
          <w:noProof/>
        </w:rPr>
        <w:t xml:space="preserve">Konačno, Prijedlog je usklađen s revidiranom europskom politikom susjedstva te povezanom suradnjom s Ukrajinom i drugim zemljama u susjedstvu. Osobito pridonosi postizanju učinkovite i održive reforme energetskog sektora u Ukrajini u okviru političkog pridruživanja Ukrajine EU-u i njihove međusobne gospodarske integracije. Ta nastojanja s druge strane pridonose cilju izgradnje stabilnog i prosperitetnog susjedstva. S obzirom na to da će reforma energetskog sektora, koja se temelji na pravnoj stečevini EU-a u području energetike, pridonijeti većoj održivosti klimatske politike u Ukrajini, Prijedlogom se osigurava i usklađenost s ciljevima klimatske politike EU-a. Konačno, Prijedlogom se podupiru daljnji razvoj bilateralne trgovine energetskim proizvodima i uslugama te ulaganja jer je cilj reforme energetskog sektora ukloniti postojeće regulatorne prepreke trgovini energijom.  </w:t>
      </w:r>
    </w:p>
    <w:p>
      <w:pPr>
        <w:rPr>
          <w:noProof/>
        </w:rPr>
      </w:pPr>
      <w:r>
        <w:rPr>
          <w:noProof/>
        </w:rPr>
        <w:t xml:space="preserve">Očekuje se da će predviđeni Prijedlog dodatno pridonijeti reformi energetskog sektora u Ukrajini, koja je sada u fazi provedbe, kako bi se potpuno izvršile obveze u energetskom sektoru predviđene Sporazumom o pridruživanju između EU-a i Ukrajine.    </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Pojam „akti koji proizvode pravne učinke” obuhvaća akte koji proizvode pravne učinke na temelju pravila međunarodnog prava kojima se uređuje predmetno tijelo. Obuhvaća i instrumente koji nemaju obvezujući učinak na temelju međunarodnog prava, ali mogu „presudno utjecati na sadržaj propisa koje donese zakonodavac Unije”</w:t>
      </w:r>
      <w:r>
        <w:rPr>
          <w:rStyle w:val="FootnoteReference"/>
          <w:noProof/>
        </w:rPr>
        <w:footnoteReference w:id="1"/>
      </w:r>
      <w:r>
        <w:rPr>
          <w:noProof/>
        </w:rPr>
        <w:t>.</w:t>
      </w:r>
    </w:p>
    <w:p>
      <w:pPr>
        <w:pStyle w:val="ManualHeading3"/>
        <w:rPr>
          <w:noProof/>
        </w:rPr>
      </w:pPr>
      <w:r>
        <w:t>4.1.2.</w:t>
      </w:r>
      <w:r>
        <w:tab/>
      </w:r>
      <w:r>
        <w:rPr>
          <w:noProof/>
        </w:rPr>
        <w:t>Primjena u predmetnom slučaju</w:t>
      </w:r>
    </w:p>
    <w:p>
      <w:pPr>
        <w:rPr>
          <w:noProof/>
        </w:rPr>
      </w:pPr>
      <w:r>
        <w:rPr>
          <w:noProof/>
        </w:rPr>
        <w:t>Vijeće za pridruživanje EU-a i Ukrajine tijelo je osnovano na temelju sporazuma, točnije Sporazuma o pridruživanju između EU-a i Ukrajine.</w:t>
      </w:r>
    </w:p>
    <w:p>
      <w:pPr>
        <w:rPr>
          <w:noProof/>
        </w:rPr>
      </w:pPr>
      <w:r>
        <w:rPr>
          <w:noProof/>
        </w:rPr>
        <w:t>Akt koji Vijeće za pridruživanje EU-a i Ukrajine treba donijeti jest akt koji proizvodi pravne učinke. Prema međunarodnom pravu predviđeni akt bit će obvezujući u skladu s člankom 463. Sporazuma o pridruživanju između EU-a i Ukrajine. Predviđenim aktom ne dopunjuje se niti izmjenjuje institucionalni okvir Sporazuma.</w:t>
      </w:r>
    </w:p>
    <w:p>
      <w:pPr>
        <w:rPr>
          <w:noProof/>
        </w:rPr>
      </w:pPr>
      <w:r>
        <w:rPr>
          <w:noProof/>
        </w:rPr>
        <w:t>Stoga je postupovna pravna osnova predložene odluke članak 218. stavak 9. UFEU-a.</w:t>
      </w:r>
    </w:p>
    <w:p>
      <w:pPr>
        <w:pStyle w:val="ManualHeading2"/>
        <w:rPr>
          <w:noProof/>
        </w:rPr>
      </w:pPr>
      <w:r>
        <w:lastRenderedPageBreak/>
        <w:t>4.2.</w:t>
      </w:r>
      <w:r>
        <w:tab/>
      </w:r>
      <w:r>
        <w:rPr>
          <w:noProof/>
        </w:rPr>
        <w:t>Materijalna pravna osnova</w:t>
      </w:r>
    </w:p>
    <w:p>
      <w:pPr>
        <w:pStyle w:val="ManualHeading3"/>
        <w:rPr>
          <w:noProof/>
        </w:rPr>
      </w:pPr>
      <w:r>
        <w:t>4.2.1.</w:t>
      </w:r>
      <w:r>
        <w:tab/>
      </w:r>
      <w:r>
        <w:rPr>
          <w:noProof/>
        </w:rPr>
        <w:t>Načela</w:t>
      </w:r>
    </w:p>
    <w:p>
      <w:pPr>
        <w:rPr>
          <w:noProof/>
        </w:rPr>
      </w:pPr>
      <w:r>
        <w:rPr>
          <w:noProof/>
        </w:rPr>
        <w:t>Materijalna pravna osnova odluke na temelju članka 218. stavka 9. UFEU-a prije svega ovisi o cilju i sadržaju predviđenog akta o kojemu se zauzima stajalište u ime Unije. Ako predviđeni akt ima dva cilja ili dva elementa te ako se može utvrditi da je jedan od tih ciljeva ili elemenata glavni, a drugi samo sporedan, odluka na temelju članka 218. stavka 9. UFEU-a mora se temeljiti na samo jednoj materijalnoj pravnoj osnovi, to jest onoj koju zahtijeva glavni ili prevladavajući cilj ili element.</w:t>
      </w:r>
    </w:p>
    <w:p>
      <w:pPr>
        <w:pStyle w:val="ManualHeading3"/>
        <w:rPr>
          <w:noProof/>
        </w:rPr>
      </w:pPr>
      <w:r>
        <w:t>4.2.2.</w:t>
      </w:r>
      <w:r>
        <w:tab/>
      </w:r>
      <w:r>
        <w:rPr>
          <w:noProof/>
        </w:rPr>
        <w:t>Primjena u predmetnom slučaju</w:t>
      </w:r>
    </w:p>
    <w:p>
      <w:pPr>
        <w:rPr>
          <w:i/>
          <w:noProof/>
        </w:rPr>
      </w:pPr>
      <w:r>
        <w:rPr>
          <w:noProof/>
        </w:rPr>
        <w:t>Glavni cilj i sadržaj predviđenog akta odnose se na energetski sektor, uključujući nuklearna pitanja. Stoga je materijalna pravna osnova predložene odluke članak 194. UFEU-a.</w:t>
      </w:r>
    </w:p>
    <w:p>
      <w:pPr>
        <w:pStyle w:val="ManualHeading2"/>
        <w:rPr>
          <w:noProof/>
        </w:rPr>
      </w:pPr>
      <w:r>
        <w:t>4.3.</w:t>
      </w:r>
      <w:r>
        <w:tab/>
      </w:r>
      <w:r>
        <w:rPr>
          <w:noProof/>
        </w:rPr>
        <w:t>Zaključak</w:t>
      </w:r>
    </w:p>
    <w:p>
      <w:pPr>
        <w:rPr>
          <w:noProof/>
        </w:rPr>
      </w:pPr>
      <w:r>
        <w:rPr>
          <w:noProof/>
        </w:rPr>
        <w:t>Pravna osnova predložene odluke trebao bi biti članak 194. UFEU-a u vezi s člankom 218. stavkom 9. UFEU-a.</w:t>
      </w:r>
    </w:p>
    <w:p>
      <w:pPr>
        <w:pStyle w:val="ManualHeading1"/>
        <w:rPr>
          <w:noProof/>
        </w:rPr>
      </w:pPr>
      <w:r>
        <w:t>5.</w:t>
      </w:r>
      <w:r>
        <w:tab/>
      </w:r>
      <w:r>
        <w:rPr>
          <w:noProof/>
        </w:rPr>
        <w:t>Objava predviđenog akta</w:t>
      </w:r>
    </w:p>
    <w:p>
      <w:pPr>
        <w:rPr>
          <w:noProof/>
        </w:rPr>
      </w:pPr>
      <w:r>
        <w:rPr>
          <w:noProof/>
        </w:rPr>
        <w:t xml:space="preserve">Budući da će se aktom Vijeća za pridruživanje EU-a i Ukrajine izmijeniti Prilog XXVII. Sporazumu o pridruživanju između EU-a i Ukrajine, primjereno je objaviti ga u </w:t>
      </w:r>
      <w:r>
        <w:rPr>
          <w:i/>
          <w:noProof/>
        </w:rPr>
        <w:t xml:space="preserve">Službenom listu Europske unije </w:t>
      </w:r>
      <w:r>
        <w:rPr>
          <w:noProof/>
        </w:rPr>
        <w:t>nakon njegova donošenja.</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2019/0036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treba zauzeti u ime Europske unije u okviru Vijeća za pridruživanje EU-a i Ukrajine o izmjeni Priloga XXVII. Sporazumu o pridruživanju između Europske unije i Europske zajednice za atomsku energiju te njihovih država članica, s jedne strane, i Ukrajine, s druge strane</w:t>
      </w:r>
    </w:p>
    <w:p>
      <w:pPr>
        <w:pStyle w:val="Institutionquiagit"/>
        <w:rPr>
          <w:noProof/>
        </w:rPr>
      </w:pPr>
      <w:r>
        <w:rPr>
          <w:noProof/>
        </w:rPr>
        <w:t>VIJEĆE EUROPSKE UNIJE,</w:t>
      </w:r>
    </w:p>
    <w:p>
      <w:pPr>
        <w:rPr>
          <w:noProof/>
        </w:rPr>
      </w:pPr>
      <w:r>
        <w:rPr>
          <w:noProof/>
        </w:rPr>
        <w:t>uzimajući u obzir Ugovor o funkcioniranju Europske unije, a posebno njegov članak 194., u vezi s njegovim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Sporazum o pridruživanju između Europske unije i Europske zajednice za atomsku energiju te njihovih država članica, s jedne strane, i Ukrajine, s druge strane („Sporazum”) sklopila je Unija Odlukom Vijeća 2017/1248</w:t>
      </w:r>
      <w:r>
        <w:rPr>
          <w:rStyle w:val="FootnoteReference"/>
          <w:noProof/>
        </w:rPr>
        <w:footnoteReference w:id="2"/>
      </w:r>
      <w:r>
        <w:rPr>
          <w:noProof/>
        </w:rPr>
        <w:t xml:space="preserve">, a stupio je na snagu 1. rujna 2017. </w:t>
      </w:r>
    </w:p>
    <w:p>
      <w:pPr>
        <w:pStyle w:val="ManualConsidrant"/>
        <w:rPr>
          <w:noProof/>
        </w:rPr>
      </w:pPr>
      <w:r>
        <w:t>(2)</w:t>
      </w:r>
      <w:r>
        <w:tab/>
      </w:r>
      <w:r>
        <w:rPr>
          <w:noProof/>
        </w:rPr>
        <w:t xml:space="preserve">U skladu s člankom 273. Sporazuma stranke prilagođavaju svoje zakonodavstvo, kako je navedeno u Prilogu XXVII. Sporazumu, kako bi osigurale da su svi uvjeti za transport električne energije i plina objektivni, razumni, transparentni i nediskriminirajući. </w:t>
      </w:r>
    </w:p>
    <w:p>
      <w:pPr>
        <w:pStyle w:val="ManualConsidrant"/>
        <w:rPr>
          <w:noProof/>
        </w:rPr>
      </w:pPr>
      <w:r>
        <w:t>(3)</w:t>
      </w:r>
      <w:r>
        <w:tab/>
      </w:r>
      <w:r>
        <w:rPr>
          <w:noProof/>
        </w:rPr>
        <w:t xml:space="preserve">Nadalje, kako bi se ostvario napredak prema integraciji tržišta, člankom 337. Sporazuma predviđa se da će stranke nastaviti i jačati svoju suradnju u pitanjima energetike, uključujući postupnim približavanjem u energetskom sektoru. </w:t>
      </w:r>
    </w:p>
    <w:p>
      <w:pPr>
        <w:pStyle w:val="ManualConsidrant"/>
        <w:rPr>
          <w:noProof/>
        </w:rPr>
      </w:pPr>
      <w:r>
        <w:t>(4)</w:t>
      </w:r>
      <w:r>
        <w:tab/>
      </w:r>
      <w:r>
        <w:rPr>
          <w:noProof/>
        </w:rPr>
        <w:t>U članku 341. Sporazuma utvrđeno je da se postupno približavanje u energetskom sektoru odvija u skladu s vremenskim rasporedom iz Priloga XXVII. Sporazumu.</w:t>
      </w:r>
    </w:p>
    <w:p>
      <w:pPr>
        <w:pStyle w:val="ManualConsidrant"/>
        <w:rPr>
          <w:noProof/>
        </w:rPr>
      </w:pPr>
      <w:r>
        <w:t>(5)</w:t>
      </w:r>
      <w:r>
        <w:tab/>
      </w:r>
      <w:r>
        <w:rPr>
          <w:noProof/>
        </w:rPr>
        <w:t>Člankom 474. Sporazuma Ukrajina se obvezuje postupno približavati svoje zakonodavstvo zakonodavstvu EU-a, uključujući u energetskom sektoru.</w:t>
      </w:r>
    </w:p>
    <w:p>
      <w:pPr>
        <w:pStyle w:val="ManualConsidrant"/>
        <w:rPr>
          <w:noProof/>
        </w:rPr>
      </w:pPr>
      <w:r>
        <w:t>(6)</w:t>
      </w:r>
      <w:r>
        <w:tab/>
      </w:r>
      <w:r>
        <w:rPr>
          <w:noProof/>
        </w:rPr>
        <w:t>Pravna stečevina EU-a koja se odnosi na energetski sektor znatno se razvila od završetka pregovora o Sporazumu.</w:t>
      </w:r>
    </w:p>
    <w:p>
      <w:pPr>
        <w:pStyle w:val="ManualConsidrant"/>
        <w:rPr>
          <w:noProof/>
        </w:rPr>
      </w:pPr>
      <w:r>
        <w:t>(7)</w:t>
      </w:r>
      <w:r>
        <w:tab/>
      </w:r>
      <w:r>
        <w:rPr>
          <w:noProof/>
        </w:rPr>
        <w:t xml:space="preserve">U skladu s člankom 463. stavcima 1. i 3. Sporazuma Vijeće za pridruživanje EU-a i Ukrajine („Vijeće za pridruživanje”) može donositi odluke radi postizanja ciljeva tog Sporazuma. Posebice može ažurirati ili izmijeniti priloge Sporazumu uzimajući u obzir razvoj prava EU-a i primjenjivih normi koje su navedene u međunarodnim instrumentima i koje stranke smatraju mjerodavnima.  </w:t>
      </w:r>
    </w:p>
    <w:p>
      <w:pPr>
        <w:pStyle w:val="ManualConsidrant"/>
        <w:rPr>
          <w:noProof/>
        </w:rPr>
      </w:pPr>
      <w:r>
        <w:t>(8)</w:t>
      </w:r>
      <w:r>
        <w:tab/>
      </w:r>
      <w:r>
        <w:rPr>
          <w:noProof/>
        </w:rPr>
        <w:t xml:space="preserve">Vijeće za pridruživanje stoga treba izmijeniti Prilog XXVII. Sporazumu o pridruživanju između Europske unije i Europske zajednice za atomsku energiju te </w:t>
      </w:r>
      <w:r>
        <w:rPr>
          <w:noProof/>
        </w:rPr>
        <w:lastRenderedPageBreak/>
        <w:t>njihovih država članica, s jedne strane, i Ukrajine, s druge strane, kako bi se uzeo u obzir razvoj pravne stečevine Unije.</w:t>
      </w:r>
    </w:p>
    <w:p>
      <w:pPr>
        <w:pStyle w:val="ManualConsidrant"/>
        <w:rPr>
          <w:noProof/>
        </w:rPr>
      </w:pPr>
      <w:r>
        <w:t>(9)</w:t>
      </w:r>
      <w:r>
        <w:tab/>
      </w:r>
      <w:r>
        <w:rPr>
          <w:noProof/>
        </w:rPr>
        <w:t>U članku 475. Sporazuma utvrđeni su opći uvjeti praćenja napretka u približavanju ukrajinskog prava pravu EU-a, uključujući aspekte provedbe i primjene. U njemu se navodi da će se pri izvješćivanju i ocjenjivanju uzimati u obzir posebni modaliteti utvrđeni Sporazumom ili odlukama institucionalnih tijela uspostavljenih u okviru tog Sporazuma.</w:t>
      </w:r>
    </w:p>
    <w:p>
      <w:pPr>
        <w:pStyle w:val="ManualConsidrant"/>
        <w:rPr>
          <w:noProof/>
        </w:rPr>
      </w:pPr>
      <w:r>
        <w:t>(10)</w:t>
      </w:r>
      <w:r>
        <w:tab/>
      </w:r>
      <w:r>
        <w:rPr>
          <w:noProof/>
        </w:rPr>
        <w:t>Kako bi se osigurala učinkovitija provedba reformi, potrebno je ojačati mehanizam praćenja reformi u energetskom sektoru.</w:t>
      </w:r>
    </w:p>
    <w:p>
      <w:pPr>
        <w:pStyle w:val="ManualConsidrant"/>
        <w:rPr>
          <w:noProof/>
        </w:rPr>
      </w:pPr>
      <w:r>
        <w:t>(11)</w:t>
      </w:r>
      <w:r>
        <w:tab/>
      </w:r>
      <w:r>
        <w:rPr>
          <w:noProof/>
        </w:rPr>
        <w:t xml:space="preserve">Vijeće za pridruživanje stoga treba izmijeniti Prilog XXVII. Sporazumu kako bi se utvrdila detaljnija pravila za praćenje približavanja ukrajinskog prava pravu EU-a u području energetike. </w:t>
      </w:r>
    </w:p>
    <w:p>
      <w:pPr>
        <w:pStyle w:val="ManualConsidrant"/>
        <w:rPr>
          <w:noProof/>
        </w:rPr>
      </w:pPr>
      <w:r>
        <w:t>(12)</w:t>
      </w:r>
      <w:r>
        <w:tab/>
      </w:r>
      <w:r>
        <w:rPr>
          <w:noProof/>
        </w:rPr>
        <w:t>Stoga je neophodno utvrditi stajalište koje treba zauzeti u ime Unije u okviru Vijeća za pridruživanje EU-a i Ukrajine u vezi s odlukom Vijeća za pridruživanje da izmijeni Prilog XXVII. Sporazumu,</w:t>
      </w:r>
    </w:p>
    <w:p>
      <w:pPr>
        <w:pStyle w:val="Formuledadoption"/>
        <w:rPr>
          <w:noProof/>
        </w:rPr>
      </w:pPr>
      <w:r>
        <w:rPr>
          <w:noProof/>
        </w:rPr>
        <w:t>DONIJELO JE OVU ODLUKU:</w:t>
      </w:r>
    </w:p>
    <w:p>
      <w:pPr>
        <w:pStyle w:val="Titrearticle"/>
        <w:rPr>
          <w:noProof/>
        </w:rPr>
      </w:pPr>
      <w:r>
        <w:rPr>
          <w:noProof/>
        </w:rPr>
        <w:t>Članak 1.</w:t>
      </w:r>
    </w:p>
    <w:p>
      <w:pPr>
        <w:jc w:val="left"/>
        <w:rPr>
          <w:i/>
          <w:noProof/>
        </w:rPr>
      </w:pPr>
      <w:r>
        <w:rPr>
          <w:noProof/>
        </w:rPr>
        <w:t>Stajalište koje treba zauzeti u ime Unije u okviru Vijeća za pridruživanje EU-a i Ukrajine temelji se na nacrtu akta Vijeća za pridruživanje EU-a i Ukrajine priloženom ovoj Odluci.</w:t>
      </w:r>
    </w:p>
    <w:p>
      <w:pPr>
        <w:pStyle w:val="Titrearticle"/>
        <w:rPr>
          <w:noProof/>
        </w:rPr>
      </w:pPr>
      <w:r>
        <w:rPr>
          <w:noProof/>
        </w:rPr>
        <w:t>Članak 2.</w:t>
      </w:r>
    </w:p>
    <w:p>
      <w:pPr>
        <w:rPr>
          <w:noProof/>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 xml:space="preserve">Presuda Suda od 7. listopada 2014., Njemačka protiv Vijeća, predmet C-399/12, ECLI:EU:C:2014:2258, točke od 61. do 64. </w:t>
      </w:r>
    </w:p>
  </w:footnote>
  <w:footnote w:id="2">
    <w:p>
      <w:pPr>
        <w:pStyle w:val="FootnoteText"/>
        <w:rPr>
          <w:lang w:val="fr-BE"/>
        </w:rPr>
      </w:pPr>
      <w:r>
        <w:rPr>
          <w:rStyle w:val="FootnoteReference"/>
        </w:rPr>
        <w:footnoteRef/>
      </w:r>
      <w:r>
        <w:tab/>
        <w:t>SL L 181, 12. srpnja 2017., str.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0 07:32: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3B4A977E-E757-4719-91CC-8E57DECA0BAD"/>
    <w:docVar w:name="LW_COVERPAGE_TYPE" w:val="1"/>
    <w:docVar w:name="LW_CROSSREFERENCE" w:val="&lt;UNUSED&gt;"/>
    <w:docVar w:name="LW_DocType" w:val="COM"/>
    <w:docVar w:name="LW_EMISSION" w:val="11.2.2019."/>
    <w:docVar w:name="LW_EMISSION_ISODATE" w:val="2019-02-11"/>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36"/>
    <w:docVar w:name="LW_REF.II.NEW.CP_YEAR" w:val="2019"/>
    <w:docVar w:name="LW_REF.INST.NEW" w:val="COM"/>
    <w:docVar w:name="LW_REF.INST.NEW_ADOPTED" w:val="final"/>
    <w:docVar w:name="LW_REF.INST.NEW_TEXT" w:val="(2019)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treba zauzeti u ime Europske unije u okviru Vije\u263?a za pridru\u382?ivanje EU-a i Ukrajine o izmjeni Priloga XXVII. Sporazumu o pridru\u382?ivanju izme\u273?u Europske unije i Europske zajednice za atomsku energiju te njihovih dr\u382?ava \u269?lanica, s jedne strane, i Ukrajine, s druge strane"/>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8B31E9D0-9D68-4B73-8469-4CA1E2F0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2100</Words>
  <Characters>12644</Characters>
  <Application>Microsoft Office Word</Application>
  <DocSecurity>0</DocSecurity>
  <Lines>210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2019-02-19T14:28:00Z</dcterms:created>
  <dcterms:modified xsi:type="dcterms:W3CDTF">2019-02-20T06:32:00Z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