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FCD1FA4-96A1-43A7-8572-18AB596B1275"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noProof/>
        </w:rPr>
      </w:pPr>
      <w:r>
        <w:rPr>
          <w:noProof/>
          <w:color w:val="000000"/>
          <w:u w:color="000000"/>
          <w:bdr w:val="nil"/>
        </w:rPr>
        <w:t>•</w:t>
      </w:r>
      <w:r>
        <w:rPr>
          <w:noProof/>
        </w:rPr>
        <w:tab/>
        <w:t>Odůvodnění a cíle návrhu</w:t>
      </w:r>
    </w:p>
    <w:p>
      <w:pPr>
        <w:rPr>
          <w:noProof/>
          <w:sz w:val="16"/>
          <w:szCs w:val="16"/>
        </w:rPr>
      </w:pPr>
      <w:r>
        <w:rPr>
          <w:noProof/>
        </w:rPr>
        <w:t>V čl. 54 odst. 3 nařízení Evropského parlamentu a Rady (EU) 2016/1624 ze dne 14. září 2016 o Evropské pohraniční a pobřežní stráži</w:t>
      </w:r>
      <w:r>
        <w:rPr>
          <w:rStyle w:val="FootnoteReference"/>
          <w:noProof/>
        </w:rPr>
        <w:footnoteReference w:id="1"/>
      </w:r>
      <w:r>
        <w:rPr>
          <w:noProof/>
        </w:rPr>
        <w:t xml:space="preserve"> se stanoví, že Evropská agentura pro pohraniční a pobřežní stráž může koordinovat operativní spolupráci mezi členskými státy a třetími zeměmi v oblasti správy vnějších hranic. V této souvislosti může provádět činnosti na vnějších hranicích, jichž se účastní jeden či více členských států a třetí země sousedící alespoň s jedním z těchto členských států, pokud s tímto tato sousední země souhlasí, a to i na území dotčené třetí země. </w:t>
      </w:r>
    </w:p>
    <w:p>
      <w:pPr>
        <w:rPr>
          <w:noProof/>
          <w:szCs w:val="24"/>
        </w:rPr>
      </w:pPr>
      <w:r>
        <w:rPr>
          <w:noProof/>
        </w:rPr>
        <w:t>V čl. 54 odst. 4 nařízení (EU) 2016/1624 se stanoví, že v případech, kdy je plánováno nasazení jednotek Evropské pohraniční a pobřežní stráže ve třetí zemi při činnostech, při nichž budou mít příslušníci těchto jednotek výkonné pravomoci, nebo v případech, kdy to jiné činnosti ve třetích zemích vyžadují, uzavře Unie s dotčenou třetí zemí dohodu o postavení jednotek. Dohoda o postavení jednotek se bude týkat všech aspektů nezbytných pro provádění těchto činností. Zejména v ní bude vymezen rozsah operace, občanskoprávní a trestní odpovědnost a úkoly a pravomoci příslušníků jednotek. Dohoda o postavení jednotek zajistí plné dodržování základních práv během operací.</w:t>
      </w:r>
    </w:p>
    <w:p>
      <w:pPr>
        <w:rPr>
          <w:noProof/>
        </w:rPr>
      </w:pPr>
      <w:r>
        <w:rPr>
          <w:noProof/>
        </w:rPr>
        <w:t xml:space="preserve">Na základě směrnic pro jednání přijatých Radou sjednala Evropská komise s Černou Horou dohodu o postavení jednotek s cílem vytvořit právní rámec, který na základě operačních plánů umožní jednat okamžitě, jakmile bude třeba rychlé reakce. Černá Hora sice není v současnosti ve velké míře využívána migranty jako tranzitní země, nicméně tato situace se může změnit, jak se to v minulosti již stalo. Sítě organizované trestné činnosti dokáží své trasy a metody převaděčství migrantů rychle přizpůsobit jakékoliv nové situaci. Díky dohodě o postavení jednotek budou odpovědné orgány Černé Hory a členské státy EU koordinované Evropskou agenturou pro pohraniční a pobřežní stráž mnohem lépe schopny rychle reagovat na takový možný vývoj. </w:t>
      </w:r>
    </w:p>
    <w:p>
      <w:pPr>
        <w:rPr>
          <w:iCs/>
          <w:noProof/>
          <w:szCs w:val="24"/>
        </w:rPr>
      </w:pPr>
      <w:r>
        <w:rPr>
          <w:noProof/>
        </w:rPr>
        <w:t xml:space="preserve">Připojený návrh rozhodnutí Rady představuje právní nástroj pro podpis dohody o postavení jednotek mezi Evropskou unií a Černou Horou. </w:t>
      </w:r>
    </w:p>
    <w:p>
      <w:pPr>
        <w:rPr>
          <w:noProof/>
        </w:rPr>
      </w:pPr>
      <w:r>
        <w:rPr>
          <w:noProof/>
        </w:rPr>
        <w:t xml:space="preserve">Dne 16. října 2017 Komise obdržela zmocnění Rady k zahájení jednání s Černou Horou o dohodě o postavení jednotek při činnostech prováděných Evropskou agenturou pro pohraniční a pobřežní stráž v Černé Hoře. </w:t>
      </w:r>
    </w:p>
    <w:p>
      <w:pPr>
        <w:rPr>
          <w:iCs/>
          <w:noProof/>
          <w:szCs w:val="24"/>
        </w:rPr>
      </w:pPr>
      <w:r>
        <w:rPr>
          <w:noProof/>
        </w:rPr>
        <w:t>Jednání o dohodě o postavení jednotek byla zahájena a uzavřena dne 5. července 2018. Jednání budou úspěšně uzavřena parafováním dohody o postavení jednotek k pozdějšímu datu.</w:t>
      </w:r>
    </w:p>
    <w:p>
      <w:pPr>
        <w:rPr>
          <w:iCs/>
          <w:noProof/>
          <w:szCs w:val="24"/>
        </w:rPr>
      </w:pPr>
      <w:r>
        <w:rPr>
          <w:noProof/>
        </w:rPr>
        <w:t xml:space="preserve">Komise se domnívá, že cílů, které Rada stanovila ve svých směrnicích pro jednání, bylo dosaženo a že předloha dohody o postavení jednotek je pro Unii přijatelná. </w:t>
      </w:r>
    </w:p>
    <w:p>
      <w:pPr>
        <w:spacing w:after="240"/>
        <w:rPr>
          <w:iCs/>
          <w:noProof/>
          <w:szCs w:val="24"/>
        </w:rPr>
      </w:pPr>
      <w:r>
        <w:rPr>
          <w:noProof/>
        </w:rPr>
        <w:t xml:space="preserve">Členské státy byly informovány a konzultovány prostřednictvím příslušné pracovní skupiny Rady. </w:t>
      </w:r>
    </w:p>
    <w:p>
      <w:pPr>
        <w:pStyle w:val="ManualHeading2"/>
        <w:rPr>
          <w:noProof/>
          <w:color w:val="000000"/>
          <w:u w:color="000000"/>
          <w:bdr w:val="nil"/>
        </w:rPr>
      </w:pPr>
      <w:r>
        <w:rPr>
          <w:noProof/>
          <w:color w:val="000000"/>
          <w:u w:color="000000"/>
          <w:bdr w:val="nil"/>
        </w:rPr>
        <w:t>•</w:t>
      </w:r>
      <w:r>
        <w:rPr>
          <w:noProof/>
        </w:rPr>
        <w:tab/>
        <w:t>Vztah ke stávajícím dvoustranným dohodám</w:t>
      </w:r>
    </w:p>
    <w:p>
      <w:pPr>
        <w:rPr>
          <w:rFonts w:eastAsia="Calibri"/>
          <w:noProof/>
          <w:szCs w:val="24"/>
        </w:rPr>
      </w:pPr>
      <w:r>
        <w:rPr>
          <w:noProof/>
        </w:rPr>
        <w:t xml:space="preserve">Dohoda mezi ministerstvem vnitra Chorvatska a ministerstvem vnitra Černé Hory o policejní spolupráci vstoupila pro Chorvatsko v platnost dne 11. listopadu 2011 (NN/MU č. 15/2011). </w:t>
      </w:r>
    </w:p>
    <w:p>
      <w:pPr>
        <w:rPr>
          <w:rFonts w:eastAsia="Calibri"/>
          <w:iCs/>
          <w:noProof/>
          <w:szCs w:val="24"/>
        </w:rPr>
      </w:pPr>
      <w:r>
        <w:rPr>
          <w:noProof/>
        </w:rPr>
        <w:lastRenderedPageBreak/>
        <w:t xml:space="preserve">Stejně tak existuje pracovní ujednání (jež je aktualizováno) mezi Černou Horou a Evropskou agenturou pro pohraniční a pobřežní stráž, které zahrnuje zejména pravidelnou účast příslušných černohorských orgánů na společných operacích vedených Evropskou agenturou pro pohraniční a pobřežní stráž – v roli pozorovatelů na území členských států. </w:t>
      </w:r>
    </w:p>
    <w:p>
      <w:pPr>
        <w:rPr>
          <w:rFonts w:eastAsia="Calibri"/>
          <w:bCs/>
          <w:noProof/>
          <w:szCs w:val="24"/>
        </w:rPr>
      </w:pPr>
      <w:r>
        <w:rPr>
          <w:noProof/>
        </w:rPr>
        <w:t>Černá Hora informovala o dobré přeshraniční spolupráci – zejména na technické úrovni – se všemi svými sousedy a o značném pokroku, pokud jde o jednání o řadě dohod se Srbskem, Bosnou a Hercegovinou a Chorvatskem. Na základě protokolu mezi ministerstvy vnitra Černé Hory, Albánie a Kosova</w:t>
      </w:r>
      <w:r>
        <w:rPr>
          <w:rFonts w:eastAsia="Calibri"/>
          <w:noProof/>
          <w:szCs w:val="24"/>
          <w:vertAlign w:val="superscript"/>
        </w:rPr>
        <w:sym w:font="Symbol" w:char="F02A"/>
      </w:r>
      <w:r>
        <w:rPr>
          <w:noProof/>
        </w:rPr>
        <w:t xml:space="preserve"> bylo vytvořeno společné středisko policejní spolupráce v Plavu, jež se zaměřuje na podporu přeshraniční spolupráce v boji proti trestné činnosti, a to prostřednictvím intenzivnější výměny operativních informací a užší koordinace společného úsilí v oblasti bezpečnosti. Činnost tohoto společného střediska policejní spolupráce byla oficiálně zahájena dne 30. května 2017. </w:t>
      </w:r>
    </w:p>
    <w:p>
      <w:pPr>
        <w:pStyle w:val="ManualHeading2"/>
        <w:rPr>
          <w:noProof/>
        </w:rPr>
      </w:pPr>
      <w:r>
        <w:rPr>
          <w:noProof/>
          <w:color w:val="000000"/>
          <w:u w:color="000000"/>
          <w:bdr w:val="nil"/>
        </w:rPr>
        <w:footnoteReference w:customMarkFollows="1" w:id="2"/>
        <w:t>•</w:t>
      </w:r>
      <w:r>
        <w:rPr>
          <w:noProof/>
        </w:rPr>
        <w:tab/>
        <w:t>Soulad s ostatními politikami Unie</w:t>
      </w:r>
    </w:p>
    <w:p>
      <w:pPr>
        <w:rPr>
          <w:b/>
          <w:noProof/>
          <w:szCs w:val="24"/>
        </w:rPr>
      </w:pPr>
      <w:r>
        <w:rPr>
          <w:noProof/>
        </w:rPr>
        <w:t>Evropský program pro migraci</w:t>
      </w:r>
      <w:r>
        <w:rPr>
          <w:rStyle w:val="FootnoteReference"/>
          <w:noProof/>
        </w:rPr>
        <w:footnoteReference w:id="3"/>
      </w:r>
      <w:r>
        <w:rPr>
          <w:noProof/>
        </w:rPr>
        <w:t xml:space="preserve"> je založen na čtyřech pilířích. Jedním z nich je správa hranic: ta zahrnuje lepší správu vnějších hranic EU, zejména prostřednictvím solidarity vůči členským státům, které se nacházejí na vnějších hranicích, a účinnější správu hraničních přechodů. Posílená ochrana hranic Černé Hory bude mít také pozitivní dopad na vnější hranice EU, jakož i na hranice Černé Hory. Další posílení bezpečnosti na vnějších hranicích je také v souladu s Evropským programem pro bezpečnost</w:t>
      </w:r>
      <w:r>
        <w:rPr>
          <w:rStyle w:val="FootnoteReference"/>
          <w:noProof/>
        </w:rPr>
        <w:footnoteReference w:id="4"/>
      </w:r>
      <w:r>
        <w:rPr>
          <w:noProof/>
        </w:rPr>
        <w:t xml:space="preserve">. </w:t>
      </w:r>
    </w:p>
    <w:p>
      <w:pPr>
        <w:pStyle w:val="ManualHeading1"/>
        <w:rPr>
          <w:noProof/>
        </w:rPr>
      </w:pPr>
      <w:r>
        <w:rPr>
          <w:noProof/>
        </w:rPr>
        <w:t>2.</w:t>
      </w:r>
      <w:r>
        <w:rPr>
          <w:noProof/>
        </w:rPr>
        <w:tab/>
        <w:t>PRÁVNÍ ZÁKLAD, SUBSIDIARITA A PROPORCIONALITA</w:t>
      </w:r>
    </w:p>
    <w:p>
      <w:pPr>
        <w:pStyle w:val="ManualHeading2"/>
        <w:rPr>
          <w:noProof/>
          <w:u w:color="000000"/>
          <w:bdr w:val="nil"/>
        </w:rPr>
      </w:pPr>
      <w:r>
        <w:rPr>
          <w:noProof/>
        </w:rPr>
        <w:t>•</w:t>
      </w:r>
      <w:r>
        <w:rPr>
          <w:noProof/>
        </w:rPr>
        <w:tab/>
        <w:t>Právní základ</w:t>
      </w:r>
    </w:p>
    <w:p>
      <w:pPr>
        <w:autoSpaceDE w:val="0"/>
        <w:autoSpaceDN w:val="0"/>
        <w:adjustRightInd w:val="0"/>
        <w:rPr>
          <w:noProof/>
          <w:szCs w:val="24"/>
        </w:rPr>
      </w:pPr>
      <w:r>
        <w:rPr>
          <w:noProof/>
        </w:rPr>
        <w:t xml:space="preserve">Právním základem tohoto návrhu rozhodnutí Rady je čl. 77 odst. 2 písm. b) a d) a čl. 79 odst. 2 písm. c) SFEU ve spojení s čl. 218 odst. 5 SFEU. </w:t>
      </w:r>
    </w:p>
    <w:p>
      <w:pPr>
        <w:autoSpaceDE w:val="0"/>
        <w:autoSpaceDN w:val="0"/>
        <w:adjustRightInd w:val="0"/>
        <w:rPr>
          <w:noProof/>
          <w:szCs w:val="24"/>
        </w:rPr>
      </w:pPr>
      <w:r>
        <w:rPr>
          <w:noProof/>
        </w:rPr>
        <w:t xml:space="preserve">Uzavření dohody o postavení jednotek ze strany Unie je výslovně uvedeno v čl. 54 odst. 4 nařízení (EU) 2016/1624, který stanoví, že v případech, kdy je plánováno nasazení jednotek Evropské pohraniční a pobřežní stráže ve třetí zemi při činnostech, při nichž budou mít příslušníci těchto jednotek výkonné pravomoci, nebo v případech, kdy to jiné činnosti ve třetích zemích vyžadují, uzavře Unie s dotčenou třetí zemí dohodu o postavení jednotek. </w:t>
      </w:r>
    </w:p>
    <w:p>
      <w:pPr>
        <w:autoSpaceDE w:val="0"/>
        <w:autoSpaceDN w:val="0"/>
        <w:adjustRightInd w:val="0"/>
        <w:rPr>
          <w:noProof/>
          <w:szCs w:val="24"/>
        </w:rPr>
      </w:pPr>
      <w:r>
        <w:rPr>
          <w:noProof/>
        </w:rPr>
        <w:t xml:space="preserve">Podle čl. 3 odst. 2 SFEU je ve výlučné pravomoci Unie mimo jiné uzavření mezinárodní smlouvy, pokud je její uzavření stanoveno legislativním aktem Unie. Podle čl. 54 odst. 4 nařízení (EU) 2016/1624 uzavře Evropská unie s dotčenou třetí zemí dohodu o postavení jednotek. Připojená dohoda s Černou Horou tudíž spadá do výlučné pravomoci Evropské unie. </w:t>
      </w:r>
    </w:p>
    <w:p>
      <w:pPr>
        <w:pStyle w:val="ManualHeading2"/>
        <w:rPr>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noProof/>
        </w:rPr>
      </w:pPr>
      <w:r>
        <w:rPr>
          <w:noProof/>
        </w:rPr>
        <w:t xml:space="preserve">Nevztahuje se na tento návrh. </w:t>
      </w:r>
    </w:p>
    <w:p>
      <w:pPr>
        <w:pStyle w:val="ManualHeading2"/>
        <w:rPr>
          <w:noProof/>
          <w:u w:color="000000"/>
          <w:bdr w:val="nil"/>
        </w:rPr>
      </w:pPr>
      <w:r>
        <w:rPr>
          <w:noProof/>
        </w:rPr>
        <w:t>•</w:t>
      </w:r>
      <w:r>
        <w:rPr>
          <w:noProof/>
        </w:rPr>
        <w:tab/>
        <w:t>Proporcionalita</w:t>
      </w:r>
    </w:p>
    <w:p>
      <w:pPr>
        <w:spacing w:after="240"/>
        <w:rPr>
          <w:noProof/>
          <w:szCs w:val="24"/>
        </w:rPr>
      </w:pPr>
      <w:r>
        <w:rPr>
          <w:noProof/>
        </w:rPr>
        <w:t xml:space="preserve">Dohoda o postavení jednotek umožní Evropské pohraniční a pobřežní stráži vyslat do Černé Hory v případě náhlého přílivu migrantů jednotky Evropské pohraniční a pobřežní stráže, což nahradí bilaterální vysílání jednotek členskými státy. </w:t>
      </w:r>
    </w:p>
    <w:p>
      <w:pPr>
        <w:spacing w:after="240"/>
        <w:rPr>
          <w:noProof/>
          <w:szCs w:val="24"/>
        </w:rPr>
      </w:pPr>
      <w:r>
        <w:rPr>
          <w:noProof/>
        </w:rPr>
        <w:lastRenderedPageBreak/>
        <w:t>Za účelem lepší správy hranic Černé Hory je tedy třeba přijmout společný přístup.</w:t>
      </w:r>
    </w:p>
    <w:p>
      <w:pPr>
        <w:pStyle w:val="ManualHeading2"/>
        <w:rPr>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 xml:space="preserve">Tento návrh je v souladu s čl. 218 odst. 5 SFEU, jenž stanoví, že rozhodnutí o mezinárodních dohodách přijímá Rada. Neexistuje žádný jiný právní nástroj, který by mohl být použit za účelem dosažení cíle vyjádřeného v tomto návrhu.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 xml:space="preserve">Nevztahuje se na tento návrh. </w:t>
      </w:r>
    </w:p>
    <w:p>
      <w:pPr>
        <w:pStyle w:val="ManualHeading2"/>
        <w:rPr>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noProof/>
        </w:rPr>
        <w:t xml:space="preserve">Nevztahuje se na tento návrh. </w:t>
      </w:r>
    </w:p>
    <w:p>
      <w:pPr>
        <w:pStyle w:val="ManualHeading2"/>
        <w:rPr>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 xml:space="preserve">Nevztahuje se na tento návrh. </w:t>
      </w:r>
    </w:p>
    <w:p>
      <w:pPr>
        <w:pStyle w:val="ManualHeading2"/>
        <w:rPr>
          <w:noProof/>
          <w:u w:color="000000"/>
          <w:bdr w:val="nil"/>
        </w:rPr>
      </w:pPr>
      <w:r>
        <w:rPr>
          <w:noProof/>
        </w:rPr>
        <w:t>•</w:t>
      </w:r>
      <w:r>
        <w:rPr>
          <w:noProof/>
        </w:rPr>
        <w:tab/>
        <w:t>Posouzení dopadů</w:t>
      </w:r>
    </w:p>
    <w:p>
      <w:pPr>
        <w:pBdr>
          <w:top w:val="nil"/>
          <w:left w:val="nil"/>
          <w:bottom w:val="nil"/>
          <w:right w:val="nil"/>
          <w:between w:val="nil"/>
          <w:bar w:val="nil"/>
        </w:pBdr>
        <w:spacing w:before="0" w:after="240"/>
        <w:rPr>
          <w:noProof/>
          <w:szCs w:val="24"/>
        </w:rPr>
      </w:pPr>
      <w:r>
        <w:rPr>
          <w:noProof/>
        </w:rPr>
        <w:t xml:space="preserve">Pro jednání o dohodě o postavení jednotek nebylo třeba žádné posouzení dopadů. </w:t>
      </w:r>
    </w:p>
    <w:p>
      <w:pPr>
        <w:pStyle w:val="ManualHeading2"/>
        <w:rPr>
          <w:noProof/>
          <w:u w:color="000000"/>
          <w:bdr w:val="nil"/>
        </w:rPr>
      </w:pPr>
      <w:r>
        <w:rPr>
          <w:noProof/>
        </w:rPr>
        <w:t>•</w:t>
      </w:r>
      <w:r>
        <w:rPr>
          <w:noProof/>
        </w:rPr>
        <w:tab/>
        <w:t>Účelnost právních předpisů a zjednodušení</w:t>
      </w:r>
    </w:p>
    <w:p>
      <w:pPr>
        <w:keepNext/>
        <w:tabs>
          <w:tab w:val="left" w:pos="850"/>
        </w:tabs>
        <w:outlineLvl w:val="1"/>
        <w:rPr>
          <w:rFonts w:eastAsia="Arial Unicode MS"/>
          <w:noProof/>
          <w:u w:color="000000"/>
          <w:bdr w:val="nil"/>
        </w:rPr>
      </w:pPr>
      <w:r>
        <w:rPr>
          <w:noProof/>
        </w:rPr>
        <w:t>Jelikož se jedná o novou dohodu, nemohla být provedena hodnocení nebo kontroly účelnosti stávajících nástrojů.</w:t>
      </w:r>
    </w:p>
    <w:p>
      <w:pPr>
        <w:pStyle w:val="ManualHeading2"/>
        <w:rPr>
          <w:rFonts w:eastAsia="Arial Unicode MS"/>
          <w:noProof/>
          <w:u w:color="000000"/>
          <w:bdr w:val="nil"/>
        </w:rPr>
      </w:pPr>
      <w:r>
        <w:t>1.1.</w:t>
      </w:r>
      <w:r>
        <w:tab/>
      </w:r>
      <w:r>
        <w:rPr>
          <w:noProof/>
        </w:rPr>
        <w:t>•</w:t>
      </w:r>
      <w:r>
        <w:rPr>
          <w:noProof/>
        </w:rPr>
        <w:tab/>
        <w:t>Základní práva</w:t>
      </w:r>
    </w:p>
    <w:p>
      <w:pPr>
        <w:pBdr>
          <w:top w:val="nil"/>
          <w:left w:val="nil"/>
          <w:bottom w:val="nil"/>
          <w:right w:val="nil"/>
          <w:between w:val="nil"/>
          <w:bar w:val="nil"/>
        </w:pBdr>
        <w:spacing w:after="240"/>
        <w:rPr>
          <w:noProof/>
          <w:szCs w:val="24"/>
        </w:rPr>
      </w:pPr>
      <w:r>
        <w:rPr>
          <w:noProof/>
        </w:rPr>
        <w:t>Návrh dohody o postavení jednotek obsahuje ustanovení, jež zajišťují, že základní práva osob dotčených činnostmi příslušníků jednotky zapojených do činnosti koordinované Evropskou agenturou pro pohraniční a pobřežní stráž jsou chráněna.</w:t>
      </w:r>
    </w:p>
    <w:p>
      <w:pPr>
        <w:pBdr>
          <w:top w:val="nil"/>
          <w:left w:val="nil"/>
          <w:bottom w:val="nil"/>
          <w:right w:val="nil"/>
          <w:between w:val="nil"/>
          <w:bar w:val="nil"/>
        </w:pBdr>
        <w:spacing w:after="240"/>
        <w:rPr>
          <w:rFonts w:eastAsia="Arial Unicode MS"/>
          <w:noProof/>
        </w:rPr>
      </w:pPr>
      <w:r>
        <w:rPr>
          <w:noProof/>
        </w:rPr>
        <w:t xml:space="preserve">Ustanovení týkající se základních práv jsou dále vysvětlena v bodě 5 „Ostatní prvky“. </w:t>
      </w:r>
    </w:p>
    <w:p>
      <w:pPr>
        <w:pStyle w:val="ManualHeading1"/>
        <w:rPr>
          <w:rFonts w:eastAsia="Arial Unicode MS"/>
          <w:noProof/>
        </w:rPr>
      </w:pPr>
      <w:r>
        <w:rPr>
          <w:noProof/>
        </w:rPr>
        <w:t>4.</w:t>
      </w:r>
      <w:r>
        <w:rPr>
          <w:noProof/>
        </w:rPr>
        <w:tab/>
        <w:t>ROZPOČTOVÉ DŮSLEDKY</w:t>
      </w:r>
    </w:p>
    <w:p>
      <w:pPr>
        <w:autoSpaceDE w:val="0"/>
        <w:autoSpaceDN w:val="0"/>
        <w:rPr>
          <w:iCs/>
          <w:noProof/>
          <w:szCs w:val="24"/>
        </w:rPr>
      </w:pPr>
      <w:r>
        <w:rPr>
          <w:noProof/>
        </w:rPr>
        <w:t>Dohoda o postavení jednotek nemá sama o sobě žádné finanční dopady. Až skutečné vyslání jednotek Evropské pohraniční a pobřežní stráže na základě operačního plánu a příslušné grantové dohody s sebou přinese náklady, které ponese rozpočet Evropské agentury pro pohraniční a pobřežní stráž. Budoucí operace v rámci dohody o postavení jednotek budou financovány z vlastních zdrojů Evropské agentury pro pohraniční a pobřežní stráž.</w:t>
      </w:r>
    </w:p>
    <w:p>
      <w:pPr>
        <w:autoSpaceDE w:val="0"/>
        <w:autoSpaceDN w:val="0"/>
        <w:rPr>
          <w:noProof/>
          <w:szCs w:val="24"/>
        </w:rPr>
      </w:pPr>
      <w:r>
        <w:rPr>
          <w:noProof/>
        </w:rPr>
        <w:t>Podle finančního výkazu, který je připojen k návrhu nařízení o Evropské pohraniční a pobřežní stráži a týká se výdajů Evropské agentury pro pohraniční a pobřežní stráž, by posílená spolupráce se třetími zeměmi (včetně případných společných operací se sousedními zeměmi) mohla stát v období 2017–2020 v průměru 6,090 milionu EUR ročně.</w:t>
      </w:r>
    </w:p>
    <w:p>
      <w:pPr>
        <w:pStyle w:val="ManualHeading2"/>
        <w:rPr>
          <w:noProof/>
        </w:rPr>
      </w:pPr>
      <w:r>
        <w:t>1.2.</w:t>
      </w:r>
      <w:r>
        <w:tab/>
      </w:r>
      <w:r>
        <w:rPr>
          <w:noProof/>
        </w:rPr>
        <w:t>5.</w:t>
      </w:r>
      <w:r>
        <w:rPr>
          <w:noProof/>
        </w:rPr>
        <w:tab/>
        <w:t>OSTATNÍ PRVKY</w:t>
      </w:r>
    </w:p>
    <w:p>
      <w:pPr>
        <w:pStyle w:val="ManualHeading2"/>
        <w:rPr>
          <w:noProof/>
          <w:u w:color="000000"/>
          <w:bdr w:val="nil"/>
        </w:rPr>
      </w:pPr>
      <w:r>
        <w:rPr>
          <w:noProof/>
        </w:rPr>
        <w:t>•</w:t>
      </w:r>
      <w:r>
        <w:rPr>
          <w:noProof/>
        </w:rPr>
        <w:tab/>
        <w:t>Plány provádění a způsoby monitorování, hodnocení a podávání zpráv</w:t>
      </w:r>
    </w:p>
    <w:p>
      <w:pPr>
        <w:rPr>
          <w:noProof/>
          <w:szCs w:val="24"/>
        </w:rPr>
      </w:pPr>
      <w:r>
        <w:rPr>
          <w:noProof/>
        </w:rPr>
        <w:t xml:space="preserve">Komise zajistí řádné monitorování plnění dohody o postavení jednotek. </w:t>
      </w:r>
    </w:p>
    <w:p>
      <w:pPr>
        <w:rPr>
          <w:noProof/>
          <w:szCs w:val="24"/>
        </w:rPr>
      </w:pPr>
      <w:r>
        <w:rPr>
          <w:noProof/>
        </w:rPr>
        <w:lastRenderedPageBreak/>
        <w:t xml:space="preserve">Černá Hora a Evropská agentura pro pohraniční a pobřežní stráž společně vyhodnotí každou společnou operaci či zásah rychlé reakce na hranicích. </w:t>
      </w:r>
    </w:p>
    <w:p>
      <w:pPr>
        <w:spacing w:after="240"/>
        <w:rPr>
          <w:noProof/>
          <w:szCs w:val="24"/>
        </w:rPr>
      </w:pPr>
      <w:r>
        <w:rPr>
          <w:noProof/>
        </w:rPr>
        <w:t xml:space="preserve">Zejména pak Evropská agentura pro pohraniční a pobřežní stráž, Černá Hora a členské státy, které se účastní konkrétní činnosti, vypracují na konci každé činnosti zprávu o uplatňování ustanovení dohody, včetně zpracování osobních údajů. </w:t>
      </w:r>
    </w:p>
    <w:p>
      <w:pPr>
        <w:pStyle w:val="ManualHeading2"/>
        <w:rPr>
          <w:noProof/>
          <w:u w:color="000000"/>
          <w:bdr w:val="nil"/>
        </w:rPr>
      </w:pPr>
      <w:r>
        <w:rPr>
          <w:noProof/>
        </w:rPr>
        <w:t>•</w:t>
      </w:r>
      <w:r>
        <w:rPr>
          <w:noProof/>
        </w:rPr>
        <w:tab/>
        <w:t>Informativní dokumenty (v případě směrnic)</w:t>
      </w:r>
    </w:p>
    <w:p>
      <w:pPr>
        <w:pBdr>
          <w:top w:val="nil"/>
          <w:left w:val="nil"/>
          <w:bottom w:val="nil"/>
          <w:right w:val="nil"/>
          <w:between w:val="nil"/>
          <w:bar w:val="nil"/>
        </w:pBdr>
        <w:spacing w:before="0" w:after="240"/>
        <w:rPr>
          <w:rFonts w:eastAsia="Arial Unicode MS"/>
          <w:noProof/>
        </w:rPr>
      </w:pPr>
      <w:r>
        <w:rPr>
          <w:noProof/>
        </w:rPr>
        <w:t xml:space="preserve">Nevztahuje se na tento návrh. </w:t>
      </w:r>
    </w:p>
    <w:p>
      <w:pPr>
        <w:pStyle w:val="ManualHeading2"/>
        <w:rPr>
          <w:noProof/>
          <w:u w:color="000000"/>
          <w:bdr w:val="nil"/>
        </w:rPr>
      </w:pPr>
      <w:r>
        <w:rPr>
          <w:noProof/>
        </w:rPr>
        <w:t>•</w:t>
      </w:r>
      <w:r>
        <w:rPr>
          <w:noProof/>
        </w:rPr>
        <w:tab/>
        <w:t>Podrobné vysvětlení konkrétních ustanovení návrhu</w:t>
      </w:r>
    </w:p>
    <w:p>
      <w:pPr>
        <w:rPr>
          <w:i/>
          <w:noProof/>
        </w:rPr>
      </w:pPr>
      <w:r>
        <w:rPr>
          <w:i/>
          <w:noProof/>
        </w:rPr>
        <w:t>Oblast působnosti dohody</w:t>
      </w:r>
    </w:p>
    <w:p>
      <w:pPr>
        <w:rPr>
          <w:rFonts w:eastAsia="Times New Roman"/>
          <w:noProof/>
        </w:rPr>
      </w:pPr>
      <w:r>
        <w:rPr>
          <w:noProof/>
        </w:rPr>
        <w:t>Tato dohoda umožňuje Evropské agentuře pro pohraniční a pobřežní stráž vysílat do Černé Hory jednotky Evropské pohraniční a pobřežní stráže s výkonnými pravomocemi za účelem provádění společných operací, zásahů rychlé reakce na hranicích a návratových operací.</w:t>
      </w:r>
    </w:p>
    <w:p>
      <w:pPr>
        <w:spacing w:after="240"/>
        <w:rPr>
          <w:rFonts w:eastAsia="Times New Roman"/>
          <w:noProof/>
        </w:rPr>
      </w:pPr>
      <w:r>
        <w:rPr>
          <w:noProof/>
        </w:rPr>
        <w:t>Jednotky Evropské pohraniční a pobřežní stráže mohou být vyslány na území Černé Hory pouze do regionů sousedících s vnějšími hranicemi EU a příslušníci jednotky musí mít v těchto oblastech Černé Hory výkonné pravomoci, jak jsou stanoveny v operačním plánu.</w:t>
      </w:r>
    </w:p>
    <w:p>
      <w:pPr>
        <w:spacing w:after="240"/>
        <w:rPr>
          <w:rFonts w:eastAsia="Times New Roman"/>
          <w:noProof/>
        </w:rPr>
      </w:pPr>
      <w:r>
        <w:rPr>
          <w:noProof/>
        </w:rPr>
        <w:t xml:space="preserve">Status a vymezení podle mezinárodního práva příslušných území členských států Evropské unie a Černé Hory nejsou nijak dotčeny ani touto dohodou, ani žádným jednáním při plnění dohody stranami nebo jejich jménem, včetně stanovení operačních plánů nebo účasti na přeshraničních operacích. </w:t>
      </w:r>
    </w:p>
    <w:p>
      <w:pPr>
        <w:rPr>
          <w:rFonts w:eastAsia="Times New Roman"/>
          <w:i/>
          <w:noProof/>
        </w:rPr>
      </w:pPr>
      <w:r>
        <w:rPr>
          <w:i/>
          <w:noProof/>
        </w:rPr>
        <w:t>Zahájení činnosti</w:t>
      </w:r>
    </w:p>
    <w:p>
      <w:pPr>
        <w:rPr>
          <w:rFonts w:eastAsia="Times New Roman"/>
          <w:noProof/>
        </w:rPr>
      </w:pPr>
      <w:r>
        <w:rPr>
          <w:noProof/>
        </w:rPr>
        <w:t xml:space="preserve">Podnět k zahájení činnosti může podat agentura. Příslušné orgány Černé Hory mohou agenturu požádat, aby zvážila zahájení činnosti. Provedení činnosti vyžaduje souhlas příslušných orgánů Černé Hory i agentury. </w:t>
      </w:r>
    </w:p>
    <w:p>
      <w:pPr>
        <w:rPr>
          <w:rFonts w:eastAsia="Arial Unicode MS"/>
          <w:i/>
          <w:noProof/>
          <w:color w:val="0000FF"/>
        </w:rPr>
      </w:pPr>
      <w:r>
        <w:rPr>
          <w:i/>
          <w:noProof/>
        </w:rPr>
        <w:t>Operační plán</w:t>
      </w:r>
      <w:r>
        <w:rPr>
          <w:noProof/>
        </w:rPr>
        <w:t xml:space="preserve"> </w:t>
      </w:r>
    </w:p>
    <w:p>
      <w:pPr>
        <w:rPr>
          <w:rFonts w:eastAsia="Times New Roman"/>
          <w:noProof/>
        </w:rPr>
      </w:pPr>
      <w:r>
        <w:rPr>
          <w:noProof/>
        </w:rPr>
        <w:t xml:space="preserve">Před každou společnou operací nebo zásahem rychlé reakce na hranicích musí být mezi agenturou a Černou Horou dohodnut operační plán. S tímto operačním plánem musí rovněž souhlasit členský stát či členské státy sousedící s operační oblastí. </w:t>
      </w:r>
    </w:p>
    <w:p>
      <w:pPr>
        <w:spacing w:after="240"/>
        <w:rPr>
          <w:rFonts w:eastAsia="Times New Roman"/>
          <w:noProof/>
        </w:rPr>
      </w:pPr>
      <w:r>
        <w:rPr>
          <w:noProof/>
        </w:rPr>
        <w:t>Tento plán podrobně stanoví organizační a procesní prvky společné operace nebo zásahu rychlé reakce na hranicích, jako je popis a posouzení situace, operační cíl a jednotlivé cíle, operační koncepce, druh technického vybavení, jež má být použito, plán provádění, spolupráce s jinými třetími zeměmi, jinými agenturami či institucemi Unie nebo mezinárodními organizacemi, ustanovení týkající se základních práv včetně ochrany osobních údajů, koordinace, velení, kontrola a systém komunikace a podávání zpráv, organizační ujednání a logistika, hodnocení a finanční aspekty společné operace nebo zásahu rychlé reakce na hranicích. Hodnocení společné operace nebo zásahu rychlé reakce na hranicích společně provede Černá Hora a agentura.</w:t>
      </w:r>
    </w:p>
    <w:p>
      <w:pPr>
        <w:rPr>
          <w:rFonts w:eastAsia="Times New Roman"/>
          <w:i/>
          <w:noProof/>
        </w:rPr>
      </w:pPr>
      <w:r>
        <w:rPr>
          <w:i/>
          <w:noProof/>
        </w:rPr>
        <w:t>Úkoly a pravomoci příslušníků jednotky</w:t>
      </w:r>
    </w:p>
    <w:p>
      <w:pPr>
        <w:rPr>
          <w:rFonts w:eastAsia="Times New Roman"/>
          <w:noProof/>
        </w:rPr>
      </w:pPr>
      <w:r>
        <w:rPr>
          <w:noProof/>
        </w:rPr>
        <w:t>Obecně platí, že jednotky mají oprávnění plnit úkoly a vykonávat výkonné pravomoci nezbytné pro ochranu hranic a návratové operace. Musí dodržovat právní předpisy Černé Hory.</w:t>
      </w:r>
    </w:p>
    <w:p>
      <w:pPr>
        <w:rPr>
          <w:noProof/>
        </w:rPr>
      </w:pPr>
      <w:r>
        <w:rPr>
          <w:noProof/>
        </w:rPr>
        <w:lastRenderedPageBreak/>
        <w:t>Jednotky působí na území Černé Hory pouze pod velením a za přítomnosti příslušníků pohraniční stráže nebo dalších příslušných pracovníků Černé Hory. Černá Hora může ve výjimečných případech příslušníky jednotky zmocnit k tomu, aby jednali jejím jménem.</w:t>
      </w:r>
    </w:p>
    <w:p>
      <w:pPr>
        <w:rPr>
          <w:rFonts w:eastAsia="Times New Roman"/>
          <w:noProof/>
        </w:rPr>
      </w:pPr>
      <w:r>
        <w:rPr>
          <w:noProof/>
        </w:rPr>
        <w:t>Příslušníci jednotky používají podle potřeby své vlastní uniformy, na nichž nosí viditelné identifikační osobní údaje a na rukávě modrou pásku se znakem Evropské unie a agentury. Rovněž u sebe nosí úřední doklad, aby mohli být jasně identifikováni vnitrostátními orgány Černé Hory.</w:t>
      </w:r>
    </w:p>
    <w:p>
      <w:pPr>
        <w:rPr>
          <w:rFonts w:eastAsia="Times New Roman"/>
          <w:noProof/>
        </w:rPr>
      </w:pPr>
      <w:r>
        <w:rPr>
          <w:noProof/>
        </w:rPr>
        <w:t xml:space="preserve">Příslušníci jednotky s sebou mohou nosit služební zbraně, střelivo a vybavení, které jsou povoleny v souladu s vnitrostátním právem jejich vlastního státu. Orgány Černé Hory předem informují agenturu o přípustných služebních zbraních, střelivu a vybavení, jakož i o podmínkách pro jejich použití. </w:t>
      </w:r>
    </w:p>
    <w:p>
      <w:pPr>
        <w:rPr>
          <w:rFonts w:eastAsia="Times New Roman"/>
          <w:noProof/>
        </w:rPr>
      </w:pPr>
      <w:r>
        <w:rPr>
          <w:noProof/>
        </w:rPr>
        <w:t xml:space="preserve">Příslušníci jednotky mohou se souhlasem svého vlastního státu a orgánů Černé Hory a za přítomnosti příslušníků pohraniční stráže či dalších příslušných pracovníků Černé Hory a v souladu s právními předpisy Černé Hory použít sílu, včetně služebních zbraní, střeliva a vybavení. Orgány Černé Hory mohou povolit příslušníkům jednotky, aby použili sílu i v nepřítomnosti jejich příslušníků pohraniční stráže. </w:t>
      </w:r>
    </w:p>
    <w:p>
      <w:pPr>
        <w:spacing w:after="240"/>
        <w:rPr>
          <w:rFonts w:eastAsia="Times New Roman"/>
          <w:iCs/>
          <w:noProof/>
        </w:rPr>
      </w:pPr>
      <w:r>
        <w:rPr>
          <w:noProof/>
        </w:rPr>
        <w:t xml:space="preserve">Černá Hora může zmocnit příslušníky jednotky k tomu, aby mohli nahlížet do jejích vnitrostátních databází, je-li to nezbytné pro plnění operačních cílů uvedených v operačním plánu. Černá Hora před vysláním příslušníků jednotky informuje agenturu o vnitrostátních databázích, do kterých lze v souladu s vnitrostátními právními předpisy Černé Hory v oblasti ochrany údajů nahlížet. </w:t>
      </w:r>
    </w:p>
    <w:p>
      <w:pPr>
        <w:rPr>
          <w:i/>
          <w:noProof/>
        </w:rPr>
      </w:pPr>
      <w:r>
        <w:rPr>
          <w:i/>
          <w:noProof/>
        </w:rPr>
        <w:t>Pozastavení a ukončení činnosti</w:t>
      </w:r>
    </w:p>
    <w:p>
      <w:pPr>
        <w:spacing w:after="240"/>
        <w:rPr>
          <w:rFonts w:eastAsia="Times New Roman"/>
          <w:noProof/>
        </w:rPr>
      </w:pPr>
      <w:r>
        <w:rPr>
          <w:noProof/>
        </w:rPr>
        <w:t xml:space="preserve">Agentura i orgány Černé Hory mohou pozastavit či ukončit činnost, pokud se domnívají, že druhá strana nedodržuje ustanovení dohody či operačního plánu. </w:t>
      </w:r>
    </w:p>
    <w:p>
      <w:pPr>
        <w:spacing w:line="288" w:lineRule="auto"/>
        <w:rPr>
          <w:rFonts w:eastAsia="Times New Roman"/>
          <w:i/>
          <w:noProof/>
          <w:color w:val="000000"/>
          <w:szCs w:val="24"/>
        </w:rPr>
      </w:pPr>
      <w:r>
        <w:rPr>
          <w:i/>
          <w:noProof/>
          <w:color w:val="000000"/>
        </w:rPr>
        <w:t>Výsady a imunity příslušníků jednotky</w:t>
      </w:r>
    </w:p>
    <w:p>
      <w:pPr>
        <w:rPr>
          <w:rFonts w:eastAsia="Times New Roman"/>
          <w:noProof/>
          <w:color w:val="000000"/>
          <w:szCs w:val="24"/>
        </w:rPr>
      </w:pPr>
      <w:r>
        <w:rPr>
          <w:noProof/>
          <w:color w:val="000000"/>
        </w:rPr>
        <w:t xml:space="preserve">Příslušníci jednotky jsou vyňati z trestní pravomoci Černé Hory, pokud jde o veškeré jejich jednání při výkonu služebních povinností, avšak nejsou vyňati z trestní pravomoci Černé Hory, pokud jde o veškeré jejich jednání mimo výkon služebních povinností. </w:t>
      </w:r>
    </w:p>
    <w:p>
      <w:pPr>
        <w:rPr>
          <w:rFonts w:eastAsia="Times New Roman"/>
          <w:noProof/>
          <w:color w:val="000000"/>
          <w:szCs w:val="24"/>
        </w:rPr>
      </w:pPr>
      <w:r>
        <w:rPr>
          <w:noProof/>
          <w:color w:val="000000"/>
        </w:rPr>
        <w:t xml:space="preserve">V operačním plánu jsou uvedeny konkrétní činnosti vyňaté z trestní pravomoci Černé Hory. </w:t>
      </w:r>
    </w:p>
    <w:p>
      <w:pPr>
        <w:rPr>
          <w:rFonts w:eastAsia="Times New Roman"/>
          <w:noProof/>
          <w:color w:val="000000"/>
          <w:szCs w:val="24"/>
        </w:rPr>
      </w:pPr>
      <w:r>
        <w:rPr>
          <w:noProof/>
          <w:color w:val="000000"/>
        </w:rPr>
        <w:t>Pokud existuje podezření, že se příslušník jednotky dopustil trestného činu, výkonný ředitel agentury před zahájením řízení před soudem učiní před příslušnými soudními orgány Černé Hory prohlášení o tom, zda se příslušník jednotky daného jednání dopustil při výkonu svých služebních povinností, či nikoli. Výkonný ředitel agentury přijme své rozhodnutí po důkladném zvážení všech prohlášení příslušného orgánu členského státu, který dotčeného příslušníka pohraniční stráže nebo dalšího příslušného pracovníka vyslal, a příslušných orgánů Černé Hory. Prohlášení výkonného ředitele agentury je pro příslušné orgány Černé Hory závazné.</w:t>
      </w:r>
    </w:p>
    <w:p>
      <w:pPr>
        <w:rPr>
          <w:rFonts w:eastAsia="Times New Roman"/>
          <w:noProof/>
          <w:color w:val="000000"/>
          <w:szCs w:val="24"/>
        </w:rPr>
      </w:pPr>
      <w:r>
        <w:rPr>
          <w:noProof/>
          <w:color w:val="000000"/>
        </w:rPr>
        <w:t xml:space="preserve">Výsady poskytnuté příslušníkům jednotky a vynětí z trestní pravomoci Černé Hory neznamenají, že jsou tito příslušníci vyňati z pravomoci domovského členského státu. </w:t>
      </w:r>
    </w:p>
    <w:p>
      <w:pPr>
        <w:rPr>
          <w:rFonts w:eastAsia="Times New Roman"/>
          <w:noProof/>
          <w:color w:val="000000"/>
          <w:szCs w:val="24"/>
        </w:rPr>
      </w:pPr>
      <w:r>
        <w:rPr>
          <w:noProof/>
          <w:color w:val="000000"/>
        </w:rPr>
        <w:t xml:space="preserve">Podobný režim se vztahuje na občanskoprávní a správní odpovědnost příslušníků jednotky. </w:t>
      </w:r>
    </w:p>
    <w:p>
      <w:pPr>
        <w:rPr>
          <w:rFonts w:eastAsia="Times New Roman"/>
          <w:noProof/>
          <w:color w:val="000000"/>
          <w:szCs w:val="24"/>
        </w:rPr>
      </w:pPr>
      <w:r>
        <w:rPr>
          <w:noProof/>
          <w:color w:val="000000"/>
        </w:rPr>
        <w:t>Členský stát, který dotčeného příslušníka pohraniční stráže nebo dalšího příslušného pracovníka vyslal, se může vzdát vynětí příslušníků jednotky z trestní, občanskoprávní a správní pravomoci Černé Hory. Toto vzdání se vynětí musí být vždy výslovné.</w:t>
      </w:r>
    </w:p>
    <w:p>
      <w:pPr>
        <w:rPr>
          <w:rFonts w:eastAsia="Times New Roman"/>
          <w:noProof/>
          <w:color w:val="000000"/>
          <w:szCs w:val="24"/>
        </w:rPr>
      </w:pPr>
      <w:r>
        <w:rPr>
          <w:noProof/>
          <w:color w:val="000000"/>
        </w:rPr>
        <w:lastRenderedPageBreak/>
        <w:t>Od příslušníků jednotky v postavení svědků se může požadovat, aby učinili svědeckou výpověď v souladu s procesními ustanoveními Černé Hory.</w:t>
      </w:r>
    </w:p>
    <w:p>
      <w:pPr>
        <w:rPr>
          <w:rFonts w:eastAsia="Times New Roman"/>
          <w:noProof/>
          <w:color w:val="000000"/>
          <w:szCs w:val="24"/>
        </w:rPr>
      </w:pPr>
      <w:r>
        <w:rPr>
          <w:noProof/>
          <w:color w:val="000000"/>
        </w:rPr>
        <w:t xml:space="preserve">Dohoda stanoví mechanismus pro kompenzaci škod. Kompenzační mechanismus je založen na článku 42 nařízení (EU) 2016/1624 o Evropské pohraniční a pobřežní stráži. Za škodu způsobenou příslušníkem jednotky při výkonu služebních povinností odpovídá Černá Hora. Pokud příslušník jednotky ze zúčastněného členského státu způsobil škodu při výkonu služebních povinností hrubou nedbalostí nebo úmyslným jednáním nebo pokud se příslušník jednotky ze zúčastněného členského státu nedopustil jednání při výkonu služebních povinností, Černá Hora může prostřednictvím výkonného ředitele agentury požádat, aby náhradu škody zaplatil dotčený zúčastněný členský stát. Pokud škodu způsobil pracovník agentury, Černá Hora může požádat o zaplacení kompenzace agenturu. </w:t>
      </w:r>
    </w:p>
    <w:p>
      <w:pPr>
        <w:rPr>
          <w:rFonts w:eastAsia="Times New Roman"/>
          <w:noProof/>
          <w:color w:val="000000"/>
          <w:szCs w:val="24"/>
        </w:rPr>
      </w:pPr>
      <w:r>
        <w:rPr>
          <w:noProof/>
          <w:color w:val="000000"/>
        </w:rPr>
        <w:t>Proti příslušníkům jednotky nemohou být provedena žádná exekuční opatření, s výjimkou případů, kdy je proti nim zahájeno občanskoprávní řízení nesouvisející s jejich služebními povinnostmi.</w:t>
      </w:r>
    </w:p>
    <w:p>
      <w:pPr>
        <w:rPr>
          <w:rFonts w:eastAsia="Times New Roman"/>
          <w:noProof/>
          <w:color w:val="000000"/>
          <w:szCs w:val="24"/>
        </w:rPr>
      </w:pPr>
      <w:r>
        <w:rPr>
          <w:noProof/>
          <w:color w:val="000000"/>
        </w:rPr>
        <w:t>Majetek příslušníků jednotky, jenž je nezbytný pro plnění jejich služebních povinností, je chráněn před zabavením. Příslušníci jednotky nepodléhají v občanskoprávním řízení žádným omezením osobní svobody ani jiným omezujícím opatřením.</w:t>
      </w:r>
    </w:p>
    <w:p>
      <w:pPr>
        <w:rPr>
          <w:rFonts w:eastAsia="Times New Roman"/>
          <w:noProof/>
          <w:color w:val="000000"/>
          <w:szCs w:val="24"/>
        </w:rPr>
      </w:pPr>
      <w:r>
        <w:rPr>
          <w:noProof/>
          <w:color w:val="000000"/>
        </w:rPr>
        <w:t>Na příslušníky jednotky se v souvislosti se službami poskytovanými agentuře nevztahují předpisy o sociálním zabezpečení platné v Černé Hoře. Příslušníci jednotky jsou v Černé Hoře také osvobozeni od všech forem zdanění platu a služebních požitků, které jim vyplácí agentura nebo jejich členské státy, a všech příjmů pocházejících odjinud než z Černé Hory.</w:t>
      </w:r>
    </w:p>
    <w:p>
      <w:pPr>
        <w:rPr>
          <w:rFonts w:eastAsia="Times New Roman"/>
          <w:noProof/>
          <w:color w:val="000000"/>
          <w:szCs w:val="24"/>
        </w:rPr>
      </w:pPr>
      <w:r>
        <w:rPr>
          <w:noProof/>
          <w:color w:val="000000"/>
        </w:rPr>
        <w:t xml:space="preserve">Orgány Černé Hory povolí vstup a výstup předmětů určených pro osobní potřebu příslušníků jednotky a osvobodí je od veškerých cel, daní a souvisejících poplatků (kromě poplatků za skladování, přepravu a podobné služby). </w:t>
      </w:r>
    </w:p>
    <w:p>
      <w:pPr>
        <w:spacing w:after="0"/>
        <w:rPr>
          <w:rFonts w:eastAsia="Times New Roman"/>
          <w:noProof/>
          <w:color w:val="000000"/>
          <w:szCs w:val="24"/>
        </w:rPr>
      </w:pPr>
      <w:r>
        <w:rPr>
          <w:noProof/>
          <w:color w:val="000000"/>
        </w:rPr>
        <w:t>Osobní zavazadla příslušníků jednotky mohou být podrobena prohlídce pouze tehdy, existuje-li důvodné podezření, že obsahují předměty, které nejsou určeny pro osobní potřebu příslušníků jednotky, nebo předměty, jejichž dovoz nebo vývoz je zakázán zákonem nebo upraven karanténními předpisy Černé Hory. V takovém případě je prohlídka osobních zavazadel prováděna pouze v přítomnosti dotčeného příslušníka či dotčených příslušníků jednotky nebo zplnomocněného zástupce agentury.</w:t>
      </w:r>
    </w:p>
    <w:p>
      <w:pPr>
        <w:rPr>
          <w:rFonts w:eastAsia="Times New Roman"/>
          <w:noProof/>
          <w:color w:val="000000"/>
          <w:szCs w:val="24"/>
        </w:rPr>
      </w:pPr>
      <w:r>
        <w:rPr>
          <w:noProof/>
          <w:color w:val="000000"/>
        </w:rPr>
        <w:t xml:space="preserve">Doklady, korespondence a majetek příslušníků jednotky jsou nedotknutelné, s výjimkou exekučních opatření. </w:t>
      </w:r>
    </w:p>
    <w:p>
      <w:pPr>
        <w:rPr>
          <w:i/>
          <w:noProof/>
        </w:rPr>
      </w:pPr>
      <w:r>
        <w:rPr>
          <w:i/>
          <w:noProof/>
        </w:rPr>
        <w:t xml:space="preserve">Úřední doklad </w:t>
      </w:r>
    </w:p>
    <w:p>
      <w:pPr>
        <w:spacing w:after="240"/>
        <w:rPr>
          <w:rFonts w:eastAsia="Times New Roman"/>
          <w:noProof/>
          <w:color w:val="000000"/>
          <w:szCs w:val="24"/>
        </w:rPr>
      </w:pPr>
      <w:r>
        <w:rPr>
          <w:noProof/>
          <w:color w:val="000000"/>
        </w:rPr>
        <w:t>Agentura vydá ve spolupráci s Černou Horou každému příslušníku jednotky úřední doklad, kterým jeho držitel prokazuje svou totožnost vnitrostátním orgánům Černé Hory a který slouží jako důkaz o tom, že má jeho držitel právo plnit úkoly a vykonávat pravomoci podle této dohody a operačního plánu. Úřední doklad ve spojení s platným cestovním dokladem opravňuje příslušníka jednotky ke vstupu do Černé Hory bez víza či předchozího povolení.</w:t>
      </w:r>
    </w:p>
    <w:p>
      <w:pPr>
        <w:rPr>
          <w:rFonts w:eastAsia="Times New Roman"/>
          <w:i/>
          <w:noProof/>
          <w:color w:val="000000"/>
          <w:szCs w:val="24"/>
        </w:rPr>
      </w:pPr>
      <w:r>
        <w:rPr>
          <w:i/>
          <w:noProof/>
          <w:color w:val="000000"/>
        </w:rPr>
        <w:t>Základní práva</w:t>
      </w:r>
    </w:p>
    <w:p>
      <w:pPr>
        <w:rPr>
          <w:rFonts w:eastAsia="Times New Roman"/>
          <w:noProof/>
          <w:color w:val="000000"/>
          <w:szCs w:val="24"/>
        </w:rPr>
      </w:pPr>
      <w:r>
        <w:rPr>
          <w:noProof/>
          <w:color w:val="000000"/>
        </w:rPr>
        <w:t xml:space="preserve">Příslušníci jednotky při plnění svých úkolů a výkonu svých pravomocí plně ctí základní práva a svobody, a to i pokud jde o přístup k azylovému řízení, lidskou důstojnost, zákaz mučení, nelidského a ponižujícího zacházení, právo na svobodu, zásadu nenavracení a zákaz hromadného vyhošťování, práva dítěte a právo na respektování soukromého a rodinného života. Nesmějí svévolně diskriminovat osoby z žádných důvodů, například na základě pohlaví, rasového nebo etnického původu, náboženského vyznání či přesvědčení, zdravotního </w:t>
      </w:r>
      <w:r>
        <w:rPr>
          <w:noProof/>
          <w:color w:val="000000"/>
        </w:rPr>
        <w:lastRenderedPageBreak/>
        <w:t>postižení, věku, sexuální orientace či genderové identity. Veškerá opatření zasahující do těchto základních práv a svobod musí být přiměřená cílům, jež uvedená opatření sledují, a respektovat podstatu těchto základních práv a svobod.</w:t>
      </w:r>
    </w:p>
    <w:p>
      <w:pPr>
        <w:spacing w:after="240"/>
        <w:rPr>
          <w:rFonts w:eastAsia="Times New Roman"/>
          <w:noProof/>
          <w:color w:val="000000"/>
          <w:szCs w:val="24"/>
        </w:rPr>
      </w:pPr>
      <w:r>
        <w:rPr>
          <w:noProof/>
          <w:color w:val="000000"/>
        </w:rPr>
        <w:t xml:space="preserve">Každá strana musí zřídit mechanismus pro řešení stížností na údajné porušení základních práv, jehož se měli dopustit její pracovníci. Agentura vytvořila mechanismus pro podávání a vyřizování stížností uvedený v článku 72 nařízení (EU) 2016/1624 o Evropské pohraniční a pobřežní stráži, a tuto povinnost tedy splnila. Pokud se orgány Černé Hory rozhodnou nezřídit mechanismus, jehož konkrétním úkolem by bylo řešit stížnosti podané na základě této dohody, mohl by se stížnostmi na údajné porušení základních práv zabývat veřejný ochránce práv Černé Hory.  </w:t>
      </w:r>
    </w:p>
    <w:p>
      <w:pPr>
        <w:rPr>
          <w:rFonts w:eastAsia="Times New Roman"/>
          <w:i/>
          <w:noProof/>
          <w:color w:val="000000"/>
          <w:szCs w:val="24"/>
        </w:rPr>
      </w:pPr>
      <w:r>
        <w:rPr>
          <w:i/>
          <w:noProof/>
          <w:color w:val="000000"/>
        </w:rPr>
        <w:t>Zpracování osobních údajů</w:t>
      </w:r>
    </w:p>
    <w:p>
      <w:pPr>
        <w:rPr>
          <w:rFonts w:eastAsia="Times New Roman"/>
          <w:i/>
          <w:noProof/>
          <w:color w:val="000000"/>
          <w:szCs w:val="24"/>
        </w:rPr>
      </w:pPr>
      <w:r>
        <w:rPr>
          <w:noProof/>
          <w:color w:val="000000"/>
        </w:rPr>
        <w:t>Zpracování osobních údajů příslušníky jednotky se provádí tehdy, je-li to nezbytné pro plnění jejich úkolů a výkon jejich pravomocí v souladu s pravidly platnými pro agenturu a členské státy EU. Zpracování osobních údajů orgány Černé Hory se řídí vnitrostátními právními předpisy této země.</w:t>
      </w:r>
    </w:p>
    <w:p>
      <w:pPr>
        <w:spacing w:after="240"/>
        <w:rPr>
          <w:rFonts w:eastAsia="Times New Roman"/>
          <w:i/>
          <w:noProof/>
          <w:color w:val="000000"/>
          <w:szCs w:val="24"/>
        </w:rPr>
      </w:pPr>
      <w:r>
        <w:rPr>
          <w:noProof/>
          <w:color w:val="000000"/>
        </w:rPr>
        <w:t>Agentura, zúčastněné členské státy a orgány Černé Hory vypracují na konci každé činnosti společnou zprávu o zpracování osobních údajů příslušníky jednotky. Tato zpráva se zašle úředníkovi agentury pro otázky základních práv a pověřenci agentury pro ochranu osobních údajů. Ti pak informují výkonného ředitele agentury.</w:t>
      </w:r>
    </w:p>
    <w:p>
      <w:pPr>
        <w:rPr>
          <w:rFonts w:eastAsia="Times New Roman"/>
          <w:i/>
          <w:noProof/>
          <w:color w:val="000000"/>
          <w:szCs w:val="24"/>
        </w:rPr>
      </w:pPr>
      <w:r>
        <w:rPr>
          <w:i/>
          <w:noProof/>
          <w:color w:val="000000"/>
        </w:rPr>
        <w:t>Spory a výklad dohody</w:t>
      </w:r>
    </w:p>
    <w:p>
      <w:pPr>
        <w:spacing w:before="0"/>
        <w:rPr>
          <w:rFonts w:eastAsia="Times New Roman"/>
          <w:noProof/>
          <w:color w:val="000000"/>
          <w:szCs w:val="24"/>
        </w:rPr>
      </w:pPr>
      <w:r>
        <w:rPr>
          <w:noProof/>
          <w:color w:val="000000"/>
        </w:rPr>
        <w:t xml:space="preserve">Veškeré otázky vzniklé v souvislosti s uplatňováním této dohody posuzují společně příslušné orgány Černé Hory a zástupci agentury, kteří konzultují členský stát či členské státy sousedící s Černou Horou. </w:t>
      </w:r>
    </w:p>
    <w:p>
      <w:pPr>
        <w:spacing w:before="0"/>
        <w:rPr>
          <w:rFonts w:eastAsia="Times New Roman"/>
          <w:noProof/>
          <w:color w:val="000000"/>
          <w:szCs w:val="24"/>
        </w:rPr>
      </w:pPr>
      <w:r>
        <w:rPr>
          <w:noProof/>
          <w:color w:val="000000"/>
        </w:rPr>
        <w:t>Neexistuje-li předchozí ujednání, řeší se spory ohledně výkladu nebo uplatňování této dohody výhradně cestou jednání mezi Černou Horou a Evropskou komisí, která konzultuje jakýkoli členský stát sousedící s Černou Horou.</w:t>
      </w:r>
    </w:p>
    <w:p>
      <w:pPr>
        <w:rPr>
          <w:rFonts w:eastAsia="Times New Roman"/>
          <w:i/>
          <w:noProof/>
          <w:color w:val="000000"/>
          <w:szCs w:val="24"/>
        </w:rPr>
      </w:pPr>
      <w:r>
        <w:rPr>
          <w:i/>
          <w:noProof/>
          <w:color w:val="000000"/>
        </w:rPr>
        <w:t>Příslušné orgány pro plnění této dohody</w:t>
      </w:r>
    </w:p>
    <w:p>
      <w:pPr>
        <w:spacing w:after="240"/>
        <w:rPr>
          <w:rFonts w:eastAsia="Times New Roman"/>
          <w:b/>
          <w:noProof/>
          <w:color w:val="000000"/>
          <w:szCs w:val="24"/>
        </w:rPr>
      </w:pPr>
      <w:r>
        <w:rPr>
          <w:noProof/>
          <w:color w:val="000000"/>
        </w:rPr>
        <w:t>Příslušným orgánem pro plnění této dohody je za Černou Horu ministerstvo vnitra. Za Evropskou unii je to Evropská agentura pro pohraniční a pobřežní stráž.</w:t>
      </w:r>
    </w:p>
    <w:p>
      <w:pPr>
        <w:rPr>
          <w:rFonts w:eastAsia="Times New Roman"/>
          <w:i/>
          <w:noProof/>
          <w:color w:val="000000"/>
          <w:szCs w:val="24"/>
        </w:rPr>
      </w:pPr>
      <w:r>
        <w:rPr>
          <w:i/>
          <w:noProof/>
          <w:color w:val="000000"/>
        </w:rPr>
        <w:t>Společné prohlášení</w:t>
      </w:r>
    </w:p>
    <w:p>
      <w:pPr>
        <w:spacing w:after="240"/>
        <w:rPr>
          <w:rFonts w:eastAsia="Times New Roman"/>
          <w:noProof/>
          <w:color w:val="000000"/>
          <w:szCs w:val="24"/>
        </w:rPr>
      </w:pPr>
      <w:r>
        <w:rPr>
          <w:noProof/>
          <w:color w:val="000000"/>
        </w:rPr>
        <w:t>Obě strany souhlasí s tím, že dokud výkonný ředitel agentury nevydá prohlášení, upustí od přijímání jakýchkoli opatření, která by mohla ohrozit případné pozdější trestní stíhání příslušníka jednotky příslušnými orgány hostitelského státu, což zahrnuje i upuštění od aktivního usnadňování návratu dotčeného příslušníka jednotky z operačních lokací Evropské pohraniční a pobřežní stráže v Černé Hoře do jeho domovského členského státu.</w:t>
      </w:r>
    </w:p>
    <w:p>
      <w:pPr>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2019/0041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 xml:space="preserve">o podpisu Dohody mezi Evropskou unií a Černou Horou o postavení jednotek při činnostech prováděných Evropskou agenturou pro pohraniční a pobřežní stráž v Černé Hoře jménem Evropské unie </w:t>
      </w:r>
    </w:p>
    <w:p>
      <w:pPr>
        <w:pStyle w:val="Institutionquiagit"/>
        <w:rPr>
          <w:noProof/>
        </w:rPr>
      </w:pPr>
      <w:r>
        <w:rPr>
          <w:noProof/>
        </w:rPr>
        <w:t>RADA EVROPSKÉ UNIE,</w:t>
      </w:r>
    </w:p>
    <w:p>
      <w:pPr>
        <w:rPr>
          <w:noProof/>
        </w:rPr>
      </w:pPr>
      <w:r>
        <w:rPr>
          <w:noProof/>
        </w:rPr>
        <w:t>s ohledem na Smlouvu o fungování Evropské unie, a zejména na čl. 77 odst. 2 písm. b) a d) a čl. 79 odst. 2 písm. c), ve spojení s čl. 218 odst. 5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V čl. 54 odst. 4 nařízení Evropského parlamentu a Rady (EU) 2016/1624</w:t>
      </w:r>
      <w:r>
        <w:rPr>
          <w:rStyle w:val="FootnoteReference"/>
          <w:noProof/>
        </w:rPr>
        <w:footnoteReference w:id="5"/>
      </w:r>
      <w:r>
        <w:rPr>
          <w:noProof/>
        </w:rPr>
        <w:t xml:space="preserve"> se stanoví, že v případech, kdy je plánováno nasazení jednotek Evropské pohraniční a pobřežní stráže ve třetí zemi při činnostech, při nichž budou mít příslušníci těchto jednotek výkonné pravomoci, nebo v případech, kdy to jiné činnosti ve třetích zemích vyžadují, uzavře Unie s dotčenou třetí zemí dohodu o postavení jednotek. Uvedená dohoda o postavení jednotek by se měla týkat všech aspektů nezbytných pro provádění těchto činností.</w:t>
      </w:r>
    </w:p>
    <w:p>
      <w:pPr>
        <w:pStyle w:val="ManualConsidrant"/>
        <w:rPr>
          <w:noProof/>
        </w:rPr>
      </w:pPr>
      <w:r>
        <w:t>(2)</w:t>
      </w:r>
      <w:r>
        <w:tab/>
      </w:r>
      <w:r>
        <w:rPr>
          <w:noProof/>
        </w:rPr>
        <w:t xml:space="preserve">Dne 16. října 2017 Rada zmocnila Komisi, aby zahájila jednání s Černou Horou o dohodě o postavení jednotek při činnostech prováděných Evropskou agenturou pro pohraniční a pobřežní stráž v Černé Hoře. </w:t>
      </w:r>
    </w:p>
    <w:p>
      <w:pPr>
        <w:pStyle w:val="ManualConsidrant"/>
        <w:rPr>
          <w:noProof/>
        </w:rPr>
      </w:pPr>
      <w:r>
        <w:t>(3)</w:t>
      </w:r>
      <w:r>
        <w:tab/>
      </w:r>
      <w:r>
        <w:rPr>
          <w:noProof/>
        </w:rPr>
        <w:t>Jednání byla úspěšně uzavřena parafováním Dohody mezi Evropskou unií a Černou Horou o postavení jednotek při činnostech prováděných Evropskou agenturou pro pohraniční a pobřežní stráž v Černé Hoře (dále jen „dohoda“).</w:t>
      </w:r>
    </w:p>
    <w:p>
      <w:pPr>
        <w:pStyle w:val="ManualConsidrant"/>
        <w:rPr>
          <w:noProof/>
          <w:szCs w:val="24"/>
        </w:rPr>
      </w:pPr>
      <w:r>
        <w:t>(4)</w:t>
      </w:r>
      <w:r>
        <w:tab/>
      </w:r>
      <w:r>
        <w:rPr>
          <w:noProof/>
        </w:rPr>
        <w:t xml:space="preserve">Toto rozhodnutí rozvíjí ta ustanovení schengenského </w:t>
      </w:r>
      <w:r>
        <w:rPr>
          <w:i/>
          <w:noProof/>
        </w:rPr>
        <w:t>acquis</w:t>
      </w:r>
      <w:r>
        <w:rPr>
          <w:noProof/>
        </w:rPr>
        <w:t>, kterých se neúčastní Spojené království v souladu s rozhodnutím Rady 2000/365/ES</w:t>
      </w:r>
      <w:r>
        <w:rPr>
          <w:rStyle w:val="FootnoteReference"/>
          <w:noProof/>
        </w:rPr>
        <w:footnoteReference w:id="6"/>
      </w:r>
      <w:r>
        <w:rPr>
          <w:noProof/>
        </w:rPr>
        <w:t xml:space="preserve">; Spojené království se tedy nepodílí na jeho přijímání a toto rozhodnutí pro ně není závazné ani použitelné. </w:t>
      </w:r>
    </w:p>
    <w:p>
      <w:pPr>
        <w:pStyle w:val="ManualConsidrant"/>
        <w:rPr>
          <w:noProof/>
          <w:szCs w:val="24"/>
        </w:rPr>
      </w:pPr>
      <w:r>
        <w:t>(5)</w:t>
      </w:r>
      <w:r>
        <w:tab/>
      </w:r>
      <w:r>
        <w:rPr>
          <w:noProof/>
        </w:rPr>
        <w:t xml:space="preserve">Toto rozhodnutí rozvíjí ta ustanovení schengenského </w:t>
      </w:r>
      <w:r>
        <w:rPr>
          <w:i/>
          <w:noProof/>
        </w:rPr>
        <w:t>acquis</w:t>
      </w:r>
      <w:r>
        <w:rPr>
          <w:noProof/>
        </w:rPr>
        <w:t>, kterých se neúčastní Irsko v souladu s rozhodnutím Rady 2002/192/ES</w:t>
      </w:r>
      <w:r>
        <w:rPr>
          <w:rStyle w:val="FootnoteReference"/>
          <w:noProof/>
        </w:rPr>
        <w:footnoteReference w:id="7"/>
      </w:r>
      <w:r>
        <w:rPr>
          <w:noProof/>
        </w:rPr>
        <w:t>; Irsko se tedy nepodílí na jeho přijímání a toto rozhodnutí pro ně není závazné ani použitelné.</w:t>
      </w:r>
    </w:p>
    <w:p>
      <w:pPr>
        <w:pStyle w:val="ManualConsidrant"/>
        <w:rPr>
          <w:noProof/>
          <w:szCs w:val="24"/>
        </w:rPr>
      </w:pPr>
      <w:r>
        <w:lastRenderedPageBreak/>
        <w:t>(6)</w:t>
      </w:r>
      <w:r>
        <w:tab/>
      </w:r>
      <w:r>
        <w:rPr>
          <w:noProof/>
        </w:rPr>
        <w:t>V souladu s články 1 a 2 Protokolu č. 22 o postavení Dánska, připojeného ke Smlouvě o Evropské unii a ke Smlouvě o fungování Evropské unie, se Dánsko nepodílí na přijímání tohoto rozhodnutí a toto rozhodnutí pro ně není závazné ani použitelné.</w:t>
      </w:r>
    </w:p>
    <w:p>
      <w:pPr>
        <w:pStyle w:val="ManualConsidrant"/>
        <w:rPr>
          <w:noProof/>
        </w:rPr>
      </w:pPr>
      <w:r>
        <w:t>(7)</w:t>
      </w:r>
      <w:r>
        <w:tab/>
      </w:r>
      <w:r>
        <w:rPr>
          <w:noProof/>
        </w:rPr>
        <w:t>Dohoda by proto měla být podepsána jménem Unie s výhradou jejího uzavření k pozdějšímu datu a připojená prohlášení by měla být schválena,</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Podpis Dohody mezi Evropskou unií a Černou Horou o postavení jednotek při činnostech prováděných Evropskou agenturou pro pohraniční a pobřežní stráž v Černé Hoře (dále jen „dohoda“) se schvaluje jménem Unie s výhradou jejího uzavření.</w:t>
      </w:r>
    </w:p>
    <w:p>
      <w:pPr>
        <w:rPr>
          <w:noProof/>
        </w:rPr>
      </w:pPr>
      <w:r>
        <w:rPr>
          <w:noProof/>
        </w:rPr>
        <w:t xml:space="preserve">Znění dohody se připojuje k tomuto rozhodnutí. </w:t>
      </w:r>
    </w:p>
    <w:p>
      <w:pPr>
        <w:pStyle w:val="Titrearticle"/>
        <w:rPr>
          <w:noProof/>
          <w:color w:val="0000FF"/>
        </w:rPr>
      </w:pPr>
      <w:r>
        <w:rPr>
          <w:noProof/>
        </w:rPr>
        <w:t>Článek 2</w:t>
      </w:r>
    </w:p>
    <w:p>
      <w:pPr>
        <w:rPr>
          <w:noProof/>
        </w:rPr>
      </w:pPr>
      <w:r>
        <w:rPr>
          <w:noProof/>
        </w:rPr>
        <w:t xml:space="preserve">Prohlášení připojené k tomuto rozhodnutí se schvaluje jménem Unie. </w:t>
      </w:r>
    </w:p>
    <w:p>
      <w:pPr>
        <w:pStyle w:val="Titrearticle"/>
        <w:rPr>
          <w:noProof/>
          <w:color w:val="0000FF"/>
        </w:rPr>
      </w:pPr>
      <w:r>
        <w:rPr>
          <w:noProof/>
        </w:rPr>
        <w:t xml:space="preserve">Článek 3 </w:t>
      </w:r>
    </w:p>
    <w:p>
      <w:pPr>
        <w:rPr>
          <w:noProof/>
        </w:rPr>
      </w:pPr>
      <w:r>
        <w:rPr>
          <w:noProof/>
        </w:rPr>
        <w:t>Generální sekretariát Rady zřídí nástroj udělující plnou moc k podepsání dohody osobě nebo osobám určeným vyjednavačem dohody s výhradou jejího uzavření.</w:t>
      </w:r>
    </w:p>
    <w:p>
      <w:pPr>
        <w:pStyle w:val="Titrearticle"/>
        <w:rPr>
          <w:noProof/>
        </w:rPr>
      </w:pPr>
      <w:r>
        <w:rPr>
          <w:noProof/>
        </w:rPr>
        <w:t>Článek 4</w:t>
      </w:r>
    </w:p>
    <w:p>
      <w:pPr>
        <w:keepLines/>
        <w:rPr>
          <w:noProof/>
        </w:rPr>
      </w:pPr>
      <w:r>
        <w:rPr>
          <w:noProof/>
        </w:rPr>
        <w:t xml:space="preserve">Toto rozhodnutí vstupuje v platnost dnem přijetí. </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251, 16.9.2016, s. 1.</w:t>
      </w:r>
    </w:p>
  </w:footnote>
  <w:footnote w:id="2">
    <w:p>
      <w:pPr>
        <w:pStyle w:val="FootnoteText"/>
        <w:ind w:left="709" w:hanging="709"/>
        <w:rPr>
          <w:rFonts w:ascii="Calibri" w:hAnsi="Calibri"/>
        </w:rPr>
      </w:pPr>
      <w:r>
        <w:t>*</w:t>
      </w:r>
      <w:r>
        <w:tab/>
        <w:t>Tímto označením nejsou dotčeny postoje k otázce statusu a označení je v souladu s rezolucí Rady bezpečnosti OSN 1244/1999 a se stanoviskem Mezinárodního soudního dvora k vyhlášení nezávislosti Kosova.</w:t>
      </w:r>
    </w:p>
  </w:footnote>
  <w:footnote w:id="3">
    <w:p>
      <w:pPr>
        <w:pStyle w:val="FootnoteText"/>
      </w:pPr>
      <w:r>
        <w:rPr>
          <w:rStyle w:val="FootnoteReference"/>
        </w:rPr>
        <w:footnoteRef/>
      </w:r>
      <w:r>
        <w:tab/>
        <w:t>COM (2015) 240 final.</w:t>
      </w:r>
    </w:p>
  </w:footnote>
  <w:footnote w:id="4">
    <w:p>
      <w:pPr>
        <w:pStyle w:val="FootnoteText"/>
      </w:pPr>
      <w:r>
        <w:rPr>
          <w:rStyle w:val="FootnoteReference"/>
        </w:rPr>
        <w:footnoteRef/>
      </w:r>
      <w:r>
        <w:tab/>
        <w:t>COM (2015) 185 final.</w:t>
      </w:r>
    </w:p>
  </w:footnote>
  <w:footnote w:id="5">
    <w:p>
      <w:pPr>
        <w:pStyle w:val="FootnoteText"/>
      </w:pPr>
      <w:r>
        <w:rPr>
          <w:rStyle w:val="FootnoteReference"/>
        </w:rPr>
        <w:footnoteRef/>
      </w:r>
      <w:r>
        <w:tab/>
        <w:t>Nařízení Evropského parlamentu a Rady (EU) 2016/1624 ze dne 14. září 2016 o Evropské pohraniční a pobřežní stráži a o změně nařízení Evropského parlamentu a Rady (EU) 2016/399 a zrušení nařízení Evropského parlamentu a Rady (ES) č. 863/2007, nařízení Rady (ES) č. 2007/2004 a rozhodnutí Rady 2005/267/ES (Úř. věst. L 251, 16.9.2016, s. 1).</w:t>
      </w:r>
    </w:p>
  </w:footnote>
  <w:footnote w:id="6">
    <w:p>
      <w:pPr>
        <w:pStyle w:val="FootnoteText"/>
      </w:pPr>
      <w:r>
        <w:rPr>
          <w:rStyle w:val="FootnoteReference"/>
        </w:rPr>
        <w:footnoteRef/>
      </w:r>
      <w:r>
        <w:tab/>
        <w:t xml:space="preserve">Rozhodnutí Rady 2000/365/ES ze dne 29. května 2000 o žádosti Spojeného království Velké Británie a Severního Irska, aby se na ně vztahovala některá ustanovení schengenského </w:t>
      </w:r>
      <w:r>
        <w:rPr>
          <w:i/>
        </w:rPr>
        <w:t>acquis</w:t>
      </w:r>
      <w:r>
        <w:t>, Úř. věst. L 131, 1.6.2000, s. 43.</w:t>
      </w:r>
    </w:p>
  </w:footnote>
  <w:footnote w:id="7">
    <w:p>
      <w:pPr>
        <w:pStyle w:val="FootnoteText"/>
      </w:pPr>
      <w:r>
        <w:rPr>
          <w:rStyle w:val="FootnoteReference"/>
        </w:rPr>
        <w:footnoteRef/>
      </w:r>
      <w:r>
        <w:tab/>
        <w:t xml:space="preserve">Rozhodnutí Rady 2002/192/ES ze dne 28. února 2002 o žádosti Irska, aby se na ně vztahovala některá ustanovení schengenského </w:t>
      </w:r>
      <w:r>
        <w:rPr>
          <w:i/>
        </w:rPr>
        <w:t>acquis</w:t>
      </w:r>
      <w:r>
        <w:t xml:space="preserve"> (Úř. věst. L 64, 7.3.2002, s.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3:03"/>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FCD1FA4-96A1-43A7-8572-18AB596B1275"/>
    <w:docVar w:name="LW_COVERPAGE_TYPE" w:val="1"/>
    <w:docVar w:name="LW_CROSSREFERENCE" w:val="&lt;UNUSED&gt;"/>
    <w:docVar w:name="LW_DocType" w:val="COM"/>
    <w:docVar w:name="LW_EMISSION" w:val="21.2.2019"/>
    <w:docVar w:name="LW_EMISSION_ISODATE" w:val="2019-02-21"/>
    <w:docVar w:name="LW_EMISSION_LOCATION" w:val="BRX"/>
    <w:docVar w:name="LW_EMISSION_PREFIX" w:val="V Bruselu dn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41"/>
    <w:docVar w:name="LW_REF.II.NEW.CP_YEAR" w:val="2019"/>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dpisu Dohody mezi Evropskou unií a \u268?ernou Horou o postavení jednotek p\u345?i \u269?innostech provád\u283?ných Evropskou agenturou pro pohrani\u269?ní a pob\u345?e\u382?ní strá\u382? v \u268?erné Ho\u345?e jménem Evropské unie "/>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4EE8-F4FF-4488-A95B-F0031324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3334</Words>
  <Characters>19839</Characters>
  <Application>Microsoft Office Word</Application>
  <DocSecurity>0</DocSecurity>
  <Lines>336</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2019-01-03T09:49:00Z</cp:lastPrinted>
  <dcterms:created xsi:type="dcterms:W3CDTF">2019-02-11T13:14:00Z</dcterms:created>
  <dcterms:modified xsi:type="dcterms:W3CDTF">2019-02-13T16:53:00Z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