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BDA3804-C1A6-45A1-9FB1-22174AFF8CE4" style="width:450pt;height:679.5pt">
            <v:imagedata r:id="rId9" o:title=""/>
          </v:shape>
        </w:pict>
      </w:r>
    </w:p>
    <w:bookmarkEnd w:id="0"/>
    <w:p>
      <w:pPr>
        <w:jc w:val="both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PŘÍLOHA</w:t>
      </w:r>
      <w:r>
        <w:rPr>
          <w:noProof/>
        </w:rPr>
        <w:br/>
      </w:r>
    </w:p>
    <w:p>
      <w:pPr>
        <w:pStyle w:val="Accompagnant"/>
        <w:rPr>
          <w:noProof/>
        </w:rPr>
      </w:pPr>
      <w:r>
        <w:rPr>
          <w:noProof/>
        </w:rPr>
        <w:t>ke</w:t>
      </w:r>
    </w:p>
    <w:p>
      <w:pPr>
        <w:pStyle w:val="Typeacteprincipal"/>
        <w:rPr>
          <w:noProof/>
        </w:rPr>
      </w:pPr>
      <w:r>
        <w:rPr>
          <w:noProof/>
        </w:rPr>
        <w:t>ZPRÁVĚ KOMISE EVROPSKÉMU PARLAMENTU A RADĚ</w:t>
      </w:r>
    </w:p>
    <w:p>
      <w:pPr>
        <w:pStyle w:val="Objetacteprincipal"/>
        <w:rPr>
          <w:noProof/>
        </w:rPr>
      </w:pPr>
      <w:r>
        <w:rPr>
          <w:noProof/>
        </w:rPr>
        <w:t>o provádění rámcové směrnice o vodě (2000/60/ES) a směrnice o povodňových rizicích (2007/60/ES)</w:t>
      </w:r>
      <w:r>
        <w:rPr>
          <w:noProof/>
        </w:rPr>
        <w:br/>
      </w:r>
      <w:r>
        <w:rPr>
          <w:noProof/>
        </w:rPr>
        <w:br/>
        <w:t>Druhé plány povodí</w:t>
      </w:r>
      <w:r>
        <w:rPr>
          <w:noProof/>
        </w:rPr>
        <w:br/>
        <w:t>První plány pro zvládání povodňových rizik</w:t>
      </w:r>
    </w:p>
    <w:p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t>Doporučení Komise k druhým plánům povodí a prvním plánům pro zvládání povodňových rizik</w:t>
      </w:r>
    </w:p>
    <w:p>
      <w:pPr>
        <w:jc w:val="both"/>
        <w:rPr>
          <w:rFonts w:ascii="Times New Roman" w:hAnsi="Times New Roman" w:cs="Times New Roman"/>
          <w:bCs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u w:val="single"/>
        </w:rPr>
        <w:t>[</w:t>
      </w:r>
      <w:r>
        <w:rPr>
          <w:rFonts w:ascii="Times New Roman" w:hAnsi="Times New Roman"/>
          <w:i/>
          <w:noProof/>
          <w:sz w:val="24"/>
          <w:u w:val="single"/>
        </w:rPr>
        <w:t>Úplné seznamy doporučení jsou uvedeny ve vnitrostátních posouzeních přiložených k tomuto dokumentu</w:t>
      </w:r>
      <w:r>
        <w:rPr>
          <w:rFonts w:ascii="Times New Roman" w:hAnsi="Times New Roman"/>
          <w:noProof/>
          <w:sz w:val="24"/>
          <w:u w:val="single"/>
        </w:rPr>
        <w:t>]</w:t>
      </w:r>
    </w:p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643"/>
        <w:gridCol w:w="6182"/>
        <w:gridCol w:w="6350"/>
      </w:tblGrid>
      <w:tr>
        <w:tc>
          <w:tcPr>
            <w:tcW w:w="1101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Členský stát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Doporučení pro zpracování 3. plánů povodí</w:t>
            </w: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Doporučení pro zpracování 2. plánů pro zvládání povodňových rizik</w:t>
            </w:r>
          </w:p>
        </w:tc>
      </w:tr>
      <w:tr>
        <w:trPr>
          <w:trHeight w:val="1468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Rakousko (AT)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Na základě zjištění vyplývajících z 2. plánů povodí se Rakousku doporučuje, aby zejména: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včasné přijetí 3. plánů povodí,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zajistilo kontinuitu, účelnost a vhodné financování při realizaci opatření potřebných pro včasné splnění cílů rámcové směrnice o vodě; zvláštní pozornost je třeba věnovat opatřením zaměřeným na snižování významné míry hydromorfologických vlivů,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při řešení chemického znečištění postupovalo ambiciózně a pragmaticky a neprovádělo jen opatření zaměřená na shromažďování znalostí,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řádné provedení článku 9 o návratnosti nákladů, včetně kalkulace a internalizace nákladů na ochranu životního prostředí a nákladů na zdroje.</w:t>
            </w:r>
          </w:p>
          <w:p>
            <w:pPr>
              <w:pStyle w:val="ListParagraph"/>
              <w:ind w:left="451"/>
              <w:jc w:val="both"/>
              <w:rPr>
                <w:noProof/>
                <w:highlight w:val="lightGray"/>
              </w:rPr>
            </w:pPr>
          </w:p>
        </w:tc>
        <w:tc>
          <w:tcPr>
            <w:tcW w:w="6656" w:type="dxa"/>
          </w:tcPr>
          <w:p>
            <w:pPr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Na základě zjištění vyplývajících z 1. plánů pro zvládání povodňových rizik se Rakousku doporučuje, aby zejména: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vypracovalo měřitelné cíle plánů pro zvládání povodňových rizik a propojilo je s navrhovanými opatřeními, aby mohlo posoudit dosažený pokrok,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vysvětlilo, jak se vybírají navrhovaná opatření a jak se stanovují jejich priority, např. jak se váží různé faktory ovlivňující výběr (včetně analýzy nákladů a přínosů, účelnosti a změny klimatu),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vypracovalo podrobnější metodiku pro posuzování celkové nákladové efektivity navrhovaných opatření a současně uvedlo více informací o nákladech a příslušných zdrojích financování,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vhodné odkazy mezi plány pro zvládání povodňových rizik, předběžným vyhodnocením povodňových rizik / oblastmi s potenciálně významným povodňovým rizikem a mapami povodňových nebezpečí a povodňových rizik a současně zajistilo, aby byly průběžně dostupné všem zúčastněným stranám i veřejnosti v přístupné formě, včetně digitální formy.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>
        <w:trPr>
          <w:trHeight w:val="1468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Belgie (BE)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Na základě zjištění vyplývajících z 2. plánů povodí se Belgii doporučuje, aby zejména: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stanovila jednoznačné finanční částky přidělené na realizaci programu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dopracovala svou strategii plnění cílů rámcové směrnice o vodě a vylepšila technickou proveditelnost svých dalších plánů povodí, a to v těsné spolupráci se zemědělci a orgány, které mají na starosti vnitrostátní provádění SZP, a současně zajistila větší součinnost mezi cíli rámcové směrnice o vodě a všemi příslušnými politikami a nástroji (např. PRV, 1. pilíř SZP, směrnice o dusičnanech atd.) prováděnými na vnitrostátní úrovni,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při řešení chemického znečištění postupovala ambiciózně a pragmaticky, vypracovala přístup zaměřený více na konkrétní látky pro povrchové i podzemní vody, a to se zaměřením na prioritní látky, znečišťující látky specifické pro řeky a znečišťující látky specifické pro podzemní vody,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 příslušných případech a na základě jasně vysvětlené metodiky prováděla u navrhovaných opatření analýzu nákladů a přínosů a vysvětlila, jak tento postup vedl k výběru a stanovení priorit těchto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 řádné provedení článku 9 o návratnosti nákladů, včetně kalkulace a internalizace nákladů na ochranu životního prostředí a nákladů na zdroje.</w:t>
            </w:r>
          </w:p>
          <w:p>
            <w:pPr>
              <w:pStyle w:val="ListParagraph"/>
              <w:ind w:left="502"/>
              <w:jc w:val="both"/>
              <w:rPr>
                <w:noProof/>
              </w:rPr>
            </w:pPr>
          </w:p>
        </w:tc>
        <w:tc>
          <w:tcPr>
            <w:tcW w:w="6656" w:type="dxa"/>
          </w:tcPr>
          <w:p>
            <w:pPr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Na základě zjištění vyplývajících z 1. plánů pro zvládání povodňových rizik se Belgii doporučuje, aby zejména: </w:t>
            </w:r>
          </w:p>
          <w:p>
            <w:pPr>
              <w:pStyle w:val="ListParagraph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uvedla podrobnější popis očekávaných dopadů změny klimatu na výskyt povodní, a to na základě dostupných studií,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uvedla přehled nákladů na opatření a předpokládaných zdrojů financování,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začlenila do plánů pro zvládání povodňových rizik analýzu nákladů a přínosů (např. u stanovení priorit opatření, která jsou pro to vhodná) a uvedla jednoznačný popis použité metodiky,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 koordinaci s vnitrostátní strategií pro přizpůsobení se změně klimatu.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>
        <w:trPr>
          <w:trHeight w:val="1444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Bulharsko (BG)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Na základě zjištění vyplývajících z 2. plánů povodí se Bulharsku doporučuje, aby zejména: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dále zlepšovalo mezinárodní spolupráci rozvíjením harmonizovanějších přístupů k posuzování stavu sdílených vodních útvarů a zpracovávalo lépe koordinovaná posouzení a programy opatření, aby bylo zajištěno včasné splnění cílů rámcové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zlepšilo své vlastní monitorovací kapacity s cílem snížit svou závislost na odborných posudcích při posuzování ekologického stavu/potenciálu bulharských vodních útvarů,</w:t>
            </w:r>
          </w:p>
          <w:p>
            <w:pPr>
              <w:pStyle w:val="ListParagraph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při používání výjimek podle čl. 4 odst. 7 vycházelo z důkladného posouzení všech kroků, jak to požaduje rámcová směrnice o vodě, a u všech oblastí povodí transparentně uvedlo, čím je odůvodněno povolení výjimek podle čl. 4 odst. 7 rámcové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lepší dodržování článku 5 směrnice o čištění městských odpadních vod, a to zejména ve velkých městech, v souvislosti s požadavkem na důkladnější čištění odpadních vod vypouštěných do citlivých oblastí,</w:t>
            </w:r>
          </w:p>
          <w:p>
            <w:pPr>
              <w:pStyle w:val="ListParagraph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předložilo komplexní posouzení nedostatků u zatížení znečišťujícími látkami ze zemědělství z difúzních zdrojů (živiny, agrochemikálie, sedimenty, organické látky) ve všech vodách ve všech bulharských oblastech povodí s přímým propojením na navrhovaná zmírňující opatření (podle čl. 11 odst. 3 písm. h) rámcové směrnice o vodě); tato opatření by měla být konkrétní, měla by mít jasný právní základ a měla by zahrnovat vhodné režimy monitorování a kontroly,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2" w:name="OLE_LINK1"/>
            <w:r>
              <w:rPr>
                <w:noProof/>
              </w:rPr>
              <w:t>v</w:t>
            </w:r>
            <w:r>
              <w:rPr>
                <w:rFonts w:ascii="Times New Roman" w:hAnsi="Times New Roman"/>
                <w:noProof/>
                <w:sz w:val="24"/>
              </w:rPr>
              <w:t xml:space="preserve"> politice v oblasti vody zajistilo jednoznačné rozlišení mezi nedostatkem vody a suchem a aby zajistilo přijetí plánu pro zvládání sucha nebo plánu alokace a řízení vodních zdrojů.</w:t>
            </w:r>
            <w:bookmarkEnd w:id="2"/>
          </w:p>
        </w:tc>
        <w:tc>
          <w:tcPr>
            <w:tcW w:w="6656" w:type="dxa"/>
          </w:tcPr>
          <w:p>
            <w:pPr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Na základě zjištění vyplývajících z 1. plánů pro zvládání povodňových rizik se Bulharsku doporučuje, aby zejména: </w:t>
            </w:r>
          </w:p>
          <w:p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zlepšilo vypracování cílů a opatření tak, že jednoznačně uvede lhůtu pro jejich splnění a realizaci,</w:t>
            </w:r>
          </w:p>
          <w:p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podrobnější popis očekávaných dopadů změny klimatu na výskyt povodní a zajistilo koordinaci s vnitrostátní strategií pro přizpůsobení se změně klimatu, jakmile bude přijata,</w:t>
            </w:r>
          </w:p>
          <w:p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 příslušných případech a na základě jasně vysvětlené metodiky provádělo u navrhovaných opatření analýzu nákladů a přínosů a vysvětlilo, jak tento postup vedl k výběru a stanovení priorit těchto opatření.</w:t>
            </w:r>
          </w:p>
          <w:p>
            <w:pPr>
              <w:ind w:left="596" w:hanging="59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Kypr (CY)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Na základě zjištění vyplývajících z 2. plánů povodí se Kypru doporučuje, aby zejména: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dále zlepšil svou kapacitu posuzovat stav všech kategorií vod (včetně teritoriálních vod) s cílem snížit podíl neznámého stavu a zajistit lepší posouzení, pokud jde o přítomnost jakýchkoli prioritních látek,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monitoroval své vodní útvary tak, aby zajistil dostatečné časové rozlišení a územní pokrytí, aby je mohl všechny klasifikovat (případně v kombinaci se spolehlivými metodami seskupování/extrapolace),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zvýšil používání měření (zejména v zemědělství), aby mohl lépe určit kvantitativní stav vodních útvarů a snížit nadměrné čerpání podzemních vod, zejména v důsledku neregulovaného individuálního čerpání a povolení, jež nejsou dostatečně sladěna s ekologickými požadavky.</w:t>
            </w:r>
          </w:p>
          <w:p>
            <w:pPr>
              <w:pStyle w:val="ListParagraph"/>
              <w:ind w:left="50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Na základě zjištění vyplývajících z 1. plánů pro zvládání povodňových rizik se Kypru doporučuje, aby zejména: </w:t>
            </w:r>
          </w:p>
          <w:p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vysvětlil, jak vybírá navrhovaná opatření a jak stanovuje jejich priority, např. jak se váží různé faktory ovlivňující výběr (včetně analýzy nákladů a přínosů, účelnosti a změny klimatu), </w:t>
            </w:r>
          </w:p>
          <w:p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stanovil výchozí hodnotu a příslušné ukazatele pro účely posouzení dosaženého pokroku při realizaci navržených opatření, </w:t>
            </w:r>
          </w:p>
          <w:p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ve všech vhodných případech systematicky zvažoval příležitosti pro zavedení přirozených řešení (včetně opatření pro přirozené zadržování vody) jako alternativy bagrování a úprav „zelené infrastruktury“ říčních břehů a říčních koryt.</w:t>
            </w:r>
          </w:p>
        </w:tc>
      </w:tr>
      <w:tr>
        <w:trPr>
          <w:trHeight w:val="1275"/>
        </w:trPr>
        <w:tc>
          <w:tcPr>
            <w:tcW w:w="1101" w:type="dxa"/>
            <w:noWrap/>
            <w:hideMark/>
          </w:tcPr>
          <w:p>
            <w:pPr>
              <w:tabs>
                <w:tab w:val="right" w:pos="1735"/>
              </w:tabs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Česká republika (CZ)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České republice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 lepší monitorování, a to zejména monitorování dostatečného počtu vodních útvarů a vhodné pokrytí všech příslušných kvalitativních složek. Mělo by se zlepšit provozní monitorování jezer/rybníků a lépe propojit s analýzou vlivů a dopadů. U všech kategorií vod by měly být monitorovány hydromorfologické kvalitativní složky,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zlepšila spolehlivost posouzení ekologického stavu/potenciálu, a zejména zlepšila metody posuzování hydromorfologických složek a propojila fyzikálně chemické hranice s příslušnými biologickými kvalitativními složkami u řek,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uvedla lepší odůvodnění použití výjimek podle čl. 4 odst. 4 a čl. 4 odst. 5 a jednoznačně mezi nimi rozlišovala. To je zvláště důležité, protože se očekává, že značný počet vodních útvarů splní cíle podle rámcové směrnice o vodě až po roce 2027, přičemž jsou široce uplatňovány výjimky,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kvantifikovala snížení zatížení znečišťujícími látkami potřebné pro splnění cílů rámcové směrnice o vodě; dopad zmírňujících opatření na celé povodí v souvislosti se zemědělskými zdroji znečištění vody, a nakolik k tomu přispívají opatření již přijatá podle směrnice o dusičnanech a směrnice o čištění městských odpadních vod, a uvedla další opatření, jež mají být přijata za účelem splnění cílů,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 řádné provedení článku 9 o návratnosti nákladů, včetně kalkulace a internalizace nákladů na ochranu životního prostředí a nákladů na zdroje.</w:t>
            </w:r>
          </w:p>
          <w:p>
            <w:pPr>
              <w:jc w:val="both"/>
              <w:rPr>
                <w:noProof/>
              </w:rPr>
            </w:pPr>
          </w:p>
        </w:tc>
        <w:tc>
          <w:tcPr>
            <w:tcW w:w="6656" w:type="dxa"/>
          </w:tcPr>
          <w:p>
            <w:pPr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České republice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vypracovala měřitelné cíle plánů pro zvládání povodňových rizik a propojila je s navrhovanými opatřeními, aby mohla posoudit dosažený pokrok,</w:t>
            </w:r>
          </w:p>
          <w:p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uvedla odhad nákladů na každé opatření a celkový rozpočet na všechna opatření s vyznačením, zda zahrnují investice i provozní náklady, </w:t>
            </w:r>
          </w:p>
          <w:p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popsala metodu stanovení priorit opatření a uvedla jednoznačné informace o metodách použitých na ocenění nákladů a přínosů opatření,</w:t>
            </w:r>
          </w:p>
          <w:p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 koordinaci s vnitrostátní strategií pro přizpůsobení se změně klimatu.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Německo (DE)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Německu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 všechny oblastí povodí zlepšilo monitorování trendů u všech relevantních látek, a to tak, aby bylo zajištěno dostatečné časové rozlišení a územní pokrytí,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lépe odůvodnilo uplatňování výjimek podle čl. 4 odst. 4 a čl. 4 odst. 5, zejména aby odůvodnila neúměrné náklady,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provedlo komplexní posouzení nedostatků u zatížení znečišťujícími látkami ze zemědělství z difúzních zdrojů ve všech vodách ve všech oblastech povodí s přímým propojením na zmírňující opatření;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</w:rPr>
              <w:t>jsou nutná další opatření, aby se zabránilo znečištění vyvolanému dusičnany ze zemědělských vlivů,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zvážilo vypracování plánů zvládání sucha pro oblasti, u nichž je větší riziko sucha.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Německu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vypracovalo měřitelné cíle (termíny, ukazatele) a definovalo jednoznačná kritéria, co jsou významné negativní dopady povodní, </w:t>
            </w:r>
          </w:p>
          <w:p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definovalo opatření v plánech podrobněji, včetně toho, nakolik přispějí k cílům a jak jsou financována,</w:t>
            </w:r>
          </w:p>
          <w:p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vysvětlilo, jak se vybírají navrhovaná opatření a jak se stanovují jejich priority, např. jak se váží různé faktory ovlivňující výběr (včetně analýzy nákladů a přínosů, účelnosti a změny klimatu), </w:t>
            </w:r>
          </w:p>
          <w:p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koordinaci s vnitrostátní strategií pro přizpůsobení se změně klimatu.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Dánsko (DK)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Dánsku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upřesnilo rozdělení významných vlivů mezi jednotlivá odvětví, aby bylo možné určit vhodná zmírňující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zlepšilo monitorování povrchových vod tak, že do něj zahrne všechny relevantní biologické, fyzikálně chemické a hydromorfologické kvalitativní složky u všech kategorií vod a zvýší podíl vodních útvarů, kterých se monitorování znečišťujících látek specifických pro povodí řek týká,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dokončí zpracování hodnotících metod pro všechny biologické kvalitativní složky u všech kategorií vod, včetně metod, které jsou citlivé na živiny v řekách, a zahrne do klasifikace ekologického stavu hydromorfologické kvalitativní složky.</w:t>
            </w: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Dánsku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další a jednotnější informace o procesu zpracování plánů pro zvládání povodňových rizik, včetně informace, jak byly při jejich zpracování využity předběžné hodnocení povodňových rizik a mapy povodňových nebezpečí a povodňových rizik, zajistilo koordinaci s vnitrostátní strategií pro přizpůsobení se změně klimatu,</w:t>
            </w:r>
          </w:p>
          <w:p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zvážilo jednotnější přístup k různým plánům pro zvládání povodňových rizik, neboť v současnosti je povaha těchto plánů dosti odlišná (z hlediska strategie a podrobnosti) a za tímto účelem zvážilo také širší výměnu informací mezi různými správními orgány,</w:t>
            </w:r>
          </w:p>
          <w:p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více podrobností o nákladech a zdrojích financování opatření a provedlo pokud možno analýzu nákladů a přínosů, uvedlo další informace o stanovení priorit opatření, včetně použitých kritérií, a ve všech plánech pro zvládání povodňových rizik uvedlo informace o mechanismech, které budou použity na monitorování realizace opatření.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Estonsko (EE)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Estonsku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byly pro všechny relevantní kvalitativní složky všech povrchových vod stanoveny referenční podmínky,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dokončilo soupisy emisí, vypouštěných chemických látek a úniků chemických látek,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zvýšilo úsilí za účelem posouzení stavu všech vodních útvarů, čímž zvýší důvěryhodnost posouzení stavu a sníží podíl neznámého stavu; monitorování by mělo poskytovat dostatečné časové rozlišení a územní pokrytí (včetně pokrytí biot),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lépe odůvodnilo výjimky, a to tak, že vypracuje a bude uplatňovat jednoznačná kritéria pro použití čl. 4 odst. 4 a jednoznačně je odlišovat od kritérií a odůvodnění používaných podle čl. 4 odst. 5.</w:t>
            </w:r>
          </w:p>
          <w:p>
            <w:pPr>
              <w:pStyle w:val="ListParagraph"/>
              <w:ind w:left="50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ind w:left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Estonsku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vypracovalo konkrétní a měřitelné cíle plánů pro zvládání povodňových rizik a popsalo postup stanovování cílů, </w:t>
            </w:r>
          </w:p>
          <w:p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podrobnější informace, kolik bude stát realizace opatření v každé správní jednotce a jaké budou lhůty, uvedlo také ukazatele postupu, popsalo v plánech pro zvládání povodňových rizik metodiku použitou pro analýzu nákladů a přínosů a uvedlo výsledky.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Řecko (EL)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Plány povodí nebyly včas předloženy, a proto nebyly do posouzení Komise zařazeny.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Plány pro zvládání povodňových rizik nebyly včas předloženy, a proto nebyly do posouzení Komise zařazeny.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Španělsko (ES)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Španělsku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včasné přijetí příštích plánů povodí, respektující požadavky týkající se veřejných konzultací,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více používalo průtokoměry, aby bylo zajištěno, že budou měřeny a evidovány všechny odběry a že povolení budou přizpůsobena dostupným zdrojům, a zajistilo, aby uživatelé pravidelně hlásili správám povodí objemy skutečně odebrané vody, a to zejména v těch oblastech povodí, kde odběry vody představují významné vlivy,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řádné provedení článku 9 o návratnosti nákladů, včetně kalkulace a internalizace nákladů na ochranu životního prostředí a nákladů na zdroje,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byly stanoveny kvantitativní a kvalitativní potřeby pro chráněná přírodní stanoviště a druhy a aby byly převedeny do konkrétních cílů pro každou chráněnou oblast, a aby také upřesnilo příslušné monitorování a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přijetí nových plánů pro zvládání sucha.</w:t>
            </w: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Španělsku doporučuje, aby zejména:</w:t>
            </w:r>
          </w:p>
          <w:p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neprodleně přijalo plány pro zvládání povodňových rizik pro Kanárské ostrovy a zajistilo včasné přijetí příštích plánů pro zvládání povodňových rizik,</w:t>
            </w:r>
          </w:p>
          <w:p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lépe vysvětlilo a zadokumentovalo postup stanovování priorit cílů, např. aby vysvětlilo, které instituce a účastníci byli do tohoto procesu zapojeni a jaké důvody byly uváděny při rozhodování o vysokých nebo nízkých prioritách u jednotlivých cílů; vypracovalo měřitelné cíle a ukazatele dopadu opatření, což napomůže při posuzování pokroku, </w:t>
            </w:r>
          </w:p>
          <w:p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metodiku posuzování opatření, pokud jde o náklady a přínosy, jakož i použití a výsledky této analýzy,</w:t>
            </w:r>
          </w:p>
          <w:p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vzalo v úvahu změnu klimatu, a to včetně systematického zohlednění vnitrostátní strategie pro přizpůsobení se změně klimatu.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Finsko (FI)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Finsku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lepší monitorování povrchových vod, aby zahrnovalo všechny vodní útvary a všechny relevantní kvalitativní složky včetně hydromorfologických kvalitativních složek a znečišťujících látek specifických pro povodí u pobřežních vod,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 všechny oblastí povodí zlepšilo monitorování trendů u všech relevantních látek, a to tak, aby bylo zajištěno dostatečné časové rozlišení a územní pokrytí,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pečlivé posouzení navrhovaných nových úprav v souladu s požadavky rámcové směrnice o vodě s ohledem na předpoklad, že při zhoršení z vysokého stavu na dobrý stav nemusí být provedeno posouzení podle čl. 4 odst. 7,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řádné provedení článku 9 o návratnosti nákladů, včetně kalkulace a internalizace nákladů na ochranu životního prostředí a nákladů na zdroje,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prevalence lokálních výskytů sucha nebo výskytů sucha v některých částech povodí jako jednoho z důsledků změny klimatu ve vhodných případech znovu zvážilo vypracování plánů pro zvládání sucha.</w:t>
            </w:r>
          </w:p>
          <w:p>
            <w:pPr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Finsku doporučuje, aby zejména:</w:t>
            </w:r>
          </w:p>
          <w:p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stanovilo v plánech pro zvládání povodňových rizik jednoznačnou lhůtu pro splnění cílů, </w:t>
            </w:r>
          </w:p>
          <w:p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vytvořilo silné spojení mezi cíli a opatřeními a jasně uvedlo, zda plánovaná opatření postačují na splnění těchto cílů, </w:t>
            </w:r>
          </w:p>
          <w:p>
            <w:pPr>
              <w:pStyle w:val="ListParagraph"/>
              <w:numPr>
                <w:ilvl w:val="0"/>
                <w:numId w:val="25"/>
              </w:numPr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koordinaci s vnitrostátní strategií pro přizpůsobení se změně klimatu.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Francie (FR)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Francii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lépe odůvodnila uplatňování výjimek podle čl. 4 odst. 4 a čl. 4 odst. 5 a zkontrolovala a aktualizovala odůvodnění, aby bylo zajištěno, že jsou realizována všechna možná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zlepšila řešení znečištění živinami a posoudila a ohlásila očekávaný účinek opatření, 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zvýšila úsilí při realizaci a hlášení hydromorfologických opatření u všech vodních útvarů postižených hydromorfologickými vlivy a u všech oblastí povodí, a to také za účelem splnění mezinárodních závazků odstranit překážky v kontinuitě řek,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zvážila vypracování plánů zvládání sucha pro oblasti, u nichž je větší riziko sucha.</w:t>
            </w: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Francii doporučuje, aby zejména:</w:t>
            </w:r>
          </w:p>
          <w:p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uvedla podrobnější informace o předchozích krocích u plánů pro zvládání povodňových rizik, včetně souhrnných map a textového popisu oblastí s potenciálně významným povodňovým rizikem, a odkazy, kde je možné získat k nim přístup, zajistila koordinaci s vnitrostátní strategií pro přizpůsobení se změně klimatu, </w:t>
            </w:r>
          </w:p>
          <w:p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vypracovala cíle s pokud možno konkrétními a měřitelnými prvky a udržovala jasné spojení mezi cíli na vyšší a nižší úrovni a mezi opatřeními a cíli, </w:t>
            </w:r>
          </w:p>
          <w:p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uvedla v plánech pro zvládání povodňových rizik více informací o opatřeních, včetně nákladů a zdrojů financování, podrobné údaje o lokalitě a informace o stanovení priorit a postupu monitorování.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Chorvatsko (HR)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Chorvatsku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zvýšilo práci na určování vlivů, zejména u brakických a pobřežních vod,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vypracovalo vhodnou metodiku pro vymezení silně upravených vodních útvarů; vymezení silně upravených vodních útvarů by mělo odpovídat všem požadavkům čl. 4 odst. 3 a měla by být stanovena metodika pro definování ekologického potenciálu,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všechny podstatné informace o úrovni plnění a lhůty, kdy budou požadavky splněny u aglomerací, v souladu se směrnicí 91/271/EHS: zajistilo také plnění článku 5 směrnice o čištění městských odpadních vod ve smyslu přísnějších požadavků na čištění, zejména ve velkých městech,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zvážilo další opatření u znečištění z bodových zdrojů nad rámec požadavků směrnice o čištění městských odpadních vod a směrnice o průmyslových emisích, aby byly splněny cíle rámcové směrnice o vodě, a dokončilo určení klíčových druhů opatření pro difúzní zdroje,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zavedení kontrolních mechanismů pro odběry a shromažďování a hlášení informací o použití, využívání vody a trendech; zvážilo využití opatření na přirozené zadržování vody, aby se snížilo riziko pro kvalitu vody ze zemědělských znečišťujících látek, zvážilo přijetí plánů pro zvládání sucha a pokračovalo v revizi stávajících kontrolních mechanismů, aby bylo zajištěno, že zemědělské metody nebudou představovat hydromorfologický vliv, a v případě potřeby tyto kontrolní mechanismy aktualizovalo.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Chorvatsku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vypracovalo konkrétní a měřitelné cíle pro zvládání povodňových rizik a uvedlo jednoznačné spojení mezi opatřeními a cíli; uvedlo výchozí hodnotu, podle které bude možné sledovat pokrok,</w:t>
            </w:r>
          </w:p>
          <w:p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vysvětlilo, jak se vybírají navrhovaná opatření a jak se stanovují jejich priority, např. jak se váží různé faktory ovlivňující výběr (včetně analýzy nákladů a přínosů, účelnosti a změny klimatu), </w:t>
            </w:r>
          </w:p>
          <w:p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další podrobnosti o přístupu k veřejným konzultacím a k aktivnímu zapojení zúčastněných stran.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Maďarsko (HU)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Maďarsku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zvýšilo úsilí za účelem posouzení stavu všech vodních útvarů, čímž zvýší důvěryhodnost posouzení stavu a sníží podíl neznámého stavu; monitorování by mělo poskytovat dostatečné časové rozlišení a územní pokrytí,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 posouzení stavu by měly být zvažovány všechny prioritní látky, a to v příslušné matrici; je-li použita jiná matrice, je třeba uvést vysvětlení,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vyřešilo nejasnosti v označení silně upravených a umělých vodních útvarů pomocí lepšího monitorování, zlepšených údajů o hydromorfologických vlivech a lepšího pochopení účinků na biologické kvalitativní složky; zajistilo, aby označení silně upravených vodních útvarů odpovídalo všem požadavkům čl. 4 odst. 3,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odběry vody podléhaly účinným povolením, měření a kontrolám,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 politice v oblasti vody zajistilo jednoznačné rozlišení mezi nedostatkem vody a suchem a aby zajistilo přijetí plánu pro zvládání sucha.</w:t>
            </w:r>
          </w:p>
        </w:tc>
        <w:tc>
          <w:tcPr>
            <w:tcW w:w="6656" w:type="dxa"/>
          </w:tcPr>
          <w:p>
            <w:pPr>
              <w:ind w:left="-108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Maďarsku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vypracovalo cíle, které budou konkrétnější z hlediska kvantitativních cílových hodnot, lokalit a termínů splnění,</w:t>
            </w:r>
          </w:p>
          <w:p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objasnilo počet opatření, vztah mezi opatřeními podle plánů pro zvládání povodňových rizik a jinými opatřeními označenými za předběžná a uvedlo jejich priority,</w:t>
            </w:r>
          </w:p>
          <w:p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v dalším plánu pro zvládání povodňových rizik odhad nákladů na všechna opatření,</w:t>
            </w:r>
          </w:p>
          <w:p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koordinaci s vnitrostátní strategií pro přizpůsobení se změně klimatu.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Irsko (IE)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Plány povodí nebyly včas předloženy, a proto nebyly do posouzení Komise zařazeny.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Plány pro zvládání povodňových rizik nebyly včas předloženy, a proto nebyly do posouzení Komise zařazeny.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Itálie (IT)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Itálii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harmonizovala různé regionální přístupy, zejména u definice významu vlivů,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uvedla smysluplné informace o rozsahu a načasování opatření v programu opatření, aby bylo jasné, jak mají být cíle plněny; v plánech povodí by mělo být uvedeno systematické stanovení priorit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zajistila, aby byly v třetím plánu povodí jasněji popsány informace o zdrojích financování programu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posílila měření u všech odběrů vody a přezkoumala systém povolování odběrů vody; zajistila, aby bylo přijato opatření na řešení nezákonných odběrů vody, zejména v oblastech povodí s podstatnými problémy s nedostatkem vody,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řešila vypouštění městských odpadních vod a zajistila, aby plánovaná opatření postačovala ve všech oblastech povodí na splnění cílů rámcové směrnice o vodě (jakož i směrnice o čištění městských odpadních vod),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 řádné provedení článku 9 o návratnosti nákladů, včetně kalkulace a internalizace nákladů na ochranu životního prostředí a nákladů na zdroje,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zajistila, aby byl plán pro zvládání sucha přijat také pro oblast povodí Sicílie.</w:t>
            </w:r>
          </w:p>
        </w:tc>
        <w:tc>
          <w:tcPr>
            <w:tcW w:w="6656" w:type="dxa"/>
          </w:tcPr>
          <w:p>
            <w:pPr>
              <w:ind w:left="3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Itálii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vypracovala konkrétní a měřitelné cíle plánů pro zvládání povodňových rizik a stanovila spojení mezi cíli a opatřeními,</w:t>
            </w:r>
          </w:p>
          <w:p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jednotně vysvětlila v plánech pro zvládání povodňových rizik, jak bude prováděno monitorování opatření, a uvedla více podrobností, jak budou tato opatření financována,</w:t>
            </w:r>
          </w:p>
          <w:p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pokud možno rozšířila používání analýzy nákladů a přínosů při výběru a stanovování priorit opatření,</w:t>
            </w:r>
          </w:p>
          <w:p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 koordinaci s vnitrostátní strategií pro přizpůsobení se změně klimatu.</w:t>
            </w:r>
          </w:p>
          <w:p>
            <w:pPr>
              <w:ind w:left="3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101" w:type="dxa"/>
            <w:noWrap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Litva (LT)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Plány povodí nebyly včas předloženy, a proto nebyly do posouzení Komise zařazeny.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Litvě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objasnila právní stav plánů pro zvládání povodňových rizik, zajistila, aby plány pro zvládání povodňových rizik, předběžná vyhodnocení povodňových rizik / oblasti s potenciálně významným povodňovým rizikem a mapy povodňových nebezpečí a povodňových rizik na sebe podle potřeby vzájemně odkazovaly a aby byly průběžně dostupné všem zúčastněným stranám i veřejnosti v přístupné formě,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jasně propojila navrhovaná opatření s cíli, aby mohla posoudit dosažený pokrok,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vyhradila v plánech pro zvládání povodňových rizik prostor pro problematiku změny klimatu a koordinovala plány s vnitrostátní strategií pro přizpůsobení se změně klimatu. 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Lucembursko (LU)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Lucembursku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zlepšilo označení potřeb silně upravených vodních útvarů pomocí vypracování a uplatňování jednoznačných kritérií pro transparentní stanovení významných negativních účinků; používalo propracovanější metodiku definování ekologického potenciálu,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zajistilo pečlivé posouzení možných nových úprav v souladu s požadavky rámcové směrnice o vodě,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přezkoumalo a vypracovalo strategii plnění cílů rámcové směrnice o vodě a vylepšilo technickou proveditelnost svých dalších plánů povodí, a to ve spolupráci se zemědělci a orgány, které mají na starosti vnitrostátní provádění SZP, aby zajistilo, že všechny příslušné politiky a nástroje (např. PRV, 1. pilíř SZP, směrnice o dusičnanech atd.) budou významně přispívat k plánům povodí.</w:t>
            </w:r>
          </w:p>
        </w:tc>
        <w:tc>
          <w:tcPr>
            <w:tcW w:w="6656" w:type="dxa"/>
          </w:tcPr>
          <w:p>
            <w:pPr>
              <w:ind w:left="34" w:hanging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Lucembursku doporučuje, aby zejména:</w:t>
            </w:r>
          </w:p>
          <w:p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vypracovalo pokud možno konkrétní a měřitelné cíle, které potom umožní nastavení jednoznačných cílů a měření jejich plnění; propojilo cíle s opatřeními,</w:t>
            </w:r>
          </w:p>
          <w:p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v plánu pro zvládání povodňových rizik odhady nákladů na opatření a specifikovalo zdroje financování,</w:t>
            </w:r>
          </w:p>
          <w:p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vysvětlilo, jak se vybírají navrhovaná opatření a jak se stanovují jejich priority, např. jak se váží různé faktory ovlivňující výběr (včetně analýzy nákladů a přínosů, účelnosti a změny klimatu) a zajistilo koordinaci s vnitrostátní strategií pro přizpůsobení se změně klimatu, </w:t>
            </w:r>
          </w:p>
          <w:p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stanovilo v plánu pro zvládání povodňových rizik jednoznačnější lhůty realizace opatření.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Lotyšsko (LV)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Lotyšsku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určilo zdroje financování pro usnadnění plnění cílů rámcové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dokončilo vypracování hodnotících metod pro všechny biologické kvalitativní složky; pro brakické a pobřežní vody je třeba vypracovat metody pro posouzení hydromorfologických kvalitativních složek,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zajistilo, aby bylo provedeno pečlivé posouzení možných nových změn pro potenciální budoucí uplatnění čl. 4 odst. 7,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adekvátní koordinaci plánů povodí se směrnicí o povodňových rizicích a plány pro zvládání povodňových rizik.</w:t>
            </w: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Lotyšsku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5"/>
              </w:numPr>
              <w:ind w:left="318" w:hanging="17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vypracovalo pokud možno měřitelné cíle plánů pro zvládání povodňových rizik a propojilo je s navrhovanými opatřeními, aby mohlo posoudit dosažený pokrok,</w:t>
            </w:r>
          </w:p>
          <w:p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určilo zdroje financování pro tato opatření, </w:t>
            </w:r>
          </w:p>
          <w:p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uvedlo a v příslušných případech uplatňovalo metodiku posuzování opatření, pokud jde o náklady a přínosy, a uvedlo její výsledky, </w:t>
            </w:r>
          </w:p>
          <w:p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ve druhém cyklu vysvětlilo, jak byly vzaty v úvahu dopady změny klimatu a zajistilo koordinaci s vnitrostátní strategií pro přizpůsobení se změně klimatu, jakmile bude přijata.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Malta (MT)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Maltě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 alokaci zdrojů na jednotlivé vlivy, aby mohla být určena adekvátní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pokračovala v práci na dokončení monitorovacích programů pro kvantitativní stav podzemních vod,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zajistila, aby byly možné nové úpravy v souladu s požadavky rámcové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lépe řešila problém nedostatku vody a nadměrného odběru vody,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zajistila řádné provedení článku 9 o návratnosti nákladů, včetně kalkulace a internalizace nákladů na ochranu životního prostředí a nákladů na zdroje.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Maltě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vypracovala pokud možno měřitelné cíle plánů pro zvládání povodňových rizik a výslovně je propojila s navrhovanými opatřeními, aby mohla posoudit dosažený pokrok, a to včetně mechanismů a ukazatelů pro monitorování jejich provádění,</w:t>
            </w:r>
          </w:p>
          <w:p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předložila informace o odhadovaných nákladech na všechna zmírňující opatření u povodňových rizik, o stanovených prioritách a metodách stanovení priorit.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Nizozemsko (NL)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Nizozemsku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dokončilo posouzení účelnosti stávajících zemědělských opatření a určilo, jaká dodatečná opatření jsou potřebná pro splnění cílů rámcové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u chemického znečištění z nezemědělských zdrojů vycházely programy opatření ze spolehlivého posouzení vlivů.</w:t>
            </w:r>
          </w:p>
        </w:tc>
        <w:tc>
          <w:tcPr>
            <w:tcW w:w="6656" w:type="dxa"/>
          </w:tcPr>
          <w:p>
            <w:pPr>
              <w:ind w:left="3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Nizozemsku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definovalo cíle maximálně konkrétně a měřitelně a postup vysvětlilo, popsalo v plánech pro zvládání povodňových rizik spojení s jinými předchozími i probíhajícími nizozemskými povodňovými programy a legislativou, </w:t>
            </w:r>
          </w:p>
          <w:p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uvedlo v plánech pro zvládání povodňových rizik informace o odhadovaných nákladech opatření a označilo, zda se pro monitorování pokroku používá výchozí stav, nebo aby výchozí stav stanovilo, </w:t>
            </w:r>
          </w:p>
          <w:p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vysvětlilo, jak se vybírají navrhovaná opatření a jak se stanovují jejich priority, např. jak se váží různé faktory ovlivňující výběr (včetně analýzy nákladů a přínosů, účelnosti a změny klimatu) a zajistilo koordinaci s vnitrostátní strategií pro přizpůsobení se změně klimatu,</w:t>
            </w:r>
          </w:p>
          <w:p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jasné informace o organizování veřejné účasti a aktivním zapojení zúčastněných stran.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Polsko (PL)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Polsku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posílilo monitorování povrchových vod zahrnutím všech relevantních kvalitativních složek do všech kategorií vod,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předložilo úplné posouzení ekologického stavu pro všechny kategorie vod, včetně posouzení všech relevantních kvalitativních složek,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zvýšilo úsilí na vypracování jednotné metodiky pro vymezení silně upravených vodních útvarů pro všechny relevantní kategorie vod,</w:t>
            </w:r>
          </w:p>
          <w:p>
            <w:pPr>
              <w:pStyle w:val="ListParagraph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použití výjimek podle čl. 4 odst. 7 vycházelo z pečlivého posouzení všech kroků, jak to požaduje rámcová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odvodilo a realizovalo ekologické průtoky.</w:t>
            </w:r>
          </w:p>
          <w:p>
            <w:pPr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Polsku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vysvětlilo, jak se vybírají navrhovaná opatření a jak se stanovují jejich priority, např. jak se váží různé faktory ovlivňující výběr (včetně analýzy nákladů a přínosů, účelnosti a změny klimatu),</w:t>
            </w:r>
          </w:p>
          <w:p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vzalo v úvahu závěry z dokončeného mapování povodňových nebezpečí a rizik z 1. cyklu u 2. cyklu jednotlivých kroků předběžného vyhodnocení povodňových rizik, map povodňových nebezpečí a povodňových rizik a plánů pro zvládání povodňových rizik,</w:t>
            </w:r>
          </w:p>
          <w:p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ve druhém cyklu vysvětlilo, jak byly vzaty v úvahu dopady změny klimatu.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Portugalsko (PT)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Portugalsku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zlepšilo monitorování povrchových vod zahrnutím všech relevantních kvalitativních složek do všech kategorií vod; do provozního monitorování zahrnulo všechny vodní útvary, které podléhají významným vlivům, včetně pobřežních vod,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dále posílilo odůvodnění použití čl. 4 odst. 7 zajištěním, že každý projekt bude posuzován na úrovni vodního útvaru vedle posouzení na strategické úrovni,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pokračovalo v aktualizování licencí a povolení pro všechny odběry vody a regulace průtoku,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ostrovní oblasti povodí poskytovaly více informací o vlivech z prioritních látek a (potenciálních) znečišťujících látek specifických pro povodí, aby bylo možné stanovit adekvátní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specifické cíle pro chráněné oblasti měkkýšů, včetně ilustrativních hodnot pro mikrobiologické standardy, odpovídaly zrušené směrnici o vodách pro měkkýše.</w:t>
            </w:r>
          </w:p>
        </w:tc>
        <w:tc>
          <w:tcPr>
            <w:tcW w:w="6656" w:type="dxa"/>
          </w:tcPr>
          <w:p>
            <w:pPr>
              <w:ind w:left="34" w:hanging="3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Portugalsku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vypracovalo pokud možno měřitelné cíle plánů pro zvládání povodňových rizik a spojilo cíle s opatřeními,</w:t>
            </w:r>
          </w:p>
          <w:p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plány pro zvládání povodňových rizik, oblasti s potenciálně významným povodňovým rizikem a mapy povodňových nebezpečí a povodňových rizik na sebe podle potřeby vzájemně odkazovaly a aby byly průběžně dostupné všem zúčastněným stranám i veřejnosti v přístupné formě, včetně digitální formy,</w:t>
            </w:r>
          </w:p>
          <w:p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určilo zdroje financování pro opatření konkrétněji, vybralo opatření, v příslušných případech zohlednilo náklady a přínosy a stanovilo priority opatření. 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Rumunsko (RO)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Rumunsku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dále pracovalo na rozdělení vlivů mezi odvětví,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posílilo monitorování povrchových vod zahrnutím všech relevantních kvalitativních složek do všech kategorií vod, a to včetně hydromorfologických kvalitativních složek, a zlepšilo kvantitativní a chemické monitorování podzemních vod,</w:t>
            </w:r>
          </w:p>
          <w:p>
            <w:pPr>
              <w:pStyle w:val="ListParagraph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při používání výjimek podle čl. 4 odst. 7 vycházelo z důkladného posouzení všech kroků, jak to požaduje rámcová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zlepšilo plnění požadavků podle směrnice o čištění městských odpadních vod v souvislosti s požadavkem na přísnější čištění odpadních vod vypouštěných do citlivých oblastí a zajistilo investice umožňující řádné vyčištění odpadních vod z velkých měst.</w:t>
            </w:r>
          </w:p>
        </w:tc>
        <w:tc>
          <w:tcPr>
            <w:tcW w:w="6656" w:type="dxa"/>
          </w:tcPr>
          <w:p>
            <w:pPr>
              <w:ind w:left="34" w:hanging="3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Rumunsku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vytvořilo silné spojení mezi cíli a opatřeními a uvedlo, zda budou plánovaná opatření po dokončení postačovat na splnění těchto cílů,</w:t>
            </w:r>
          </w:p>
          <w:p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předložilo odhady nákladů s jasným vysvětlením zdrojů financování pro opatření v plánech pro zvládání povodňových rizik,</w:t>
            </w:r>
          </w:p>
          <w:p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vysvětlilo, jak se vybírají navrhovaná opatření a jak se stanovují jejich priority, např. jak se váží různé faktory ovlivňující výběr (včetně analýzy nákladů a přínosů, účelnosti a změny klimatu) a zajistilo koordinaci s vnitrostátní strategií pro přizpůsobení se změně klimatu,</w:t>
            </w:r>
          </w:p>
          <w:p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plány pro zvládání povodňových rizik, oblasti s potenciálně významným povodňovým rizikem a mapy povodňových nebezpečí a povodňových rizik na sebe podle potřeby vzájemně odkazovaly a aby byly průběžně dostupné všem zúčastněným stranám i veřejnosti v přístupné formě, včetně digitální formy.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Švédsko (SE)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Švédsku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byly k dispozici normy kvality životního prostředí a aby tyto normy byly adekvátní pro všechny relevantní znečišťující látky specifické pro povodí,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učinilo pokrok v odůvodnění výjimek dalším doložením souvisejících posouzení s doplňujícími údaji a informacemi a snížením zbývajících nejistot, učinilo všechna potřebná opatření, aby pro další cyklus maximálně snížilo počet výjimek, a zajistilo tak včasné splnění cílů rámcové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zvážilo ve vhodných případech vypracování plánů pro zvládání sucha, zejména v oblastech povodí s lokálními projevy sucha.</w:t>
            </w:r>
          </w:p>
        </w:tc>
        <w:tc>
          <w:tcPr>
            <w:tcW w:w="6656" w:type="dxa"/>
          </w:tcPr>
          <w:p>
            <w:pPr>
              <w:ind w:left="34" w:hanging="34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Švédsku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uvedlo v plánech pro zvládání povodňových rizik konkrétní a měřitelné informace o opatřeních, včetně odhadovaných nákladů a financování; dále aby uvedlo informace o prioritách v jednotlivých opatřeních a metodách použitých pro stanovení priorit, </w:t>
            </w:r>
          </w:p>
          <w:p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lépe popsalo, jak byly v druhém cyklu zvažovány potenciální dopady změny klimatu, včetně koordinace s vnitrostátní strategií pro přizpůsobení se změně klimatu, </w:t>
            </w:r>
          </w:p>
          <w:p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posílilo koordinaci mezi plány pro zvládání povodňových rizik a plány povodí.</w:t>
            </w:r>
          </w:p>
          <w:p>
            <w:pPr>
              <w:ind w:left="738" w:hanging="738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Slovinsko (SI)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Slovinsku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pokračovalo ve zlepšování monitorování povrchových vod tak, že do něj zahrne všechny relevantní kvalitativní složky u všech kategorií vod, a dokončilo vypracování metod pro všechny relevantní biologické kvalitativní složky u všech kategorií vod,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jasně rozlišovalo mezi vymezením silně upravených vodních útvarů a uplatňováním výjimek; při používání výjimek podle čl. 4 odst. 7 vycházelo z důkladného posouzení všech kroků, jak to požaduje rámcová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realizaci opatření pro řešení hydromorfologických vlivů, v případě potřeby přezkoumáním povolení/koncesí a přidělením potřebných zdrojů.</w:t>
            </w:r>
          </w:p>
        </w:tc>
        <w:tc>
          <w:tcPr>
            <w:tcW w:w="6656" w:type="dxa"/>
          </w:tcPr>
          <w:p>
            <w:pPr>
              <w:ind w:left="34" w:hanging="34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Slovinsku doporučuje, aby zejména:</w:t>
            </w:r>
            <w:r>
              <w:rPr>
                <w:rFonts w:ascii="Times New Roman" w:hAnsi="Times New Roman"/>
                <w:noProof/>
                <w:sz w:val="24"/>
              </w:rPr>
              <w:tab/>
            </w:r>
          </w:p>
          <w:p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lépe vysvětlilo a zadokumentovalo postup vypracování cílů, vypracovalo konkrétní a měřitelné cíle, aby mohlo být zkontrolováno jejich splnění,</w:t>
            </w:r>
          </w:p>
          <w:p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 plánech pro zvládání povodňových rizik uvedlo a vysvětlilo výchozí stav pro realizaci opatření, který bude použit při monitorování pokroku, </w:t>
            </w:r>
          </w:p>
          <w:p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plány pro zvládání povodňových rizik, oblasti s potenciálně významným povodňovým rizikem a mapy povodňových nebezpečí a povodňových rizik na sebe podle potřeby vzájemně odkazovaly a aby byly průběžně dostupné všem zúčastněným stranám i veřejnosti v přístupné formě, včetně digitální formy, uvedlo v plánech pro zvládání povodňových rizik výsledky aktivního zapojení zúčastněných stran do vypracování plánu pro zvládání povodňových rizik a výsledky veřejných konzultací,</w:t>
            </w:r>
          </w:p>
          <w:p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koordinaci s vnitrostátní strategií pro přizpůsobení se změně klimatu.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Slovensko (SK)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Slovensku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stanovilo referenční podmínky pro všechny druhy kvalitativních složek, zejména pro hydromorfologické kvalitativní složky, a zlepšilo posouzení vlivů a dopadů,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dokončilo monitorovací rámec potřebný pro navržení účinných programů opatření,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upravilo změřené hodnoty prioritních látek nižší než mezní hodnoty kvantifikace způsobem stanoveným v článku 5 směrnice Komise 2009/90/ES,</w:t>
            </w:r>
          </w:p>
          <w:p>
            <w:pPr>
              <w:pStyle w:val="ListParagraph"/>
              <w:numPr>
                <w:ilvl w:val="0"/>
                <w:numId w:val="5"/>
              </w:numPr>
              <w:ind w:left="499" w:hanging="357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při používání výjimek podle čl. 4 odst. 7 vycházelo z důkladného posouzení všech kroků, jak to požaduje rámcová směrnice o vodě,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zajistilo, aby opatření uvedená u jednotlivých látek, které nevyhověly, postačovala na splnění cílů rámcové směrnice o vodě, zavedlo a jasně nahlásilo opatření na potlačení emisí prioritních nebezpečných látek.</w:t>
            </w:r>
          </w:p>
        </w:tc>
        <w:tc>
          <w:tcPr>
            <w:tcW w:w="6656" w:type="dxa"/>
          </w:tcPr>
          <w:p>
            <w:pPr>
              <w:ind w:firstLine="2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Slovensku doporučuje, aby zejména:</w:t>
            </w:r>
            <w:r>
              <w:rPr>
                <w:noProof/>
              </w:rPr>
              <w:tab/>
            </w:r>
          </w:p>
          <w:p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vypracovalo konkrétní a měřitelné cíle pro plány pro zvládání povodňových rizik, jakož i napojení na opatření, která budou ukazovat, jak budou splněny cíle plánů pro zvládání povodňových rizik prostřednictvím realizace těchto opatření; je třeba definovat výchozí stav,</w:t>
            </w:r>
          </w:p>
          <w:p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 plánech pro zvládání povodňových rizik uvedlo opatření jasněji,</w:t>
            </w:r>
          </w:p>
          <w:p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posílilo prezentaci veřejných konzultací a zapojení zúčastněných stran do plánu pro zvládání povodňových rizik.</w:t>
            </w:r>
          </w:p>
        </w:tc>
      </w:tr>
      <w:tr>
        <w:trPr>
          <w:trHeight w:val="315"/>
        </w:trPr>
        <w:tc>
          <w:tcPr>
            <w:tcW w:w="1101" w:type="dxa"/>
            <w:noWrap/>
            <w:hideMark/>
          </w:tcPr>
          <w:p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Spojené království (UK)</w:t>
            </w:r>
          </w:p>
        </w:tc>
        <w:tc>
          <w:tcPr>
            <w:tcW w:w="6418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2. plánů povodí se Spojenému království doporučuje, aby zejména: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zajistilo, aby při přípravě dalších plánů povodí proběhly řádné konzultace s veřejností při zohlednění účelu a složitosti těchto dokumentů,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řešilo velké nejistoty hlášené v souvislosti s posouzením stavu, vlivů a účinku potenciálních opatření na útvary podzemních vod, 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pokračovalo ve zlepšování odůvodnění uplatňování výjimek podle čl. 4 odst. 4 a čl. 4 odst. 5, aby byly ve všech plánech povodí transparentnější, a přehodnotilo zejména kritéria použitá pro odůvodnění výjimek podle čl. 4 odst. 5,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 všech oblastí povodí jasně uvedlo, do jaké míry přispějí ke splnění cílů podle rámcové směrnice o vodě základní opatření nebo doplňková opatření, a to z hlediska pokryté oblasti a zmírnění rizika znečištění; určilo zdroje financování pro usnadnění úspěšné realizace opatření ve všech oblastech povodí.</w:t>
            </w:r>
          </w:p>
        </w:tc>
        <w:tc>
          <w:tcPr>
            <w:tcW w:w="6656" w:type="dxa"/>
          </w:tcPr>
          <w:p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 základě zjištění vyplývajících z 1. plánů pro zvládání povodňových rizik se Spojenému království doporučuje, aby zejména:</w:t>
            </w:r>
          </w:p>
          <w:p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vypracovalo pokud možno měřitelné cíle plánů pro zvládání povodňových rizik, </w:t>
            </w:r>
          </w:p>
          <w:p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uvedlo metodiku posuzování opatření, pokud jde o náklady a přínosy, jakož i použití a výsledky této analýzy, a lépe zadokumentovalo stanovené priority opatření, včetně postupu,</w:t>
            </w:r>
          </w:p>
          <w:p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doplnilo do všech plánů pro zvládání povodňových rizik odhad nákladů na opatření a uvedlo vysvětlení, jak by nedostatečné financování mohlo ovlivnit realizaci těchto opatření,</w:t>
            </w:r>
          </w:p>
          <w:p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zajistilo systematickou koordinaci s vnitrostátní strategií pro přizpůsobení se změně klimatu.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E2D"/>
    <w:multiLevelType w:val="hybridMultilevel"/>
    <w:tmpl w:val="2D72C25A"/>
    <w:lvl w:ilvl="0" w:tplc="08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>
    <w:nsid w:val="0B9573DD"/>
    <w:multiLevelType w:val="hybridMultilevel"/>
    <w:tmpl w:val="7F8CB87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DEA0660"/>
    <w:multiLevelType w:val="hybridMultilevel"/>
    <w:tmpl w:val="5E462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92763"/>
    <w:multiLevelType w:val="hybridMultilevel"/>
    <w:tmpl w:val="8752D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C057C"/>
    <w:multiLevelType w:val="hybridMultilevel"/>
    <w:tmpl w:val="35C2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1C82"/>
    <w:multiLevelType w:val="hybridMultilevel"/>
    <w:tmpl w:val="BEE2979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5F34945"/>
    <w:multiLevelType w:val="hybridMultilevel"/>
    <w:tmpl w:val="3FF63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5C47BC"/>
    <w:multiLevelType w:val="hybridMultilevel"/>
    <w:tmpl w:val="6D167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4FFD"/>
    <w:multiLevelType w:val="hybridMultilevel"/>
    <w:tmpl w:val="ADC6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969DF"/>
    <w:multiLevelType w:val="hybridMultilevel"/>
    <w:tmpl w:val="A6C2DD1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288C4647"/>
    <w:multiLevelType w:val="multilevel"/>
    <w:tmpl w:val="B302FE6E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pStyle w:val="Bulletsub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1">
    <w:nsid w:val="2AE264AE"/>
    <w:multiLevelType w:val="hybridMultilevel"/>
    <w:tmpl w:val="49800F76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B021980"/>
    <w:multiLevelType w:val="hybridMultilevel"/>
    <w:tmpl w:val="D554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A635A"/>
    <w:multiLevelType w:val="hybridMultilevel"/>
    <w:tmpl w:val="6AEC4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2C1C14"/>
    <w:multiLevelType w:val="multilevel"/>
    <w:tmpl w:val="33B4CA7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5A0505"/>
    <w:multiLevelType w:val="hybridMultilevel"/>
    <w:tmpl w:val="6F56946E"/>
    <w:lvl w:ilvl="0" w:tplc="40324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AE4A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6B0E92"/>
    <w:multiLevelType w:val="hybridMultilevel"/>
    <w:tmpl w:val="6E18F8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88E4C1A"/>
    <w:multiLevelType w:val="hybridMultilevel"/>
    <w:tmpl w:val="7898E29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3D64749E"/>
    <w:multiLevelType w:val="hybridMultilevel"/>
    <w:tmpl w:val="D0E6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1945D0"/>
    <w:multiLevelType w:val="hybridMultilevel"/>
    <w:tmpl w:val="1F1C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14CB6"/>
    <w:multiLevelType w:val="hybridMultilevel"/>
    <w:tmpl w:val="408CCE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AF43FC2"/>
    <w:multiLevelType w:val="hybridMultilevel"/>
    <w:tmpl w:val="5F8CE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231848"/>
    <w:multiLevelType w:val="hybridMultilevel"/>
    <w:tmpl w:val="23721EB0"/>
    <w:lvl w:ilvl="0" w:tplc="080C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D0204F8"/>
    <w:multiLevelType w:val="hybridMultilevel"/>
    <w:tmpl w:val="B2284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B61C20"/>
    <w:multiLevelType w:val="hybridMultilevel"/>
    <w:tmpl w:val="5F2EE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B7D40"/>
    <w:multiLevelType w:val="hybridMultilevel"/>
    <w:tmpl w:val="E35E4F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486770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091D9B"/>
    <w:multiLevelType w:val="hybridMultilevel"/>
    <w:tmpl w:val="1B04B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0338A2"/>
    <w:multiLevelType w:val="hybridMultilevel"/>
    <w:tmpl w:val="E216284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5D89150F"/>
    <w:multiLevelType w:val="hybridMultilevel"/>
    <w:tmpl w:val="47620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313C3D"/>
    <w:multiLevelType w:val="hybridMultilevel"/>
    <w:tmpl w:val="7E02B19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5F4A5A24"/>
    <w:multiLevelType w:val="hybridMultilevel"/>
    <w:tmpl w:val="DDCA4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6C2864"/>
    <w:multiLevelType w:val="hybridMultilevel"/>
    <w:tmpl w:val="7D5CA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9E5501"/>
    <w:multiLevelType w:val="hybridMultilevel"/>
    <w:tmpl w:val="BA025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111AD9"/>
    <w:multiLevelType w:val="hybridMultilevel"/>
    <w:tmpl w:val="7A8E2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4A3A33"/>
    <w:multiLevelType w:val="hybridMultilevel"/>
    <w:tmpl w:val="FDA4470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8315B8"/>
    <w:multiLevelType w:val="hybridMultilevel"/>
    <w:tmpl w:val="CAD4A1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9342455"/>
    <w:multiLevelType w:val="hybridMultilevel"/>
    <w:tmpl w:val="289E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318C0"/>
    <w:multiLevelType w:val="hybridMultilevel"/>
    <w:tmpl w:val="526C4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246BB3"/>
    <w:multiLevelType w:val="hybridMultilevel"/>
    <w:tmpl w:val="F6523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2"/>
  </w:num>
  <w:num w:numId="4">
    <w:abstractNumId w:val="7"/>
  </w:num>
  <w:num w:numId="5">
    <w:abstractNumId w:val="25"/>
  </w:num>
  <w:num w:numId="6">
    <w:abstractNumId w:val="10"/>
  </w:num>
  <w:num w:numId="7">
    <w:abstractNumId w:val="11"/>
  </w:num>
  <w:num w:numId="8">
    <w:abstractNumId w:val="22"/>
  </w:num>
  <w:num w:numId="9">
    <w:abstractNumId w:val="12"/>
  </w:num>
  <w:num w:numId="10">
    <w:abstractNumId w:val="10"/>
  </w:num>
  <w:num w:numId="11">
    <w:abstractNumId w:val="15"/>
  </w:num>
  <w:num w:numId="12">
    <w:abstractNumId w:val="34"/>
  </w:num>
  <w:num w:numId="13">
    <w:abstractNumId w:val="20"/>
  </w:num>
  <w:num w:numId="14">
    <w:abstractNumId w:val="18"/>
  </w:num>
  <w:num w:numId="15">
    <w:abstractNumId w:val="19"/>
  </w:num>
  <w:num w:numId="16">
    <w:abstractNumId w:val="35"/>
  </w:num>
  <w:num w:numId="17">
    <w:abstractNumId w:val="30"/>
  </w:num>
  <w:num w:numId="18">
    <w:abstractNumId w:val="26"/>
  </w:num>
  <w:num w:numId="19">
    <w:abstractNumId w:val="4"/>
  </w:num>
  <w:num w:numId="20">
    <w:abstractNumId w:val="16"/>
  </w:num>
  <w:num w:numId="21">
    <w:abstractNumId w:val="31"/>
  </w:num>
  <w:num w:numId="22">
    <w:abstractNumId w:val="33"/>
  </w:num>
  <w:num w:numId="23">
    <w:abstractNumId w:val="21"/>
  </w:num>
  <w:num w:numId="24">
    <w:abstractNumId w:val="8"/>
  </w:num>
  <w:num w:numId="25">
    <w:abstractNumId w:val="24"/>
  </w:num>
  <w:num w:numId="26">
    <w:abstractNumId w:val="28"/>
  </w:num>
  <w:num w:numId="27">
    <w:abstractNumId w:val="2"/>
  </w:num>
  <w:num w:numId="28">
    <w:abstractNumId w:val="13"/>
  </w:num>
  <w:num w:numId="29">
    <w:abstractNumId w:val="29"/>
  </w:num>
  <w:num w:numId="30">
    <w:abstractNumId w:val="5"/>
  </w:num>
  <w:num w:numId="31">
    <w:abstractNumId w:val="3"/>
  </w:num>
  <w:num w:numId="32">
    <w:abstractNumId w:val="23"/>
  </w:num>
  <w:num w:numId="33">
    <w:abstractNumId w:val="1"/>
  </w:num>
  <w:num w:numId="34">
    <w:abstractNumId w:val="6"/>
  </w:num>
  <w:num w:numId="35">
    <w:abstractNumId w:val="27"/>
  </w:num>
  <w:num w:numId="36">
    <w:abstractNumId w:val="17"/>
  </w:num>
  <w:num w:numId="37">
    <w:abstractNumId w:val="9"/>
  </w:num>
  <w:num w:numId="38">
    <w:abstractNumId w:val="37"/>
  </w:num>
  <w:num w:numId="39">
    <w:abstractNumId w:val="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BDA3804-C1A6-45A1-9FB1-22174AFF8CE4"/>
    <w:docVar w:name="LW_COVERPAGE_TYPE" w:val="1"/>
    <w:docVar w:name="LW_CROSSREFERENCE" w:val="{SWD(2019) 30 final} - {SWD(2019) 31 final} - {SWD(2019) 32 final} - {SWD(2019) 33 final} - {SWD(2019) 34 final} - {SWD(2019) 35 final} - {SWD(2019) 36 final} - {SWD(2019) 37 final} - {SWD(2019) 38 final} - {SWD(2019) 39 final} - {SWD(2019) 40 final} - {SWD(2019) 41 final} - {SWD(2019) 42 final} - {SWD(2019) 43 final} - {SWD(2019) 44 final} - {SWD(2019) 45 final} - {SWD(2019) 46 final} - {SWD(2019) 47 final} - {SWD(2019) 48 final} - {SWD(2019) 49 final} - {SWD(2019) 50 final} - {SWD(2019) 51 final} - {SWD(2019) 52 final} - {SWD(2019) 53 final} - {SWD(2019) 54 final} - {SWD(2019) 55 final} - {SWD(2019) 56 final} - {SWD(2019) 57 final} - {SWD(2019) 58 final} - {SWD(2019) 59 final} - {SWD(2019) 60 final} - {SWD(2019) 61 final} - {SWD(2019) 62 final} - {SWD(2019) 63 final} - {SWD(2019) 64 final} - {SWD(2019) 65 final} - {SWD(2019) 66 final} - {SWD(2019) 67 final} - {SWD(2019) 68 final} - {SWD(2019) 69 final} - {SWD(2019) 70 final} - {SWD(2019) 71 final} - {SWD(2019) 72 final} - {SWD(2019) 73 final} - {SWD(2019) 74 final} - {SWD(2019) 75 final} - {SWD(2019) 76 final} - {SWD(2019) 77 final} - {SWD(2019) 78 final} - {SWD(2019) 79 final} - {SWD(2019) 80 final} - {SWD(2019) 81 final} - {SWD(2019) 82 final} - {SWD(2019) 83 final} - {SWD(2019) 84 final}"/>
    <w:docVar w:name="LW_DocType" w:val="NORMAL"/>
    <w:docVar w:name="LW_EMISSION" w:val="26.2.2019"/>
    <w:docVar w:name="LW_EMISSION_ISODATE" w:val="2019-02-26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o provád\u283?ní rámcové sm\u283?rnice o vod\u283? (2000/60/ES) a sm\u283?rnice o povod\u328?ových rizicích (2007/60/ES)_x000b__x000b_Druhé plány povodí_x000b_První plány pro zvládání povod\u328?ových rizik"/>
    <w:docVar w:name="LW_PART_NBR" w:val="1"/>
    <w:docVar w:name="LW_PART_NBR_TOTAL" w:val="1"/>
    <w:docVar w:name="LW_REF.INST.NEW" w:val="COM"/>
    <w:docVar w:name="LW_REF.INST.NEW_ADOPTED" w:val="final"/>
    <w:docVar w:name="LW_REF.INST.NEW_TEXT" w:val="(2019) 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ZPRÁV\u282? KOMISE EVROPSKÉMU PARLAMENTU A RAD\u28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1">
    <w:name w:val="Heading 1."/>
    <w:basedOn w:val="Normal"/>
    <w:link w:val="Heading1Char0"/>
    <w:qFormat/>
    <w:pPr>
      <w:keepNext/>
      <w:numPr>
        <w:numId w:val="1"/>
      </w:numPr>
      <w:tabs>
        <w:tab w:val="left" w:pos="850"/>
      </w:tabs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noProof/>
      <w:sz w:val="24"/>
      <w:szCs w:val="24"/>
    </w:rPr>
  </w:style>
  <w:style w:type="paragraph" w:customStyle="1" w:styleId="Heading2">
    <w:name w:val="Heading 2."/>
    <w:basedOn w:val="Normal"/>
    <w:link w:val="Heading2Char"/>
    <w:pPr>
      <w:keepNext/>
      <w:numPr>
        <w:ilvl w:val="1"/>
        <w:numId w:val="1"/>
      </w:numPr>
      <w:spacing w:before="120" w:after="120" w:line="240" w:lineRule="auto"/>
      <w:ind w:left="284" w:hanging="284"/>
      <w:jc w:val="both"/>
      <w:outlineLvl w:val="1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Heading1Char0">
    <w:name w:val="Heading 1. Char"/>
    <w:basedOn w:val="DefaultParagraphFont"/>
    <w:link w:val="Heading1"/>
    <w:rPr>
      <w:rFonts w:ascii="Times New Roman" w:eastAsia="Times New Roman" w:hAnsi="Times New Roman" w:cs="Times New Roman"/>
      <w:b/>
      <w:smallCaps/>
      <w:noProof/>
      <w:sz w:val="24"/>
      <w:szCs w:val="24"/>
    </w:rPr>
  </w:style>
  <w:style w:type="paragraph" w:customStyle="1" w:styleId="Heading20">
    <w:name w:val="Heading2"/>
    <w:basedOn w:val="Heading2"/>
    <w:link w:val="Heading2Char0"/>
    <w:qFormat/>
    <w:pPr>
      <w:ind w:left="567" w:hanging="567"/>
    </w:pPr>
  </w:style>
  <w:style w:type="character" w:customStyle="1" w:styleId="Heading2Char">
    <w:name w:val="Heading 2. Char"/>
    <w:basedOn w:val="DefaultParagraphFont"/>
    <w:link w:val="Heading2"/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Heading2Char0">
    <w:name w:val="Heading2 Char"/>
    <w:basedOn w:val="Heading2Char"/>
    <w:link w:val="Heading20"/>
    <w:rPr>
      <w:rFonts w:ascii="Times New Roman" w:eastAsia="Times New Roman" w:hAnsi="Times New Roman" w:cs="Times New Roman"/>
      <w:b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pPr>
      <w:numPr>
        <w:numId w:val="6"/>
      </w:numPr>
      <w:tabs>
        <w:tab w:val="clear" w:pos="567"/>
      </w:tabs>
      <w:spacing w:after="240" w:line="312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ub">
    <w:name w:val="Bullet sub"/>
    <w:basedOn w:val="Bullet"/>
    <w:qFormat/>
    <w:pPr>
      <w:numPr>
        <w:ilvl w:val="1"/>
      </w:numPr>
      <w:tabs>
        <w:tab w:val="clear" w:pos="709"/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ListParagraphChar">
    <w:name w:val="List Paragraph Char"/>
    <w:link w:val="ListParagraph"/>
    <w:uiPriority w:val="34"/>
    <w:locked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1">
    <w:name w:val="Heading 1."/>
    <w:basedOn w:val="Normal"/>
    <w:link w:val="Heading1Char0"/>
    <w:qFormat/>
    <w:pPr>
      <w:keepNext/>
      <w:numPr>
        <w:numId w:val="1"/>
      </w:numPr>
      <w:tabs>
        <w:tab w:val="left" w:pos="850"/>
      </w:tabs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noProof/>
      <w:sz w:val="24"/>
      <w:szCs w:val="24"/>
    </w:rPr>
  </w:style>
  <w:style w:type="paragraph" w:customStyle="1" w:styleId="Heading2">
    <w:name w:val="Heading 2."/>
    <w:basedOn w:val="Normal"/>
    <w:link w:val="Heading2Char"/>
    <w:pPr>
      <w:keepNext/>
      <w:numPr>
        <w:ilvl w:val="1"/>
        <w:numId w:val="1"/>
      </w:numPr>
      <w:spacing w:before="120" w:after="120" w:line="240" w:lineRule="auto"/>
      <w:ind w:left="284" w:hanging="284"/>
      <w:jc w:val="both"/>
      <w:outlineLvl w:val="1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Heading1Char0">
    <w:name w:val="Heading 1. Char"/>
    <w:basedOn w:val="DefaultParagraphFont"/>
    <w:link w:val="Heading1"/>
    <w:rPr>
      <w:rFonts w:ascii="Times New Roman" w:eastAsia="Times New Roman" w:hAnsi="Times New Roman" w:cs="Times New Roman"/>
      <w:b/>
      <w:smallCaps/>
      <w:noProof/>
      <w:sz w:val="24"/>
      <w:szCs w:val="24"/>
    </w:rPr>
  </w:style>
  <w:style w:type="paragraph" w:customStyle="1" w:styleId="Heading20">
    <w:name w:val="Heading2"/>
    <w:basedOn w:val="Heading2"/>
    <w:link w:val="Heading2Char0"/>
    <w:qFormat/>
    <w:pPr>
      <w:ind w:left="567" w:hanging="567"/>
    </w:pPr>
  </w:style>
  <w:style w:type="character" w:customStyle="1" w:styleId="Heading2Char">
    <w:name w:val="Heading 2. Char"/>
    <w:basedOn w:val="DefaultParagraphFont"/>
    <w:link w:val="Heading2"/>
    <w:rPr>
      <w:rFonts w:ascii="Times New Roman" w:eastAsia="Times New Roman" w:hAnsi="Times New Roman" w:cs="Times New Roman"/>
      <w:b/>
      <w:noProof/>
      <w:sz w:val="24"/>
      <w:szCs w:val="24"/>
    </w:rPr>
  </w:style>
  <w:style w:type="character" w:customStyle="1" w:styleId="Heading2Char0">
    <w:name w:val="Heading2 Char"/>
    <w:basedOn w:val="Heading2Char"/>
    <w:link w:val="Heading20"/>
    <w:rPr>
      <w:rFonts w:ascii="Times New Roman" w:eastAsia="Times New Roman" w:hAnsi="Times New Roman" w:cs="Times New Roman"/>
      <w:b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pPr>
      <w:numPr>
        <w:numId w:val="6"/>
      </w:numPr>
      <w:tabs>
        <w:tab w:val="clear" w:pos="567"/>
      </w:tabs>
      <w:spacing w:after="240" w:line="312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ub">
    <w:name w:val="Bullet sub"/>
    <w:basedOn w:val="Bullet"/>
    <w:qFormat/>
    <w:pPr>
      <w:numPr>
        <w:ilvl w:val="1"/>
      </w:numPr>
      <w:tabs>
        <w:tab w:val="clear" w:pos="709"/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ListParagraphChar">
    <w:name w:val="List Paragraph Char"/>
    <w:link w:val="ListParagraph"/>
    <w:uiPriority w:val="34"/>
    <w:locked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F9D9AD-044D-474F-B321-D599DD7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5688</Words>
  <Characters>35557</Characters>
  <Application>Microsoft Office Word</Application>
  <DocSecurity>0</DocSecurity>
  <Lines>935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2019-02-13T14:12:00Z</dcterms:created>
  <dcterms:modified xsi:type="dcterms:W3CDTF">2019-02-22T15:20:00Z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reated using">
    <vt:lpwstr>LW 6.0.1, Build 20180503</vt:lpwstr>
  </property>
</Properties>
</file>