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78FAC64E-556B-4317-A7BA-51238FFC2EE7" style="width:450.8pt;height:693.65pt">
            <v:imagedata r:id="rId9" o:title=""/>
          </v:shape>
        </w:pict>
      </w:r>
    </w:p>
    <w:bookmarkEnd w:id="0"/>
    <w:p>
      <w:pPr>
        <w:jc w:val="both"/>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ΠΑΡΑΡΤΗΜΑ</w:t>
      </w:r>
      <w:r>
        <w:rPr>
          <w:noProof/>
        </w:rPr>
        <w:br/>
      </w:r>
    </w:p>
    <w:p>
      <w:pPr>
        <w:pStyle w:val="Accompagnant"/>
        <w:rPr>
          <w:noProof/>
        </w:rPr>
      </w:pPr>
      <w:r>
        <w:rPr>
          <w:noProof/>
        </w:rPr>
        <w:t>της</w:t>
      </w:r>
    </w:p>
    <w:p>
      <w:pPr>
        <w:pStyle w:val="Typeacteprincipal"/>
        <w:rPr>
          <w:noProof/>
        </w:rPr>
      </w:pPr>
      <w:r>
        <w:rPr>
          <w:noProof/>
        </w:rPr>
        <w:t>ΕΚΘΕΣΗΣ ΤΗΣ ΕΠΙΤΡΟΠΗΣ ΠΡΟΣ ΤΟ ΕΥΡΩΠΑΪΚΟ ΚΟΙΝΟΒΟΥΛΙΟ ΚΑΙ ΤΟ ΣΥΜΒΟΥΛΙΟ</w:t>
      </w:r>
    </w:p>
    <w:p>
      <w:pPr>
        <w:pStyle w:val="Objetacteprincipal"/>
        <w:rPr>
          <w:noProof/>
        </w:rPr>
      </w:pPr>
      <w:r>
        <w:rPr>
          <w:noProof/>
        </w:rPr>
        <w:t>σχετικά με την εφαρμογή της οδηγίας-πλαισίου για τα ύδατα (2000/60/ΕΚ) και της οδηγίας για τις πλημμύρες (2007/60/ΕΚ)</w:t>
      </w:r>
      <w:r>
        <w:rPr>
          <w:noProof/>
        </w:rPr>
        <w:br/>
      </w:r>
      <w:r>
        <w:rPr>
          <w:noProof/>
        </w:rPr>
        <w:br/>
        <w:t xml:space="preserve">Δεύτερα σχέδια διαχείρισης λεκάνης απορροής ποταμού </w:t>
      </w:r>
      <w:r>
        <w:rPr>
          <w:noProof/>
        </w:rPr>
        <w:br/>
        <w:t xml:space="preserve">Πρώτα σχέδια διαχείρισης κινδύνων πλημμύρας </w:t>
      </w:r>
    </w:p>
    <w:p>
      <w:pPr>
        <w:jc w:val="both"/>
        <w:rPr>
          <w:rFonts w:ascii="Times New Roman" w:hAnsi="Times New Roman" w:cs="Times New Roman"/>
          <w:b/>
          <w:bCs/>
          <w:noProof/>
          <w:sz w:val="24"/>
          <w:szCs w:val="24"/>
          <w:u w:val="single"/>
        </w:rPr>
      </w:pPr>
      <w:r>
        <w:rPr>
          <w:rFonts w:ascii="Times New Roman" w:hAnsi="Times New Roman"/>
          <w:b/>
          <w:noProof/>
          <w:sz w:val="24"/>
          <w:u w:val="single"/>
        </w:rPr>
        <w:t>Συστάσεις της Επιτροπής σχετικά με τα δεύτερα σχέδια διαχείρισης λεκάνης απορροής ποταμού (ΣΔΛΑΠ) και τα πρώτα σχέδια διαχείρισης των κινδύνων πλημμύρας (ΣΔΚΠ)</w:t>
      </w:r>
    </w:p>
    <w:p>
      <w:pPr>
        <w:jc w:val="both"/>
        <w:rPr>
          <w:rFonts w:ascii="Times New Roman" w:hAnsi="Times New Roman" w:cs="Times New Roman"/>
          <w:bCs/>
          <w:noProof/>
          <w:sz w:val="24"/>
          <w:szCs w:val="24"/>
          <w:u w:val="single"/>
        </w:rPr>
      </w:pPr>
      <w:r>
        <w:rPr>
          <w:rFonts w:ascii="Times New Roman" w:hAnsi="Times New Roman"/>
          <w:noProof/>
          <w:sz w:val="24"/>
          <w:u w:val="single"/>
        </w:rPr>
        <w:t>[</w:t>
      </w:r>
      <w:r>
        <w:rPr>
          <w:rFonts w:ascii="Times New Roman" w:hAnsi="Times New Roman"/>
          <w:i/>
          <w:noProof/>
          <w:sz w:val="24"/>
          <w:u w:val="single"/>
        </w:rPr>
        <w:t>Οι πλήρεις κατάλογοι συστάσεων περιλαμβάνονται στις εθνικές αξιολογήσεις που συνοδεύουν το παρόν έγγραφο</w:t>
      </w:r>
      <w:r>
        <w:rPr>
          <w:rFonts w:ascii="Times New Roman" w:hAnsi="Times New Roman"/>
          <w:noProof/>
          <w:sz w:val="24"/>
          <w:u w:val="single"/>
        </w:rPr>
        <w:t>]</w:t>
      </w:r>
    </w:p>
    <w:tbl>
      <w:tblPr>
        <w:tblStyle w:val="TableGrid"/>
        <w:tblW w:w="14175" w:type="dxa"/>
        <w:tblLook w:val="04A0" w:firstRow="1" w:lastRow="0" w:firstColumn="1" w:lastColumn="0" w:noHBand="0" w:noVBand="1"/>
      </w:tblPr>
      <w:tblGrid>
        <w:gridCol w:w="1710"/>
        <w:gridCol w:w="6142"/>
        <w:gridCol w:w="6323"/>
      </w:tblGrid>
      <w:tr>
        <w:tc>
          <w:tcPr>
            <w:tcW w:w="1101" w:type="dxa"/>
          </w:tcPr>
          <w:p>
            <w:pPr>
              <w:jc w:val="both"/>
              <w:rPr>
                <w:rFonts w:ascii="Times New Roman" w:hAnsi="Times New Roman" w:cs="Times New Roman"/>
                <w:b/>
                <w:bCs/>
                <w:noProof/>
                <w:sz w:val="24"/>
                <w:szCs w:val="24"/>
              </w:rPr>
            </w:pPr>
            <w:r>
              <w:rPr>
                <w:rFonts w:ascii="Times New Roman" w:hAnsi="Times New Roman"/>
                <w:b/>
                <w:noProof/>
                <w:sz w:val="24"/>
              </w:rPr>
              <w:t>Κράτος μέλος</w:t>
            </w:r>
          </w:p>
        </w:tc>
        <w:tc>
          <w:tcPr>
            <w:tcW w:w="6418" w:type="dxa"/>
          </w:tcPr>
          <w:p>
            <w:pPr>
              <w:jc w:val="both"/>
              <w:rPr>
                <w:rFonts w:ascii="Times New Roman" w:hAnsi="Times New Roman" w:cs="Times New Roman"/>
                <w:b/>
                <w:bCs/>
                <w:noProof/>
                <w:sz w:val="24"/>
                <w:szCs w:val="24"/>
              </w:rPr>
            </w:pPr>
            <w:r>
              <w:rPr>
                <w:rFonts w:ascii="Times New Roman" w:hAnsi="Times New Roman"/>
                <w:b/>
                <w:noProof/>
                <w:sz w:val="24"/>
              </w:rPr>
              <w:t>Συστάσεις για την κατάρτιση των 3ων ΣΔΛΑΠ</w:t>
            </w:r>
          </w:p>
        </w:tc>
        <w:tc>
          <w:tcPr>
            <w:tcW w:w="6656" w:type="dxa"/>
          </w:tcPr>
          <w:p>
            <w:pPr>
              <w:jc w:val="both"/>
              <w:rPr>
                <w:rFonts w:ascii="Times New Roman" w:hAnsi="Times New Roman" w:cs="Times New Roman"/>
                <w:b/>
                <w:bCs/>
                <w:noProof/>
                <w:sz w:val="24"/>
                <w:szCs w:val="24"/>
              </w:rPr>
            </w:pPr>
            <w:r>
              <w:rPr>
                <w:rFonts w:ascii="Times New Roman" w:hAnsi="Times New Roman"/>
                <w:b/>
                <w:noProof/>
                <w:sz w:val="24"/>
              </w:rPr>
              <w:t>Συστάσεις για την κατάρτιση των 2ων ΣΔΚΠ</w:t>
            </w: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Αυστρία (AT)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2α ΣΔΛΑΠ, συνιστάται ιδιαίτερα στην Αυστρία: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την έγκαιρη έγκριση των 3ων ΣΔΛΑΠ.</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διασφαλίσει τη συνέχεια, την αποτελεσματικότητα και την κατάλληλη χρηματοδότηση για την εφαρμογή των μέτρων που απαιτούνται για την έγκαιρη επίτευξη των στόχων της ΟΠΥ. Να εστιάσει ιδιαιτέρως στα μέτρα που αποσκοπούν στη μείωση της σημαντικής ποσότητας υδρομορφολογικών πιέσεων.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επιδείξει φιλοδοξία και ρεαλισμό στην αντιμετώπιση της χημικής ρύπανσης, εγκαταλείποντας τα απλά μέτρα συγκέντρωσης γνώσεων.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pStyle w:val="ListParagraph"/>
              <w:ind w:left="451"/>
              <w:jc w:val="both"/>
              <w:rPr>
                <w:noProof/>
                <w:highlight w:val="lightGray"/>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Αυστρία: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καταρτίσει μετρήσιμους στόχους για τα ΣΔΚΠ και να συνδέσει τα προτεινόμενα μέτρα, ώστε να είναι σε θέση να εκτιμήσει την πρόοδο που σημειώθηκε.</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σχεδιάσει μια λεπτομερέστερη μεθοδολογία για την αξιολόγηση της συνολικής σχέσης κόστους-αποτελεσματικότητας των προτεινόμενων μέτρων, παρέχοντας παράλληλα περισσότερες πληροφορίες σχετικά με το κόστος και τις σχετικές πηγές χρηματοδότησης.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τις κατάλληλες παραπομπές μεταξύ των ΣΔΚΠ, των προκαταρκτικών αξιολογήσεων των κινδύνων πλημμύρας/των περιοχών όπου υφίσταται ή ότι κρίνεται πιθανό να παρουσιασθεί δυνητικός σοβαρός κίνδυνος πλημμύρας και των χαρτών επικινδυνότητας πλημμύρας και κινδύνων πλημμύρας, διασφαλίζοντας παράλληλα ότι είναι συνεχώς διαθέσιμα σε όλα τα ενδιαφερόμενα μέρη και το κοινό σε προσιτή μορφή, μεταξύ άλλων και σε ψηφιακή.</w:t>
            </w:r>
          </w:p>
          <w:p>
            <w:pPr>
              <w:jc w:val="both"/>
              <w:rPr>
                <w:rFonts w:ascii="Times New Roman" w:hAnsi="Times New Roman" w:cs="Times New Roman"/>
                <w:bCs/>
                <w:noProof/>
                <w:sz w:val="24"/>
                <w:szCs w:val="24"/>
              </w:rPr>
            </w:pPr>
          </w:p>
        </w:tc>
      </w:tr>
      <w:tr>
        <w:trPr>
          <w:trHeight w:val="1468"/>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Βέλγιο (BE)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2α ΣΔΛΑΠ, συνιστάται ιδιαίτερα στο Βέλγιο: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καθορίσει σαφείς οικονομικές δεσμεύσεις για την εφαρμογή των προγραμμάτων μέτρων.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συντονίσει τη στρατηγική του για την επίτευξη των στόχων της ΟΠΥ και να βελτιώσει την τεχνική σκοπιμότητα των επόμενων ΣΔΛΑΠ, σε στενή συνεργασία με την αγροτική κοινότητα και τις αρμόδιες αρχές για την εθνική εφαρμογή της ΚΓΠ, καθώς και με την εξασφάλιση μεγαλύτερων συνεργειών μεταξύ των στόχων της ΟΠΥ και όλων των συναφών πολιτικών και μέσων (όπως π.χ. τα ΠΑΑ, ο 1ος πυλώνας της ΚΓΠ, η οδηγία για τη νιτρορύπανση κ.λπ.) όπως εφαρμόζονται σε εθνικό επίπεδο.</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επιδείξει φιλοδοξία και ρεαλισμό σε σχέση με την αντιμετώπιση της χημικής ρύπανσης, αναπτύσσοντας μια πιο συγκεκριμένη προσέγγιση για συγκεκριμένες ουσίες τόσο στα επιφανειακά όσο και στα υπόγεια ύδατα, με έμφαση στις ουσίες προτεραιότητας, στους ρύπους που σχετίζονται με τους ποταμούς και τα υπόγεια ύδατα.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εκπονήσει, κατά περίπτωση και με βάση μια σαφώς καθορισμένη μεθοδολογία, ανάλυση κόστους-οφέλους για τα προτεινόμενα μέτρα και να εξηγήσει με ποιον τρόπο οδηγήθηκε στην επιλογή και την ιεράρχηση των συγκεκριμένων μέτρων.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pStyle w:val="ListParagraph"/>
              <w:ind w:left="502"/>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στο Βέλγιο:</w:t>
            </w:r>
          </w:p>
          <w:p>
            <w:pPr>
              <w:pStyle w:val="ListParagraph"/>
              <w:numPr>
                <w:ilvl w:val="0"/>
                <w:numId w:val="5"/>
              </w:numPr>
              <w:ind w:left="499" w:hanging="357"/>
              <w:jc w:val="both"/>
              <w:rPr>
                <w:rFonts w:ascii="Times New Roman" w:hAnsi="Times New Roman" w:cs="Times New Roman"/>
                <w:noProof/>
                <w:sz w:val="24"/>
                <w:szCs w:val="24"/>
              </w:rPr>
            </w:pPr>
            <w:r>
              <w:rPr>
                <w:rFonts w:ascii="Times New Roman" w:hAnsi="Times New Roman"/>
                <w:noProof/>
                <w:sz w:val="24"/>
              </w:rPr>
              <w:t>Να παρέχει μια πιο λεπτομερή περιγραφή των αναμενόμενων επιπτώσεων της κλιματικής αλλαγής στην επέλευση φαινομένων πλημμύρας, βάσει των διαθέσιμων μελετών.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παρέχει μια επισκόπηση του κόστους των μέτρων και των αναμενόμενων πηγών χρηματοδότησης. </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Να ενσωματώσει την ανάλυση κόστους-οφέλους (π.χ. για την ιεράρχηση των μέτρων που προσφέρονται για τον συγκεκριμένο σκοπό) στα ΣΔΚΠ και να παρέχει σαφή περιγραφή της χρησιμοποιούμενης μεθοδολογίας.</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p>
            <w:pPr>
              <w:jc w:val="both"/>
              <w:rPr>
                <w:rFonts w:ascii="Times New Roman" w:hAnsi="Times New Roman" w:cs="Times New Roman"/>
                <w:bCs/>
                <w:noProof/>
                <w:sz w:val="24"/>
                <w:szCs w:val="24"/>
              </w:rPr>
            </w:pPr>
          </w:p>
        </w:tc>
      </w:tr>
      <w:tr>
        <w:trPr>
          <w:trHeight w:val="1444"/>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Βουλγαρία (BG)</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2α ΣΔΛΑΠ, συνιστάται ιδιαίτερα στη Βουλγαρία: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περαιτέρω τη διεθνή συνεργασία, με την ανάπτυξη πιο εναρμονισμένων προσεγγίσεων για την αξιολόγηση της κατάστασης των κοινών υδατικών συστημάτων και να υποβάλει καλύτερα συντονισμένες αξιολογήσεις και προγράμματα μέτρων για την εξασφάλιση της έγκαιρης επίτευξης των στόχων της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τις δικές της δυνατότητες παρακολούθησης με στόχο να μειώσει την εξάρτησή της από την κρίση εμπειρογνωμόνων για την αξιολόγηση της οικολογικής κατάστασης/δυναμικού των υδατικών συστημάτων της.</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στηρίξει τη χρήση των εξαιρέσεων βάσει του άρθρου 4 παράγραφος 7 σε μια εμπεριστατωμένη αξιολόγηση όλων των βημάτων όπως απαιτείται από την ΟΠΥ και να υποδείξει με διαφάνεια σε όλες τις ΠΛΠ, τις αιτιολογήσεις για την επίκληση των εξαιρέσεων βάσει του άρθρου 4 παράγραφος 7 της ΟΠΥ.</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διασφαλίσει καλύτερη συμμόρφωση, ιδίως στις μεγάλες πόλεις, με το άρθρο 5 της οδηγίας για την επεξεργασία των αστικών λυμάτων, σε σχέση με την απαίτηση αυστηρότερης επεξεργασίας των λυμάτων για απόρριψη σε ευαίσθητες περιοχές.</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παρέχει μια ολοκληρωμένη αξιολόγηση ελλείψεων για τα διάχυτα φορτία ρύπων από τη γεωργία (θρεπτικές ουσίες, αγροχημικά προϊόντα, ιζήματα, οργανική ύλη) σε όλα τα ύδατα σε όλες τις ΠΛΠ και να τις συνδέσει άμεσα με τα προτεινόμενα μετριαστικά μέτρα (σύμφωνα με το άρθρο 11 παράγραφος 3 στοιχείο η) της ΟΠΥ. Τα συγκεκριμένα μέτρα θα πρέπει να είναι συγκεκριμένα, να διαθέτουν σαφή νομική βάση και να περιλαμβάνουν κατάλληλα καθεστώτα παρακολούθησης και επιθεώρησης.</w:t>
            </w:r>
          </w:p>
          <w:p>
            <w:pPr>
              <w:pStyle w:val="ListParagraph"/>
              <w:numPr>
                <w:ilvl w:val="0"/>
                <w:numId w:val="5"/>
              </w:numPr>
              <w:jc w:val="both"/>
              <w:rPr>
                <w:rFonts w:ascii="Times New Roman" w:hAnsi="Times New Roman" w:cs="Times New Roman"/>
                <w:bCs/>
                <w:noProof/>
                <w:sz w:val="24"/>
                <w:szCs w:val="24"/>
              </w:rPr>
            </w:pPr>
            <w:bookmarkStart w:id="2" w:name="OLE_LINK1"/>
            <w:r>
              <w:rPr>
                <w:rFonts w:ascii="Times New Roman" w:hAnsi="Times New Roman"/>
                <w:noProof/>
                <w:sz w:val="24"/>
              </w:rPr>
              <w:t>Να διασφαλίσει ότι γίνεται σαφής διάκριση μεταξύ της λειψυδρίας και της ξηρασίας στην πολιτική για τα ύδατα και ότι θεσπίζεται ένα σχέδιο διαχείρισης της ξηρασίας</w:t>
            </w:r>
            <w:r>
              <w:rPr>
                <w:noProof/>
              </w:rPr>
              <w:t xml:space="preserve"> </w:t>
            </w:r>
            <w:r>
              <w:rPr>
                <w:rFonts w:ascii="Times New Roman" w:hAnsi="Times New Roman"/>
                <w:noProof/>
                <w:sz w:val="24"/>
              </w:rPr>
              <w:t>ή ένα σχέδιο κατανομής και διαχείρισης των υδάτινων πόρων.</w:t>
            </w:r>
            <w:bookmarkEnd w:id="2"/>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1α ΣΔΚΠ, συνιστάται ιδιαίτερα στη Βουλγαρία: </w:t>
            </w:r>
          </w:p>
          <w:p>
            <w:pPr>
              <w:pStyle w:val="ListParagraph"/>
              <w:numPr>
                <w:ilvl w:val="0"/>
                <w:numId w:val="17"/>
              </w:numPr>
              <w:jc w:val="both"/>
              <w:rPr>
                <w:rFonts w:ascii="Times New Roman" w:hAnsi="Times New Roman" w:cs="Times New Roman"/>
                <w:bCs/>
                <w:noProof/>
                <w:sz w:val="24"/>
                <w:szCs w:val="24"/>
              </w:rPr>
            </w:pPr>
            <w:r>
              <w:rPr>
                <w:rFonts w:ascii="Times New Roman" w:hAnsi="Times New Roman"/>
                <w:noProof/>
                <w:sz w:val="24"/>
              </w:rPr>
              <w:t>Να βελτιώσει τον καθορισμό στόχων και μέτρων με σαφή ένδειξη του χρονοδιαγράμματος για την επίτευξη και την εφαρμογή τους.</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Να παρέχει μια πιο λεπτομερή περιγραφή των αναμενόμενων επιπτώσεων της κλιματικής αλλαγής στην επέλευση φαινομένων πλημμύρας και να διασφαλίσει τον συντονισμό με την εθνική στρατηγική προσαρμογής στην κλιματική αλλαγή μετά την έγκρισή τους.</w:t>
            </w:r>
          </w:p>
          <w:p>
            <w:pPr>
              <w:pStyle w:val="ListParagraph"/>
              <w:numPr>
                <w:ilvl w:val="0"/>
                <w:numId w:val="18"/>
              </w:numPr>
              <w:jc w:val="both"/>
              <w:rPr>
                <w:rFonts w:ascii="Times New Roman" w:hAnsi="Times New Roman" w:cs="Times New Roman"/>
                <w:bCs/>
                <w:noProof/>
                <w:sz w:val="24"/>
                <w:szCs w:val="24"/>
              </w:rPr>
            </w:pPr>
            <w:r>
              <w:rPr>
                <w:rFonts w:ascii="Times New Roman" w:hAnsi="Times New Roman"/>
                <w:noProof/>
                <w:sz w:val="24"/>
              </w:rPr>
              <w:t>Να εκπονήσει, κατά περίπτωση και με βάση μια σαφώς καθορισμένη μεθοδολογία, ανάλυση κόστους-οφέλους για τα προτεινόμενα μέτρα και να εξηγήσει με ποιον τρόπο οδηγήθηκε στην επιλογή και την ιεράρχηση των συγκεκριμένων μέτρων.</w:t>
            </w:r>
          </w:p>
          <w:p>
            <w:pPr>
              <w:ind w:left="596" w:hanging="596"/>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Κύπρος (CY)</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2α ΣΔΛΑΠ, συνιστάται ιδιαίτερα στην Κύπρο: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βελτιώσει περαιτέρω την ικανότητά της να αξιολογεί την κατάσταση όλων των κατηγοριών ύδατος (συμπεριλαμβανομένων των χωρικών υδάτων), με στόχο τη μείωση του ποσοστού των υδάτων άγνωστης κατάστασης και την εξασφάλιση καλύτερης εκτίμησης όσον αφορά την παρουσία τυχόν ουσιών προτεραιότητας.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παρακολουθεί τα υδατικά συστήματά της με τρόπο που να παρέχει επαρκή χρονική ανάλυση και χωρική κάλυψη για την ταξινόμησή τους στο σύνολό τους (ενδεχομένως σε συνδυασμό με ισχυρές μεθόδους ομαδοποίησης/παρέκτασης).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τη χρήση μέτρησης (ειδικά για τη γεωργία) για τον καλύτερο προσδιορισμό της ποσοτικής κατάστασης των υδατικών συστημάτων και τη μείωση της υπεράντλησης των υπόγειων υδάτων, κυρίως λόγω των παράνομων αντλήσεων και των αδειών που δεν είναι επαρκώς ευθυγραμμισμένες με τις περιβαλλοντικές απαιτήσεις.</w:t>
            </w:r>
          </w:p>
          <w:p>
            <w:pPr>
              <w:pStyle w:val="ListParagraph"/>
              <w:ind w:left="502"/>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 xml:space="preserve">Με βάση τα πορίσματα που προέκυψαν από τα 1α ΣΔΚΠ, συνιστάται ιδιαίτερα στην Κύπρο: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 xml:space="preserve">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 xml:space="preserve">Να καθιερώσει βασικούς και σχετικούς δείκτες για την αξιολόγηση της προόδου που επιτεύχθηκε κατά την εφαρμογή των προτεινόμενων μέτρων. </w:t>
            </w:r>
          </w:p>
          <w:p>
            <w:pPr>
              <w:pStyle w:val="ListParagraph"/>
              <w:numPr>
                <w:ilvl w:val="0"/>
                <w:numId w:val="20"/>
              </w:numPr>
              <w:jc w:val="both"/>
              <w:rPr>
                <w:rFonts w:ascii="Times New Roman" w:hAnsi="Times New Roman" w:cs="Times New Roman"/>
                <w:bCs/>
                <w:noProof/>
                <w:sz w:val="24"/>
                <w:szCs w:val="24"/>
              </w:rPr>
            </w:pPr>
            <w:r>
              <w:rPr>
                <w:rFonts w:ascii="Times New Roman" w:hAnsi="Times New Roman"/>
                <w:noProof/>
                <w:sz w:val="24"/>
              </w:rPr>
              <w:t>Να εξετάζει συστηματικά τις ευκαιρίες εφαρμογής λύσεων με γνώμονα τη φύση (συμπεριλαμβανομένων μέτρων φυσικής συγκράτησης των υδάτων), ως εναλλακτικές λύσεις, όπου είναι δυνατόν, στη βυθοκόρηση και τις τροποποιήσεις «γκρίζας υποδομής» στις όχθες και τον πυθμένα των ποταμών.</w:t>
            </w:r>
          </w:p>
        </w:tc>
      </w:tr>
      <w:tr>
        <w:trPr>
          <w:trHeight w:val="1275"/>
        </w:trPr>
        <w:tc>
          <w:tcPr>
            <w:tcW w:w="1101" w:type="dxa"/>
            <w:noWrap/>
            <w:hideMark/>
          </w:tcPr>
          <w:p>
            <w:pPr>
              <w:tabs>
                <w:tab w:val="right" w:pos="1735"/>
              </w:tabs>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Τσεχική Δημοκρατία (CZ)</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Τσεχική Δημοκρατία: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καλύτερη παρακολούθηση, ιδίως σε επαρκή αριθμό υδατικών συστημάτων και κατάλληλη κάλυψη όλων των συναφών ποιοτικών στοιχείων. Η λειτουργική παρακολούθηση των λιμνών θα πρέπει να βελτιωθεί και να συνδεθεί καλύτερα με την ανάλυση των πιέσεων και των επιπτώσεων. Τα στοιχεία υδρομορφολογικής ποιότητας θα πρέπει να παρακολουθούνται σε όλες τις κατηγορίες υδάτων.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την αξιοπιστία της εκτίμησης της οικολογικής κατάστασης/δυναμικού και, ειδικότερα, να βελτιώσει τις μεθόδους εκτίμησης των υδρομορφολογικών στοιχείων και να συνδέσει τα φυσικοχημικά όρια με τα σχετικά βιολογικά στοιχεία ποιότητας των ποταμών.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παρέχει καλύτερη αιτιολόγηση για τη χρήση των εξαιρέσεων του άρθρου 4 παράγραφος 4 και του άρθρου 4 παράγραφος 5· κάνοντας σαφή διάκριση μεταξύ τους. Αυτό είναι ιδιαίτερα σημαντικό καθώς ένας σημαντικός αριθμός υδατικών συστημάτων αναμένεται να επιτύχει τους στόχους της ΟΠΥ μόνο μετά το 2027 και οι εξαιρέσεις εφαρμόζονται ευρέως.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ποσοτικοποιήσει τη μείωση των φορτίων ρύπων που απαιτείται για την επίτευξη των στόχων της ΟΠΥ· την επίδραση των μετριαστικών μέτρων σε ολόκληρη τη λεκάνη σε σχέση με τις πηγές ρύπανσης των υδάτινων πόρων και τον βαθμό στον οποίο συνεισφέρουν τα μέτρα που έχουν ήδη ληφθεί στο πλαίσιο της οδηγίας για τη νιτρορύπανση και της οδηγίας για την επεξεργασία των αστικών λυμάτων και να προσδιορίσει τα πρόσθετα μέτρα που θα πρέπει να ληφθούν για την επίτευξη των στόχων.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jc w:val="both"/>
              <w:rPr>
                <w:noProof/>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Τσεχική Δημοκρατία:</w:t>
            </w:r>
            <w:r>
              <w:rPr>
                <w:noProof/>
              </w:rPr>
              <w:tab/>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Να καταρτίσει μετρήσιμους στόχους για τα ΣΔΚΠ και να συνδέσει τα προτεινόμενα μέτρα, ώστε να είναι σε θέση να εκτιμήσει την πρόοδο που σημειώθηκε.</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 xml:space="preserve">Να παρέχει μια εκτίμηση του κόστους για κάθε μέτρο και έναν συνολικό προϋπολογισμό για όλα τα μέτρα, υποδεικνύοντας κατά πόσο καλύπτει τόσο το επενδυτικό όσο και το λειτουργικό κόστος. </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Να περιγράψει τη μέθοδο για την ιεράρχηση των μέτρων και να παρέχει σαφείς πληροφορίες σχετικά με τις μεθόδους που χρησιμοποιούνται για την εκτίμηση του κόστους και των οφελών των μέτρων.</w:t>
            </w:r>
          </w:p>
          <w:p>
            <w:pPr>
              <w:pStyle w:val="ListParagraph"/>
              <w:numPr>
                <w:ilvl w:val="0"/>
                <w:numId w:val="21"/>
              </w:numPr>
              <w:jc w:val="both"/>
              <w:rPr>
                <w:rFonts w:ascii="Times New Roman" w:hAnsi="Times New Roman" w:cs="Times New Roman"/>
                <w:bCs/>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Γερμανία (DE)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Γερμανία: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την παρακολούθηση τάσεων για όλες τις σχετικές ουσίες σε όλα τα ΠΛΠ , κατά τρόπο που να εξασφαλίζει επαρκή χρονική ανάλυση και χωρική κάλυψη.</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αποσαφηνίσει καλύτερα την εφαρμογή των εξαιρέσεων σύμφωνα με το άρθρο 4 παράγραφος 4 και το άρθρο 4 παράγραφος 5, ιδίως την αιτιολόγηση του δυσανάλογου κόστους.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καταρτίσει μια ολοκληρωμένη αξιολόγηση ελλείψεων για τα διάχυτα φορτία ρύπων από τη γεωργία σε όλα τα ύδατα σε όλες τις ΠΛΠ και να τη συνδέσει απευθείας με τα μετριαστικά μέτρα.</w:t>
            </w:r>
            <w:r>
              <w:rPr>
                <w:noProof/>
              </w:rPr>
              <w:t xml:space="preserve"> </w:t>
            </w:r>
            <w:r>
              <w:rPr>
                <w:rFonts w:ascii="Times New Roman" w:hAnsi="Times New Roman"/>
                <w:noProof/>
                <w:sz w:val="24"/>
              </w:rPr>
              <w:t>Απαιτούνται πρόσθετες ενέργειες για την πρόληψη της ρύπανσης που οφείλεται στα νιτρικά άλατα από τις γεωργικές πιέσεις.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εξετάσει την κατάρτιση σχεδίων διαχείρισης της ξηρασίας για περιοχές που κινδυνεύουν περισσότερο από ξηρασία.</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Γερμανία:</w:t>
            </w:r>
            <w:r>
              <w:rPr>
                <w:noProof/>
              </w:rPr>
              <w:tab/>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 xml:space="preserve">Να θέσει μετρήσιμους στόχους (χρονοδιάγραμμα, δείκτες) και να καθορίσει σαφή κριτήρια για τις σημαντικές δυσμενείς επιπτώσεις των πλημμυρών.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Να προσδιορίσει λεπτομερέστερα τα μέτρα στα σχέδια, συμπεριλαμβανομένου του βαθμού στον οποίο θα συμβάλουν στους στόχους και τον τρόπο χρηματοδότησής τους.</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 xml:space="preserve">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w:t>
            </w:r>
          </w:p>
          <w:p>
            <w:pPr>
              <w:pStyle w:val="ListParagraph"/>
              <w:numPr>
                <w:ilvl w:val="0"/>
                <w:numId w:val="14"/>
              </w:numPr>
              <w:jc w:val="both"/>
              <w:rPr>
                <w:rFonts w:ascii="Times New Roman" w:hAnsi="Times New Roman" w:cs="Times New Roman"/>
                <w:bCs/>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Δανία (DK)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Δανία: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αποσαφηνίσει την κατανομή των σημαντικών πιέσεων στους διάφορους τομείς προκειμένου να εντοπιστούν τα κατάλληλα μέτρα μετριασμού.</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την παρακολούθηση των επιφανειακών υδάτων καλύπτοντας όλα τα σχετικά βιολογικά, φυσικοχημικά και υδρομορφολογικά στοιχεία ποιότητας σε όλες τις κατηγορίες υδάτων και να αυξήσει την αναλογία των υδατικών συστημάτων που καλύπτονται από την παρακολούθηση για τους ρύπους της συγκεκριμένης λεκάνης απορροής ποταμού.</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καταρτίσει μεθόδους αξιολόγησης για όλα τα βιολογικά στοιχεία ποιότητας σε όλες τις κατηγορίες υδάτων, μεταξύ άλλων μεθόδους που είναι ευαίσθητες στα θρεπτικά στοιχεία των ποταμών και να συμπεριλάβει υδρομορφολογικά στοιχεία ποιότητας στην ταξινόμηση της οικολογικής κατάστασης.</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Δανία:</w:t>
            </w:r>
            <w:r>
              <w:rPr>
                <w:noProof/>
              </w:rPr>
              <w:tab/>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Να παρέχει περαιτέρω και πιο συνεπείς πληροφορίες σχετικά με τη διαδικασία κατάρτισης των ΣΔΚΠ, συμπεριλαμβανομένου του τρόπου με τον οποίο αξιοποιήθηκαν οι προκαταρκτικές αξιολογήσεις των κινδύνων πλημμύρας και οι χάρτες επικινδυνότητας πλημμύρας και κινδύνων πλημμύρας κατά την κατάρτισή τους. Να εξασφαλίσει τον συντονισμό με την εθνική στρατηγική προσαρμογής στην κλιματική αλλαγή.</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Να εξετάσει μια πιο ομοιόμορφη προσέγγιση των διαφόρων ΣΔΚΠ, δεδομένου ότι επί του παρόντος η φύση τους είναι πολύ διαφορετική (από άποψη στρατηγικής και επιπέδου λεπτομέρειας). Προς τον σκοπό αυτό, να εξετάσει την ευρύτερη ανταλλαγή πληροφοριών μεταξύ των διαφόρων διοικήσεων.</w:t>
            </w:r>
          </w:p>
          <w:p>
            <w:pPr>
              <w:pStyle w:val="ListParagraph"/>
              <w:numPr>
                <w:ilvl w:val="0"/>
                <w:numId w:val="22"/>
              </w:numPr>
              <w:jc w:val="both"/>
              <w:rPr>
                <w:rFonts w:ascii="Times New Roman" w:hAnsi="Times New Roman" w:cs="Times New Roman"/>
                <w:bCs/>
                <w:noProof/>
                <w:sz w:val="24"/>
                <w:szCs w:val="24"/>
              </w:rPr>
            </w:pPr>
            <w:r>
              <w:rPr>
                <w:rFonts w:ascii="Times New Roman" w:hAnsi="Times New Roman"/>
                <w:noProof/>
                <w:sz w:val="24"/>
              </w:rPr>
              <w:t>Να παρέχει περισσότερες λεπτομέρειες σχετικά με το κόστος και τις πηγές χρηματοδότησης για τα μέτρα και να διεξάγει ανάλυση κόστους-οφέλους όπου είναι δυνατόν. Να παρέχει περισσότερες πληροφορίες σχετικά με την ιεράρχηση των μέτρων, συμπεριλαμβανομένων των κριτηρίων που χρησιμοποιούνται. Να παρέχει πληροφορίες σε όλα τα ΣΔΚΠ σχετικά με τους μηχανισμούς που χρησιμοποιούνται για την παρακολούθηση της εφαρμογής των μέτρων τους.</w:t>
            </w: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Εσθονία (ΕΕ)</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Εσθονία: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ότι έχουν καθοριστεί συνθήκες αναφοράς για όλα τα σχετικά στοιχεία ποιότητας για όλα τα επιφανειακά ύδατα.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καταρτίσει καταλόγους εκπομπών, απορρίψεων και διαρροών χημικών ουσιών.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εντείνει τις προσπάθειες αξιολόγησης της κατάστασης όλων των υδατικών συστημάτων, ενισχύοντας την εμπιστοσύνη στην αξιολόγηση της κατάστασης και περιορίζοντας το ποσοστό των υδάτων άγνωστης κατάστασης. Η παρακολούθηση θα πρέπει να παρέχει επαρκή χρονική ανάλυση και χωρική κάλυψη (συμπεριλαμβανομένων των ζώντων οργανισμών).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αιτιολογεί καλύτερα τις εξαιρέσεις καταρτίζοντας και εφαρμόζοντας σαφή κριτήρια για την εφαρμογή του άρθρου 4 παράγραφος 4 και διαχωρίζοντάς τα σαφώς από τα κριτήρια και τις αιτιολογήσεις που χρησιμοποιούνται στο άρθρο 4 παράγραφος 5.</w:t>
            </w:r>
          </w:p>
          <w:p>
            <w:pPr>
              <w:pStyle w:val="ListParagraph"/>
              <w:ind w:left="502"/>
              <w:jc w:val="both"/>
              <w:rPr>
                <w:rFonts w:ascii="Times New Roman" w:hAnsi="Times New Roman" w:cs="Times New Roman"/>
                <w:bCs/>
                <w:noProof/>
                <w:sz w:val="24"/>
                <w:szCs w:val="24"/>
              </w:rPr>
            </w:pPr>
          </w:p>
        </w:tc>
        <w:tc>
          <w:tcPr>
            <w:tcW w:w="6656" w:type="dxa"/>
          </w:tcPr>
          <w:p>
            <w:pPr>
              <w:ind w:left="29"/>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Εσθονία:</w:t>
            </w:r>
            <w:r>
              <w:rPr>
                <w:noProof/>
              </w:rPr>
              <w:tab/>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 xml:space="preserve">Να θέσει συγκεκριμένους και μετρήσιμους στόχους για τα ΣΔΚΠ και να περιγράψει τη διαδικασία καθορισμού στόχων. </w:t>
            </w:r>
          </w:p>
          <w:p>
            <w:pPr>
              <w:pStyle w:val="ListParagraph"/>
              <w:numPr>
                <w:ilvl w:val="0"/>
                <w:numId w:val="23"/>
              </w:numPr>
              <w:jc w:val="both"/>
              <w:rPr>
                <w:rFonts w:ascii="Times New Roman" w:hAnsi="Times New Roman" w:cs="Times New Roman"/>
                <w:bCs/>
                <w:noProof/>
                <w:sz w:val="24"/>
                <w:szCs w:val="24"/>
              </w:rPr>
            </w:pPr>
            <w:r>
              <w:rPr>
                <w:rFonts w:ascii="Times New Roman" w:hAnsi="Times New Roman"/>
                <w:noProof/>
                <w:sz w:val="24"/>
              </w:rPr>
              <w:t>Να παρέχει λεπτομερέστερες πληροφορίες σχετικά με το πόσο θα κόστιζε η εφαρμογή των μέτρων σε κάθε μονάδα διαχείρισης και τα χρονοδιαγράμματα τους. Να παρέχει επίσης δείκτες προόδου. Να περιγράψει στα ΣΔΚΠ τη μεθοδολογία που χρησιμοποιείται για την ανάλυση κόστους-οφέλους και να παρουσιάσει τα αποτελέσματα.</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Ελλάδα (EL)</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Τα ΣΔΛΑΠ δεν υποβλήθηκαν εγκαίρως και συνεπώς δεν έχουν συμπεριληφθεί στην αξιολόγηση της Επιτροπής.</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Τα ΣΔΚΠ δεν κοινοποιήθηκαν εγκαίρως και συνεπώς δεν έχουν συμπεριληφθεί στην αξιολόγηση της Επιτροπής.</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Ισπανία (ES)</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Ισπανία: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τα επόμενα ΣΔΛΑΠ θα εγκριθούν εγκαίρως, τηρώντας τις απαιτήσεις που αφορούν τη δημόσια διαβούλευση.</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χρησιμοποιήσει ευρύτερα μετρητές ροής για να διασφαλίσει ότι όλες οι αντλήσεις μετρώνται και καταχωρούνται και ότι οι άδειες προσαρμόζονται στους διαθέσιμους πόρους, καθώς και να διασφαλίσει ότι οι χρήστες υποβάλουν τακτικά εκθέσεις στις αρχές των λεκανών απορροής ποταμών σχετικά με τις ποσότητες που αντλήθηκαν στην πραγματικότητα, ιδιαίτερα στις περιοχές λεκάνης απορροής ποταμού όπου υφίστανται σημαντικές πιέσεις άντλησης.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οι ποσοτικές και ποιοτικές ανάγκες των προστατευόμενων οικοτόπων και των ειδών προσδιορίζονται και μεταφράζονται σε ειδικούς στόχους για κάθε προστατευόμενη περιοχή και να προσδιορίσει επίσης τα σχετικά μέτρα παρακολούθησης και μέτρησης.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την κατάρτιση νέων σχεδίων διαχείρισης της ξηρασίας.</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Ισπανία:</w:t>
            </w:r>
            <w:r>
              <w:rPr>
                <w:noProof/>
              </w:rPr>
              <w:tab/>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να εγκρίνει επειγόντως τα εκκρεμή ΣΔΛΑΠ για τις Κανάριες Νήσους και να διασφαλίσει ότι τα επόμενα ΣΔΛΑΠ θα εγκριθούν εγκαίρως.</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Να εξηγήσει και να τεκμηριώσει καλύτερα τη διαδικασία ιεράρχησης των στόχων, π.χ. να εξηγήσει ποια ιδρύματα και ενδιαφερόμενοι φορείς έχουν λάβει μέρος σε αυτήν και τους λόγους στους οποίους βασίστηκε η υψηλή ή χαμηλή προτεραιότητα που δόθηκε στους διάφορους στόχους. Να θέσει μετρήσιμους στόχους και δείκτες για τον αντίκτυπο των μέτρων με στόχο την ενίσχυση της διαδικασίας αξιολόγησης της προόδου.</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 xml:space="preserve">Να παρουσιάσει τη μεθοδολογία για την αξιολόγηση των μέτρων από άποψη κόστους και οφέλους, καθώς και της εφαρμογής και των αποτελεσμάτων της συγκεκριμένης ανάλυσης. </w:t>
            </w:r>
          </w:p>
          <w:p>
            <w:pPr>
              <w:pStyle w:val="ListParagraph"/>
              <w:numPr>
                <w:ilvl w:val="0"/>
                <w:numId w:val="24"/>
              </w:numPr>
              <w:jc w:val="both"/>
              <w:rPr>
                <w:rFonts w:ascii="Times New Roman" w:hAnsi="Times New Roman" w:cs="Times New Roman"/>
                <w:bCs/>
                <w:noProof/>
                <w:sz w:val="24"/>
                <w:szCs w:val="24"/>
              </w:rPr>
            </w:pPr>
            <w:r>
              <w:rPr>
                <w:rFonts w:ascii="Times New Roman" w:hAnsi="Times New Roman"/>
                <w:noProof/>
                <w:sz w:val="24"/>
              </w:rPr>
              <w:t>Να λάβει υπόψη την κλιματική αλλαγή, μεταξύ άλλων με τη συστηματική εξέταση της εθνικής στρατηγικής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Φινλανδία (FI)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Φινλανδία: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καλύτερη παρακολούθηση των επιφανειακών υδάτων για την κάλυψη όλων των υδατικών συστημάτων σε σχέση με όλα τα σχετικά στοιχεία ποιότητας, συμπεριλαμβανομένων των στοιχείων υδρομορφικής ποιότητας και των ρύπων της συγκεκριμένης λεκάνης απορροής ποταμού στα παράκτια ύδατα.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την παρακολούθηση τάσεων για όλες τις σχετικές ουσίες σε όλα τα ΠΛΠ , κατά τρόπο που να εξασφαλίζει επαρκή χρονική ανάλυση και χωρική κάλυψη.</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εξασφαλίσει μια εμπεριστατωμένη αξιολόγηση των προτεινόμενων νέων τροποποιήσεων σύμφωνα με τις απαιτήσεις της ΟΠΥ, υπό το φως της προσδοκίας ότι η επιδείνωση από υψηλή σε καλή κατάσταση μπορεί να μην οδηγήσει σε αξιολόγηση σύμφωνα με το άρθρο 4 παράγραφος 7.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Με βάση την επικράτηση περιόδων ξηρασίας σε τοπικό επίπεδο ή επίπεδο υπολεκάνης ως μίας από τις επιπτώσεις της κλιματικής αλλαγής, να επανεξετάσει την κατάρτιση των σχεδίων διαχείρισης της ξηρασίας, κατά περίπτωση.</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Φινλανδία:</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 xml:space="preserve">Να ορίσει ένα σαφές χρονικό πλαίσιο στα ΣΔΚΠ για την επίτευξη των στόχων. </w:t>
            </w:r>
          </w:p>
          <w:p>
            <w:pPr>
              <w:pStyle w:val="ListParagraph"/>
              <w:numPr>
                <w:ilvl w:val="0"/>
                <w:numId w:val="25"/>
              </w:numPr>
              <w:jc w:val="both"/>
              <w:rPr>
                <w:rFonts w:ascii="Times New Roman" w:hAnsi="Times New Roman" w:cs="Times New Roman"/>
                <w:bCs/>
                <w:noProof/>
                <w:sz w:val="24"/>
                <w:szCs w:val="24"/>
              </w:rPr>
            </w:pPr>
            <w:r>
              <w:rPr>
                <w:rFonts w:ascii="Times New Roman" w:hAnsi="Times New Roman"/>
                <w:noProof/>
                <w:sz w:val="24"/>
              </w:rPr>
              <w:t xml:space="preserve">Να ενισχύσει τη σύνδεση μεταξύ των στόχων και των μέτρων και να υποδείξει με σαφήνεια εάν τα προβλεπόμενα μέτρα επαρκούν για την επίτευξη των στόχων. </w:t>
            </w:r>
          </w:p>
          <w:p>
            <w:pPr>
              <w:pStyle w:val="ListParagraph"/>
              <w:numPr>
                <w:ilvl w:val="0"/>
                <w:numId w:val="25"/>
              </w:numPr>
              <w:jc w:val="both"/>
              <w:rPr>
                <w:noProof/>
              </w:rPr>
            </w:pPr>
            <w:r>
              <w:rPr>
                <w:rFonts w:ascii="Times New Roman" w:hAnsi="Times New Roman"/>
                <w:noProof/>
                <w:sz w:val="24"/>
              </w:rPr>
              <w:t>Να εξασφαλίσει τον συντονισμό με την εθνική στρατηγική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Γαλλία (FR)</w:t>
            </w:r>
          </w:p>
          <w:p>
            <w:pPr>
              <w:jc w:val="both"/>
              <w:rPr>
                <w:rFonts w:ascii="Times New Roman" w:eastAsia="Times New Roman" w:hAnsi="Times New Roman" w:cs="Times New Roman"/>
                <w:noProof/>
                <w:sz w:val="24"/>
                <w:szCs w:val="24"/>
              </w:rPr>
            </w:pP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Γαλλία: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αιτιολογήσει καλύτερα την εφαρμογή των εξαιρέσεων του άρθρου 4 παράγραφος 4 και του άρθρου 4 παράγραφος 5 και να επανεξετάσει και να επικαιροποιήσει τις αιτιολογήσεις για να εξασφαλίσει την εφαρμογή όλων των δυνατών μέτρων.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βελτιώσει την αντιμετώπιση της ρύπανσης με θρεπτικά συστατικά, καθώς και να αξιολογήσει και να υποβάλει εκθέσεις σχετικά με τον αναμενόμενο αντίκτυπο των μέτρων. </w:t>
            </w:r>
          </w:p>
          <w:p>
            <w:pPr>
              <w:numPr>
                <w:ilvl w:val="0"/>
                <w:numId w:val="5"/>
              </w:numPr>
              <w:jc w:val="both"/>
              <w:rPr>
                <w:rFonts w:ascii="Times New Roman" w:hAnsi="Times New Roman" w:cs="Times New Roman"/>
                <w:noProof/>
                <w:sz w:val="24"/>
                <w:szCs w:val="24"/>
              </w:rPr>
            </w:pPr>
            <w:r>
              <w:rPr>
                <w:rFonts w:ascii="Times New Roman" w:hAnsi="Times New Roman"/>
                <w:noProof/>
                <w:sz w:val="24"/>
              </w:rPr>
              <w:t>Να εντείνει τις προσπάθειες για την εφαρμογή και την υποβολή εκθέσεων σχετικά με τα υδρομορφολογικά μέτρα για όλα τα υδατικά συστήματα που επηρεάζονται από υδρομορφολογικές πιέσεις και επίσης, για όλα τα ΠΛΠ, να τηρεί τις διεθνείς δεσμεύσεις για την άρση των εμποδίων στη συνέχεια του ποταμού.</w:t>
            </w:r>
          </w:p>
          <w:p>
            <w:pPr>
              <w:pStyle w:val="ListParagraph"/>
              <w:numPr>
                <w:ilvl w:val="0"/>
                <w:numId w:val="5"/>
              </w:numPr>
              <w:spacing w:after="200" w:line="276" w:lineRule="auto"/>
              <w:jc w:val="both"/>
              <w:rPr>
                <w:rFonts w:ascii="Times New Roman" w:hAnsi="Times New Roman" w:cs="Times New Roman"/>
                <w:noProof/>
                <w:sz w:val="24"/>
                <w:szCs w:val="24"/>
              </w:rPr>
            </w:pPr>
            <w:r>
              <w:rPr>
                <w:rFonts w:ascii="Times New Roman" w:hAnsi="Times New Roman"/>
                <w:noProof/>
                <w:sz w:val="24"/>
              </w:rPr>
              <w:t>Να εξετάσει την κατάρτιση σχεδίων διαχείρισης της ξηρασίας για περιοχές που κινδυνεύουν περισσότερο από ξηρασία.</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Γαλλία:</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 xml:space="preserve">Να παρέχει λεπτομερέστερες πληροφορίες σχετικά με τα βήματα που προηγήθηκαν από τα ΣΔΚΠ, συμπεριλαμβανομένων των συνοπτικών χαρτών και των κειμένων σχετικά με τις προκαταρκτικές αξιολογήσεις των κινδύνων πλημμύρας και τυχόν παραπομπών από τις οποίες είναι δυνατή η πρόσβαση στις πληροφορίες. Να εξασφαλίσει τον συντονισμό με την εθνική στρατηγική προσαρμογής στην κλιματική αλλαγή.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 xml:space="preserve">Να θέσει στόχους με συγκεκριμένα και μετρήσιμα στοιχεία στο μέτρο του δυνατού και να διατηρήσει μια σαφή σύνδεση μεταξύ των στόχων υψηλότερου και χαμηλότερου επιπέδου, καθώς και μεταξύ μέτρων και στόχων. </w:t>
            </w:r>
          </w:p>
          <w:p>
            <w:pPr>
              <w:pStyle w:val="ListParagraph"/>
              <w:numPr>
                <w:ilvl w:val="0"/>
                <w:numId w:val="26"/>
              </w:numPr>
              <w:jc w:val="both"/>
              <w:rPr>
                <w:rFonts w:ascii="Times New Roman" w:hAnsi="Times New Roman" w:cs="Times New Roman"/>
                <w:bCs/>
                <w:noProof/>
                <w:sz w:val="24"/>
                <w:szCs w:val="24"/>
              </w:rPr>
            </w:pPr>
            <w:r>
              <w:rPr>
                <w:rFonts w:ascii="Times New Roman" w:hAnsi="Times New Roman"/>
                <w:noProof/>
                <w:sz w:val="24"/>
              </w:rPr>
              <w:t>Να παρέχει περισσότερες πληροφορίες στα ΣΔΚΠ σχετικά με τα μέτρα, συμπεριλαμβανομένων των δαπανών και των πηγών χρηματοδότησης, λεπτομερειών σχετικά με την τοποθεσία και πληροφοριών σχετικά με την ιεράρχηση και την παρακολούθηση της προόδου.</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Κροατία (HR)</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Κροατία: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εντείνει τις εργασίες για τον προσδιορισμό των πιέσεων, ιδίως στα μεταβατικά και παράκτια ύδατα.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καταρτίσει την κατάλληλη μεθοδολογία για τον χαρακτηρισμό των ιδιαιτέρως τροποποιημένων υδατικών συστημάτων. Ο χαρακτηρισμός των ιδιαιτέρως τροποποιημένων υδατικών συστημάτων θα πρέπει να πληροί όλες τις απαιτήσεις του άρθρου 4 παράγραφος 3 και να καταρτίσει μια μεθοδολογία για τον ορισμό του οικολογικού δυναμικού.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παρέχει όλες τις σχετικές πληροφορίες όσον αφορά το επίπεδο συμμόρφωσης και το χρονοδιάγραμμα για την επίτευξη της συμμόρφωσης των οικισμών σύμφωνα με την οδηγία 91/271/ΕΟΚ: Να διασφαλίσει επίσης τη συμμόρφωση με το άρθρο 5 της οδηγίας για την επεξεργασία των αστικών λυμάτων για αυστηρότερη επεξεργασία, ιδίως στις μεγάλες πόλεις.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εξετάσει τη λήψη πρόσθετων μέτρων για τη σημειακή ρύπανση πέραν των απαιτήσεων της οδηγίας για την επεξεργασία των αστικών λυμάτων και της οδηγίας περί βιομηχανικών εκπομπών για την εκπλήρωση των στόχων της ΟΠΥ και να ολοκληρώσει τον προσδιορισμό των βασικών τύπων μέτρων για διάχυτες πηγές.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έχουν τεθεί σε εφαρμογή έλεγχοι αντλήσεων και ότι συλλέγονται και υποβάλλονται πληροφορίες σχετικά με τις χρήσεις, την εκμετάλλευση και τις τάσεις των υδάτων· να εξετάσει τη χρήση φυσικών μέτρων συγκράτησης υδάτων για τον μετριασμό του κινδύνου για την ποιότητα των υδάτων από τους γεωργικούς ρύπους, να εξετάσει το ενδεχόμενο έγκρισης σχεδίου διαχείρισης της ξηρασίας και να συνεχίσει την αναθεώρηση των υφιστάμενων ελέγχων, ώστε οι γεωργικές πρακτικές να μην προκαλούν υδρομορφολογική πίεση, καθώς και να επικαιροποιεί τους ελέγχους, κατά περίπτωση.</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Κροατία:</w:t>
            </w:r>
            <w:r>
              <w:rPr>
                <w:noProof/>
              </w:rPr>
              <w:tab/>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Να παρουσιάσει συγκεκριμένους και μετρήσιμους στόχους διαχείρισης των πλημμυρών και να συνδέσει σαφώς τα μέτρα με τους στόχους. Να υποδείξει τη βασική γραμμή σύμφωνα με την οποία παρακολουθείται η πρόοδος.</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 xml:space="preserve">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w:t>
            </w:r>
          </w:p>
          <w:p>
            <w:pPr>
              <w:pStyle w:val="ListParagraph"/>
              <w:numPr>
                <w:ilvl w:val="0"/>
                <w:numId w:val="27"/>
              </w:numPr>
              <w:jc w:val="both"/>
              <w:rPr>
                <w:rFonts w:ascii="Times New Roman" w:hAnsi="Times New Roman" w:cs="Times New Roman"/>
                <w:bCs/>
                <w:noProof/>
                <w:sz w:val="24"/>
                <w:szCs w:val="24"/>
              </w:rPr>
            </w:pPr>
            <w:r>
              <w:rPr>
                <w:rFonts w:ascii="Times New Roman" w:hAnsi="Times New Roman"/>
                <w:noProof/>
                <w:sz w:val="24"/>
              </w:rPr>
              <w:t>Να παρέχει περισσότερες λεπτομέρειες σχετικά με την προσέγγιση της δημόσιας διαβούλευσης και την ενεργό συμμετοχή των ενδιαφερόμενων φορέων.</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Ουγγαρία (HU)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Ουγγαρία: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εντείνει τις προσπάθειες αξιολόγησης της κατάστασης όλων των υδατικών συστημάτων, ενισχύοντας την εμπιστοσύνη στην αξιολόγηση της κατάστασης και περιορίζοντας το ποσοστό των υδάτων άγνωστης κατάστασης. Η παρακολούθηση θα πρέπει να παρέχει επαρκή χρονική ανάλυση και χωρική κάλυψη.</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Όλες οι ουσίες προτεραιότητας θα πρέπει να λαμβάνονται υπόψη κατά την αξιολόγηση της κατάστασης, στον σχετικό υλικό φορέα. Εάν χρησιμοποιηθεί διαφορετικός υλικός φορέας, θα πρέπει να παρέχεται αιτιολόγηση.</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αντιμετωπίσει την αβεβαιότητα όσον αφορά τον χαρακτηρισμό των ιδιαιτέρως τροποποιημένων υδατικών συστημάτων και των τεχνητών υδατικών συστημάτων μέσω καλύτερης παρακολούθησης, βελτιωμένων δεδομένων σχετικά με τις υδρομορφολογικές πιέσεις και καλύτερης κατανόησης των επιπτώσεων στα βιολογικά στοιχεία ποιότητας. Να διασφαλίσει ότι ο χαρακτηρισμός των ιδιαιτέρως τροποποιημένων υδατικών συστημάτων συμμορφώνεται με όλες τις απαιτήσεις του άρθρου 4 παράγραφος 3.</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ότι ισχύουν αποτελεσματικές άδειες, μετρήσεις και έλεγχοι για τις αντλήσεις.</w:t>
            </w:r>
          </w:p>
          <w:p>
            <w:pPr>
              <w:pStyle w:val="ListParagraph"/>
              <w:numPr>
                <w:ilvl w:val="0"/>
                <w:numId w:val="5"/>
              </w:numPr>
              <w:jc w:val="both"/>
              <w:rPr>
                <w:rFonts w:ascii="Times New Roman" w:hAnsi="Times New Roman"/>
                <w:bCs/>
                <w:noProof/>
                <w:sz w:val="24"/>
                <w:szCs w:val="24"/>
              </w:rPr>
            </w:pPr>
            <w:r>
              <w:rPr>
                <w:rFonts w:ascii="Times New Roman" w:hAnsi="Times New Roman"/>
                <w:noProof/>
                <w:sz w:val="24"/>
              </w:rPr>
              <w:t>Να διασφαλίσει ότι γίνεται σαφής διάκριση μεταξύ της λειψυδρίας και της ξηρασίας στην πολιτική για τα ύδατα και ότι θεσπίζεται ένα σχέδιο διαχείρισης της ξηρασίας.</w:t>
            </w:r>
          </w:p>
        </w:tc>
        <w:tc>
          <w:tcPr>
            <w:tcW w:w="6656" w:type="dxa"/>
          </w:tcPr>
          <w:p>
            <w:pPr>
              <w:ind w:left="-108"/>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Ουγγαρία:</w:t>
            </w:r>
            <w:r>
              <w:rPr>
                <w:noProof/>
              </w:rPr>
              <w:tab/>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Να θέσει πιο συγκεκριμένους στόχους όσον αφορά τους ποσοτικούς στόχους, τις τοποθεσίες και τα χρονικά πλαίσια επίτευξης.</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Να παρέχει μεγαλύτερη σαφήνεια σχετικά με τον αριθμό των μέτρων, τη σχέση μεταξύ των μέτρων του ΣΔΚΠ και άλλων μέτρων που προσδιορίστηκαν ως προκαταρκτικά και την ιεράρχησή τους.</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Να συμπεριλάβει μια εκτίμηση του κόστους όλων των μέτρων στο επόμενο ΣΔΚΠ.</w:t>
            </w:r>
          </w:p>
          <w:p>
            <w:pPr>
              <w:pStyle w:val="ListParagraph"/>
              <w:numPr>
                <w:ilvl w:val="0"/>
                <w:numId w:val="28"/>
              </w:numPr>
              <w:jc w:val="both"/>
              <w:rPr>
                <w:rFonts w:ascii="Times New Roman" w:hAnsi="Times New Roman" w:cs="Times New Roman"/>
                <w:bCs/>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Ιρλανδία (IE)</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Τα ΣΔΛΑΠ δεν υποβλήθηκαν εγκαίρως και συνεπώς δεν έχουν συμπεριληφθεί στην αξιολόγηση της Επιτροπής.</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i/>
                <w:noProof/>
                <w:sz w:val="24"/>
                <w:szCs w:val="24"/>
              </w:rPr>
            </w:pPr>
            <w:r>
              <w:rPr>
                <w:rFonts w:ascii="Times New Roman" w:hAnsi="Times New Roman"/>
                <w:i/>
                <w:noProof/>
                <w:sz w:val="24"/>
              </w:rPr>
              <w:t>Τα ΣΔΚΠ δεν κοινοποιήθηκαν εγκαίρως και συνεπώς δεν έχουν συμπεριληφθεί στην αξιολόγηση της Επιτροπής.</w:t>
            </w:r>
          </w:p>
          <w:p>
            <w:pPr>
              <w:jc w:val="both"/>
              <w:rPr>
                <w:rFonts w:ascii="Times New Roman" w:hAnsi="Times New Roman" w:cs="Times New Roman"/>
                <w:bCs/>
                <w:noProof/>
                <w:sz w:val="24"/>
                <w:szCs w:val="24"/>
              </w:rPr>
            </w:pPr>
          </w:p>
          <w:p>
            <w:pPr>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Ιταλία (IT)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Ιταλία: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εναρμονίσει τις διαφορετικές περιφερειακές προσεγγίσεις, ιδίως για τον προσδιορισμό της σημασίας των πιέσεων.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υποβάλει ουσιαστικές πληροφορίες σχετικά με το πεδίο εφαρμογής και το χρονοδιάγραμμα των μέτρων στο πρόγραμμα μέτρων, ώστε να καταστεί σαφής ο τρόπος επίτευξης των στόχων. Τα ΣΔΛΑΠ θα πρέπει να υποδεικνύουν μια συστηματική ιεράρχηση των μέτρων.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οι πληροφορίες σχετικά με τις πηγές χρηματοδότησης του προγράμματος μέτρων περιγράφονται με μεγαλύτερη σαφήνεια στο τρίτο ΣΔΛΑΠ.</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τις μετρήσεις για όλες τις αντλήσεις και να ελέγχει τις άδειες άντλησης. Να βεβαιωθεί ότι έχουν ληφθεί μέτρα για την αντιμετώπιση παράνομων αντλήσεων, ιδίως στις ΠΛΠ με σχετικά προβλήματα λειψυδρίας.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αντιμετωπίσει τις απορρίψεις αστικών λυμάτων και να βεβαιωθεί ότι τα προγραμματισμένα μέτρα επαρκούν για την εκπλήρωση των στόχων της ΟΠΥ (καθώς και της οδηγίας για την επεξεργασία των αστικών λυμάτων) σε όλες τις ΠΛΠ.</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την έγκριση ενός σχεδίου διαχείρισης της ξηρασίας και για τις ΠΛΠ της Σικελίας.</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Ιταλία:</w:t>
            </w:r>
            <w:r>
              <w:rPr>
                <w:noProof/>
              </w:rPr>
              <w:tab/>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Να θέσει συγκεκριμένους και μετρήσιμους στόχους ΣΔΚΠ και να συνδέσει τους στόχους με τα μέτρα.</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Να εξηγήσει με συνέπεια στα ΣΔΚΠ τον τρόπο διεξαγωγής της παρακολούθησης των μέτρων και να παρέχει περισσότερες λεπτομέρειες σχετικά με τον τρόπο χρηματοδότησης των μέτρων.</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 xml:space="preserve"> Να διευρύνει τη χρήση της ανάλυσης κόστους-οφέλους κατά την επιλογή και την ιεράρχηση των μέτρων, κατά περίπτωση.</w:t>
            </w:r>
          </w:p>
          <w:p>
            <w:pPr>
              <w:pStyle w:val="ListParagraph"/>
              <w:numPr>
                <w:ilvl w:val="0"/>
                <w:numId w:val="29"/>
              </w:numPr>
              <w:jc w:val="both"/>
              <w:rPr>
                <w:rFonts w:ascii="Times New Roman" w:hAnsi="Times New Roman" w:cs="Times New Roman"/>
                <w:bCs/>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p>
            <w:pPr>
              <w:ind w:left="34"/>
              <w:jc w:val="both"/>
              <w:rPr>
                <w:rFonts w:ascii="Times New Roman" w:hAnsi="Times New Roman" w:cs="Times New Roman"/>
                <w:bCs/>
                <w:noProof/>
                <w:sz w:val="24"/>
                <w:szCs w:val="24"/>
              </w:rPr>
            </w:pPr>
          </w:p>
        </w:tc>
      </w:tr>
      <w:tr>
        <w:trPr>
          <w:trHeight w:val="315"/>
        </w:trPr>
        <w:tc>
          <w:tcPr>
            <w:tcW w:w="1101" w:type="dxa"/>
            <w:noWrap/>
          </w:tcPr>
          <w:p>
            <w:pPr>
              <w:jc w:val="both"/>
              <w:rPr>
                <w:rFonts w:ascii="Times New Roman" w:eastAsia="Times New Roman" w:hAnsi="Times New Roman" w:cs="Times New Roman"/>
                <w:b/>
                <w:bCs/>
                <w:noProof/>
                <w:color w:val="000000"/>
                <w:sz w:val="24"/>
                <w:szCs w:val="24"/>
              </w:rPr>
            </w:pPr>
            <w:r>
              <w:rPr>
                <w:rFonts w:ascii="Times New Roman" w:hAnsi="Times New Roman"/>
                <w:b/>
                <w:noProof/>
                <w:color w:val="000000"/>
                <w:sz w:val="24"/>
              </w:rPr>
              <w:t>Λιθουανία (LT)</w:t>
            </w:r>
          </w:p>
        </w:tc>
        <w:tc>
          <w:tcPr>
            <w:tcW w:w="6418" w:type="dxa"/>
          </w:tcPr>
          <w:p>
            <w:pPr>
              <w:jc w:val="both"/>
              <w:rPr>
                <w:rFonts w:ascii="Times New Roman" w:hAnsi="Times New Roman" w:cs="Times New Roman"/>
                <w:bCs/>
                <w:i/>
                <w:noProof/>
                <w:sz w:val="24"/>
                <w:szCs w:val="24"/>
              </w:rPr>
            </w:pPr>
            <w:r>
              <w:rPr>
                <w:rFonts w:ascii="Times New Roman" w:hAnsi="Times New Roman"/>
                <w:i/>
                <w:noProof/>
                <w:sz w:val="24"/>
              </w:rPr>
              <w:t>Τα ΣΔΛΑΠ δεν υποβλήθηκαν εγκαίρως και συνεπώς δεν έχουν συμπεριληφθεί στην αξιολόγηση της Επιτροπής.</w:t>
            </w:r>
          </w:p>
          <w:p>
            <w:pPr>
              <w:jc w:val="both"/>
              <w:rPr>
                <w:rFonts w:ascii="Times New Roman" w:hAnsi="Times New Roman" w:cs="Times New Roman"/>
                <w:bCs/>
                <w:noProof/>
                <w:sz w:val="24"/>
                <w:szCs w:val="24"/>
              </w:rPr>
            </w:pPr>
          </w:p>
        </w:tc>
        <w:tc>
          <w:tcPr>
            <w:tcW w:w="6656" w:type="dxa"/>
          </w:tcPr>
          <w:p>
            <w:pPr>
              <w:ind w:left="142"/>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Λιθουανία: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αποσαφηνίσει το νομικό καθεστώς του ΣΔΚΠ. Να διασφαλίσει ότι υπάρχουν οι κατάλληλες παραπομπές μεταξύ των ΣΔΚΠ, των προκαταρκτικών αξιολογήσεων των κινδύνων πλημμύρας/των περιοχών όπου υφίσταται ή ότι κρίνεται πιθανό να παρουσιασθεί δυνητικός σοβαρός κίνδυνος πλημμύρας και των χαρτών επικινδυνότητας πλημμύρας και κινδύνων πλημμύρας και ότι είναι συνεχώς διαθέσιμα σε όλα τα ενδιαφερόμενα μέρη και το κοινό σε προσιτή μορφή.</w:t>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Να συνδέσει σαφώς τα προτεινόμενα μέτρα με τους στόχους, ώστε να είναι σε θέση να εκτιμήσει την πρόοδο που σημειώθηκε.</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αφιερώσει χώρο στα ζητήματα κλιματικής αλλαγής στα ΣΔΚΠ και να συντονιστεί με την εθνική στρατηγική προσαρμογής στην κλιματική αλλαγή.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Λουξεμβούργο (LU)</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στο Λουξεμβούργο:</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τον χαρακτηρισμό των αναγκών των ιδιαιτέρως τροποποιημένων υδατικών συστημάτων, καταρτίζοντας και εφαρμόζοντας σαφή κριτήρια για τον προσδιορισμό των σημαντικών δυσμενών επιπτώσεων με διαφανή τρόπο. Να εφαρμόσει μια πιο λεπτομερή μεθοδολογία για τον καθορισμό του οικολογικού δυναμικού.</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διασφαλίσει μια διεξοδική αξιολόγηση των πιθανών νέων τροποποιήσεων σύμφωνα με τις απαιτήσεις της ΟΠΥ.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αναθεωρήσει και να καταρτίσει τη στρατηγική του για την επίτευξη των στόχων της ΟΠΥ και να βελτιώσει την τεχνική σκοπιμότητα των επόμενων ΣΔΛΑΠ, σε στενή συνεργασία με την αγροτική κοινότητα και τις αρμόδιες αρχές για την εθνική εφαρμογή της ΚΓΠ, για να διασφαλίσει ότι όλες οι συναφείς πολιτικές και τα μέσα (όπως π.χ. τα ΠΑΑ, ο 1ος πυλώνας της ΚΓΠ, η οδηγία για τη νιτρορύπανση κ.λπ.) συνεισφέρουν σημαντικά στα ΣΔΛΑΠ.</w:t>
            </w:r>
          </w:p>
        </w:tc>
        <w:tc>
          <w:tcPr>
            <w:tcW w:w="6656" w:type="dxa"/>
          </w:tcPr>
          <w:p>
            <w:pPr>
              <w:ind w:left="34" w:hanging="29"/>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στο Λουξεμβούργο:</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Να θέσει συγκεκριμένους και μετρήσιμους στόχους στο μέτρο του δυνατού, οι οποίοι θα επέτρεπαν τη διαμόρφωση σαφών στόχων και τη μέτρηση των επιτευγμάτων· να συνδέσει τους στόχους με τα μέτρα.</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Να συμπεριλάβει εκτιμήσεις κόστους των μέτρων και να καθορίσει πηγές χρηματοδότησης στο ΣΔΚΠ.</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 xml:space="preserve">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και να διασφαλίσει τον συντονισμό με την εθνική στρατηγική προσαρμογής στην κλιματική αλλαγή. </w:t>
            </w:r>
          </w:p>
          <w:p>
            <w:pPr>
              <w:pStyle w:val="ListParagraph"/>
              <w:numPr>
                <w:ilvl w:val="0"/>
                <w:numId w:val="30"/>
              </w:numPr>
              <w:jc w:val="both"/>
              <w:rPr>
                <w:rFonts w:ascii="Times New Roman" w:hAnsi="Times New Roman" w:cs="Times New Roman"/>
                <w:bCs/>
                <w:noProof/>
                <w:sz w:val="24"/>
                <w:szCs w:val="24"/>
              </w:rPr>
            </w:pPr>
            <w:r>
              <w:rPr>
                <w:rFonts w:ascii="Times New Roman" w:hAnsi="Times New Roman"/>
                <w:noProof/>
                <w:sz w:val="24"/>
              </w:rPr>
              <w:t>Να καθορίσει ένα σαφέστερο χρονοδιάγραμμα εφαρμογής των μέτρων στο πλαίσιο του ΣΔΚΠ.</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Λετονία (LV)</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Λετονία: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προσδιορίσει πηγές χρηματοδότησης για τη διευκόλυνση της υλοποίησης των στόχων της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ολοκληρώσει την κατάρτιση μεθόδων αξιολόγησης για όλα τα βιολογικά στοιχεία ποιότητας. Θα πρέπει να καταρτιστούν μέθοδοι για την αξιολόγηση των υδρομορφολογικών στοιχείων ποιότητας για τα μεταβατικά και τα παράκτια ύδατα.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διασφαλίσει ότι, για ενδεχόμενη μελλοντική εφαρμογή του άρθρου 4 παράγραφος 7, γίνεται ενδελεχής εκτίμηση πιθανών νέων τροποποιήσεων.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επαρκή συντονισμό των ΣΔΛΑΠ με την οδηγία για τις πλημμύρες και τα σχέδια διαχείρισης των κινδύνων πλημμύρας.</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Λετονία:</w:t>
            </w:r>
            <w:r>
              <w:rPr>
                <w:noProof/>
              </w:rPr>
              <w:tab/>
            </w:r>
          </w:p>
          <w:p>
            <w:pPr>
              <w:pStyle w:val="ListParagraph"/>
              <w:numPr>
                <w:ilvl w:val="0"/>
                <w:numId w:val="5"/>
              </w:numPr>
              <w:ind w:left="318" w:hanging="176"/>
              <w:jc w:val="both"/>
              <w:rPr>
                <w:rFonts w:ascii="Times New Roman" w:hAnsi="Times New Roman" w:cs="Times New Roman"/>
                <w:bCs/>
                <w:noProof/>
                <w:sz w:val="24"/>
                <w:szCs w:val="24"/>
              </w:rPr>
            </w:pPr>
            <w:r>
              <w:rPr>
                <w:rFonts w:ascii="Times New Roman" w:hAnsi="Times New Roman"/>
                <w:noProof/>
                <w:sz w:val="24"/>
              </w:rPr>
              <w:t>Στο μέτρο του εφικτού, να καταρτίσει μετρήσιμους στόχους για τα ΣΔΚΠ και να συνδέσει τα προτεινόμενα μέτρα, ώστε να είναι σε θέση να εκτιμήσει την πρόοδο που σημειώθηκε.</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 xml:space="preserve">Να καθορίσει πηγές χρηματοδότησης για τα μέτρα.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 xml:space="preserve">Να παρουσιάσει και να εφαρμόσει μια μεθοδολογία για την αξιολόγηση των μέτρων από άποψη κόστους και οφέλους, κατά περίπτωση, και να υποβάλει τα αποτελέσματά της. </w:t>
            </w:r>
          </w:p>
          <w:p>
            <w:pPr>
              <w:pStyle w:val="ListParagraph"/>
              <w:numPr>
                <w:ilvl w:val="0"/>
                <w:numId w:val="31"/>
              </w:numPr>
              <w:jc w:val="both"/>
              <w:rPr>
                <w:rFonts w:ascii="Times New Roman" w:hAnsi="Times New Roman" w:cs="Times New Roman"/>
                <w:bCs/>
                <w:noProof/>
                <w:sz w:val="24"/>
                <w:szCs w:val="24"/>
              </w:rPr>
            </w:pPr>
            <w:r>
              <w:rPr>
                <w:rFonts w:ascii="Times New Roman" w:hAnsi="Times New Roman"/>
                <w:noProof/>
                <w:sz w:val="24"/>
              </w:rPr>
              <w:t>Να εξηγήσει στον δεύτερο κύκλο τον τρόπο με τον οποίο εξετάστηκαν οι επιπτώσεις της κλιματικής αλλαγής και να εξασφαλίσει τον συντονισμό με την εθνική στρατηγική προσαρμογής στην κλιματική αλλαγή, μετά την έγκρισή της.</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Μάλτα (MT)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Μάλτα: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κατανομή των πιέσεων μεταξύ των πηγών, ώστε να προσδιοριστούν τα κατάλληλα μέτρα.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συνεχίσει να εργάζεται για την ολοκλήρωση των σχεδίων παρακολούθησης για την ποσοτική κατάσταση των υπόγειων υδάτων.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βεβαιωθεί ότι οι πιθανές νέες τροποποιήσεις είναι σύμφωνες με τις απαιτήσεις της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αντιμετωπίσει καλύτερα το πρόβλημα της λειψυδρίας και της υπεράντλησης.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ορθή εφαρμογή του άρθρου 9 σχετικά με την ανάκτηση του κόστους, συμπεριλαμβανομένου του υπολογισμού και της εσωτερίκευσης του περιβαλλοντικού κόστους και του κόστους σε πόρους.</w:t>
            </w:r>
          </w:p>
          <w:p>
            <w:pPr>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Μάλτα:</w:t>
            </w:r>
            <w:r>
              <w:rPr>
                <w:noProof/>
              </w:rPr>
              <w:tab/>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Στο μέτρο του εφικτού, να καταρτίσει μετρήσιμους στόχους για τα ΣΔΚΠ και να συνδέσει σαφώς τα προτεινόμενα μέτρα, ώστε να είναι σε θέση να εκτιμήσει την πρόοδο που σημειώθηκε, συμπεριλαμβανομένων των μηχανισμών και των δεικτών για την παρακολούθηση της υλοποίησής τους.</w:t>
            </w:r>
          </w:p>
          <w:p>
            <w:pPr>
              <w:pStyle w:val="ListParagraph"/>
              <w:numPr>
                <w:ilvl w:val="0"/>
                <w:numId w:val="32"/>
              </w:numPr>
              <w:jc w:val="both"/>
              <w:rPr>
                <w:rFonts w:ascii="Times New Roman" w:hAnsi="Times New Roman" w:cs="Times New Roman"/>
                <w:bCs/>
                <w:noProof/>
                <w:sz w:val="24"/>
                <w:szCs w:val="24"/>
              </w:rPr>
            </w:pPr>
            <w:r>
              <w:rPr>
                <w:rFonts w:ascii="Times New Roman" w:hAnsi="Times New Roman"/>
                <w:noProof/>
                <w:sz w:val="24"/>
              </w:rPr>
              <w:t>Να παρέχει πληροφορίες σχετικά με το εκτιμώμενο κόστος όλων των μετριαστικών μέτρων του κινδύνου πλημμύρας, την ιεράρχησή τους και τις μεθόδους ιεράρχησης.</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Κάτω Χώρες (NL)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στις Κάτω Χώρες: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ολοκληρώσουν την αξιολόγηση της αποτελεσματικότητας των υφιστάμενων γεωργικών μέτρων και να προσδιορίσουν τα πρόσθετα μέτρα που απαιτούνται για την επίτευξη των στόχων της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διασφαλίσουν ότι, για τη χημική ρύπανση από μη γεωργικές πηγές, τα προγράμματα μέτρων βασίζονται σε αξιόπιστη εκτίμηση των πιέσεων.</w:t>
            </w:r>
          </w:p>
        </w:tc>
        <w:tc>
          <w:tcPr>
            <w:tcW w:w="6656" w:type="dxa"/>
          </w:tcPr>
          <w:p>
            <w:pPr>
              <w:ind w:left="34"/>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στις Κάτω Χώρες:</w:t>
            </w:r>
            <w:r>
              <w:rPr>
                <w:noProof/>
              </w:rPr>
              <w:tab/>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Να καθορίσουν τους στόχους με έναν όσο το δυνατόν πιο συγκεκριμένο και μετρήσιμο τρόπο και να επεξηγήσουν τη διαδικασία. Να περιγράψουν τους συνδέσμους με άλλα προγενέστερα και εν εξελίξει ολλανδικά προγράμματα κατά των πλημμυρών και τη νομοθεσία στα ΣΔΚΠ.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 xml:space="preserve">Να παρέχουν πληροφορίες σχετικά με το εκτιμώμενο κόστος των μέτρων στα ΣΔΚΠ και να υποδείξουν εάν χρησιμοποιείται μια βασική γραμμή για την παρακολούθηση της προόδου ή να ορίσουν μια βασική γραμμή. </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Να εξηγήσουν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και να διασφαλίσουν τον συντονισμό με την εθνική στρατηγική προσαρμογής στην κλιματική αλλαγή.</w:t>
            </w:r>
          </w:p>
          <w:p>
            <w:pPr>
              <w:pStyle w:val="ListParagraph"/>
              <w:numPr>
                <w:ilvl w:val="0"/>
                <w:numId w:val="33"/>
              </w:numPr>
              <w:jc w:val="both"/>
              <w:rPr>
                <w:rFonts w:ascii="Times New Roman" w:hAnsi="Times New Roman" w:cs="Times New Roman"/>
                <w:bCs/>
                <w:noProof/>
                <w:sz w:val="24"/>
                <w:szCs w:val="24"/>
              </w:rPr>
            </w:pPr>
            <w:r>
              <w:rPr>
                <w:rFonts w:ascii="Times New Roman" w:hAnsi="Times New Roman"/>
                <w:noProof/>
                <w:sz w:val="24"/>
              </w:rPr>
              <w:t>Να παρέχουν σαφείς πληροφορίες σχετικά με την οργάνωση της δημόσιας συμμετοχής και την ενεργό συμμετοχή των ενδιαφερόμενων φορέων.</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Πολωνία (PL)</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Πολωνία: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την παρακολούθηση των επιφανειακών υδάτων καλύπτοντας όλα τα σχετικά στοιχεία ποιότητας σε όλες τις κατηγορίες υδάτων.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παρέχει πλήρη αξιολόγηση της οικολογικής κατάστασης για όλες τις κατηγορίες υδάτων, συμπεριλαμβανομένων εκτιμήσεων όλων των σχετικών στοιχείων ποιότητας.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εντείνει τις προσπάθειες για την ανάπτυξη μιας συνεκτικής μεθοδολογίας για τον χαρακτηρισμό των ιδιαιτέρως τροποποιημένων υδατικών συστημάτων για όλες τις σχετικές κατηγορίες υδάτων.</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διασφαλίσει ότι η χρήση των εξαιρέσεων βάσει του άρθρου 4 παράγραφος 7 βασίζεται σε μια εμπεριστατωμένη αξιολόγηση όλων των βημάτων όπως απαιτείται από την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στηρίξει και να υλοποιήσει οικολογικές ροές.</w:t>
            </w:r>
          </w:p>
          <w:p>
            <w:pPr>
              <w:ind w:left="142"/>
              <w:jc w:val="both"/>
              <w:rPr>
                <w:rFonts w:ascii="Times New Roman" w:hAnsi="Times New Roman" w:cs="Times New Roman"/>
                <w:bCs/>
                <w:noProof/>
                <w:sz w:val="24"/>
                <w:szCs w:val="24"/>
              </w:rPr>
            </w:pP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Πολωνία:</w:t>
            </w:r>
            <w:r>
              <w:rPr>
                <w:noProof/>
              </w:rPr>
              <w:tab/>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Να εξηγήσει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Να λάβει υπόψη τα συμπεράσματα από την οριστικοποίηση της χαρτογράφησης της επικινδυνότητας πλημμύρας και κινδύνων πλημμύρας του 1ου κύκλου στα βήματα των προκαταρκτικών αξιολογήσεων των κινδύνων πλημμύρας και των χαρτών επικινδυνότητας πλημμύρας και κινδύνων πλημμύρας και των ΣΔΚΠ του 2ου κύκλου.</w:t>
            </w:r>
          </w:p>
          <w:p>
            <w:pPr>
              <w:pStyle w:val="ListParagraph"/>
              <w:numPr>
                <w:ilvl w:val="0"/>
                <w:numId w:val="34"/>
              </w:numPr>
              <w:jc w:val="both"/>
              <w:rPr>
                <w:rFonts w:ascii="Times New Roman" w:hAnsi="Times New Roman" w:cs="Times New Roman"/>
                <w:bCs/>
                <w:noProof/>
                <w:sz w:val="24"/>
                <w:szCs w:val="24"/>
              </w:rPr>
            </w:pPr>
            <w:r>
              <w:rPr>
                <w:rFonts w:ascii="Times New Roman" w:hAnsi="Times New Roman"/>
                <w:noProof/>
                <w:sz w:val="24"/>
              </w:rPr>
              <w:t>Να εξηγήσει στον δεύτερο κύκλο τον τρόπο με τον οποίον εξετάστηκαν οι επιπτώσεις της κλιματικής αλλαγής.</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Πορτογαλία (PT)</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στην Πορτογαλία: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βελτιώσει την παρακολούθηση των επιφανειακών υδάτων καλύπτοντας όλα τα σχετικά στοιχεία ποιότητας σε όλες τις κατηγορίες υδάτων.  Να συμπεριλάβει στην επιχειρησιακή παρακολούθηση όλα τα υδατικά συστήματα που υπόκεινται σε σημαντικές πιέσεις, συμπεριλαμβανομένων των παράκτιων υδάτων.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περαιτέρω την αιτιολόγηση για τη χρήση του άρθρου 4 παράγραφος 7 με την εξασφάλιση ότι κάθε έργο αξιολογείται σε επίπεδο υδατικού συστήματος, εκτός από τις αξιολογήσεις στρατηγικού επιπέδου.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συνεχίσει να επικαιροποιεί τις άδειες για όλους τους κανονισμούς περί αντλήσεων και ροής.</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ότι οι ΠΛΠ των νήσων παρέχουν περισσότερες πληροφορίες σχετικά με τις πιέσεις από ουσίες προτεραιότητας και (ενδεχόμενους) ρύπους της συγκεκριμένης λεκάνης απορροής ποταμού, προκειμένου να καθοριστούν τα κατάλληλα μέτρα.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ότι οι ειδικοί στόχοι για τις προστατευόμενες περιοχές οστρακοειδών, συμπεριλαμβανομένων των καθοδηγητικών τιμών για τα μικροβιολογικά πρότυπα, συμμορφώνονται με την καταργηθείσα οδηγία περί των υδάτων για οστρακοειδή.</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στην Πορτογαλία:</w:t>
            </w:r>
            <w:r>
              <w:rPr>
                <w:noProof/>
              </w:rPr>
              <w:tab/>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Να θέσει μετρήσιμους στόχους στα ΣΔΚΠ στο μέτρο του δυνατού και να συνδέσει τα μέτρα με τους στόχους</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 xml:space="preserve">Να διασφαλίσει ότι υπάρχουν οι κατάλληλες παραπομπές μεταξύ των ΣΔΚΠ, των περιοχών όπου υφίσταται ή ότι κρίνεται πιθανό να παρουσιασθεί δυνητικός σοβαρός κίνδυνος πλημμύρας και των χαρτών επικινδυνότητας πλημμύρας και κινδύνων πλημμύρας και ότι είναι συνεχώς διαθέσιμα σε όλα τα ενδιαφερόμενα μέρη και το κοινό σε προσιτή μορφή, μεταξύ άλλων και σε ψηφιακή.  </w:t>
            </w:r>
          </w:p>
          <w:p>
            <w:pPr>
              <w:pStyle w:val="ListParagraph"/>
              <w:numPr>
                <w:ilvl w:val="0"/>
                <w:numId w:val="35"/>
              </w:numPr>
              <w:jc w:val="both"/>
              <w:rPr>
                <w:rFonts w:ascii="Times New Roman" w:hAnsi="Times New Roman" w:cs="Times New Roman"/>
                <w:bCs/>
                <w:noProof/>
                <w:sz w:val="24"/>
                <w:szCs w:val="24"/>
              </w:rPr>
            </w:pPr>
            <w:r>
              <w:rPr>
                <w:rFonts w:ascii="Times New Roman" w:hAnsi="Times New Roman"/>
                <w:noProof/>
                <w:sz w:val="24"/>
              </w:rPr>
              <w:t xml:space="preserve">Να προσδιορίσει πιο συγκεκριμένα τις πηγές χρηματοδότησης για τα μέτρα. Να επιλέξει και να ιεραρχήσει μέτρα λαμβάνοντας υπόψη το κόστος και το όφελος, κατά περίπτωση.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Ρουμανία (RO)</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Ρουμανία: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καταβάλλει μεγαλύτερες προσπάθειες για την κατανομή των πιέσεων μεταξύ των τομέων.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την παρακολούθηση των επιφανειακών υδάτων καλύπτοντας όλα τα σχετικά στοιχεία ποιότητας σε όλες τις κατηγορίες υδάτων, συμπεριλαμβανομένων των υδρομορφολογικών στοιχείων ποιότητας και να βελτιώσει την ποσοτική και χημική παρακολούθηση των υπόγειων υδάτων.</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στηρίξει τη χρήση των εξαιρέσεων βάσει του άρθρου 4 παράγραφος 7 σε μια εμπεριστατωμένη αξιολόγηση όλων των βημάτων όπως απαιτείται από την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βελτιώσει την εφαρμογή των απαιτήσεων της οδηγίας για την επεξεργασία των αστικών λυμάτων, σε σχέση με την απαίτηση αυστηρότερης επεξεργασίας των λυμάτων για απόρριψη σε ευαίσθητες περιοχές και να εξασφαλίσει επενδύσεις για την κατάλληλη επεξεργασία των λυμάτων των μεγάλων πόλεων.</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Ρουμανία:</w:t>
            </w:r>
            <w:r>
              <w:rPr>
                <w:noProof/>
              </w:rPr>
              <w:tab/>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Να ενισχύσει τη σύνδεση μεταξύ των στόχων και των μέτρων και να υποδείξει εάν τα προγραμματισμένα μέτρα, μετά την ολοκλήρωσή τους, θα είναι επαρκή για την επίτευξη των στόχων.</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 xml:space="preserve">Να παρέχει εκτιμήσεις κόστους με σαφή εξήγηση των πηγών χρηματοδότησης για τα μέτρα στα ΣΔΚΠ. </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Να εξηγήσουν τον τρόπο επιλογής και ιεράρχησης των προτεινόμενων μέτρων, π.χ. τον τρόπο με τον οποίο σταθμίζονται οι διάφοροι παράγοντες που επηρεάζουν τις επιλογές (συμπεριλαμβανομένης της ανάλυσης κόστους-οφέλους, της αποτελεσματικότητας και της κλιματικής αλλαγής) και να διασφαλίσει τον συντονισμό με την εθνική στρατηγική προσαρμογής στην κλιματική αλλαγή.</w:t>
            </w:r>
          </w:p>
          <w:p>
            <w:pPr>
              <w:pStyle w:val="ListParagraph"/>
              <w:numPr>
                <w:ilvl w:val="0"/>
                <w:numId w:val="36"/>
              </w:numPr>
              <w:jc w:val="both"/>
              <w:rPr>
                <w:rFonts w:ascii="Times New Roman" w:hAnsi="Times New Roman" w:cs="Times New Roman"/>
                <w:bCs/>
                <w:noProof/>
                <w:sz w:val="24"/>
                <w:szCs w:val="24"/>
              </w:rPr>
            </w:pPr>
            <w:r>
              <w:rPr>
                <w:rFonts w:ascii="Times New Roman" w:hAnsi="Times New Roman"/>
                <w:noProof/>
                <w:sz w:val="24"/>
              </w:rPr>
              <w:t xml:space="preserve">Να διασφαλίσει ότι υπάρχουν οι κατάλληλες παραπομπές μεταξύ των ΣΔΚΠ, των περιοχών όπου υφίσταται ή ότι κρίνεται πιθανό να παρουσιασθεί δυνητικός σοβαρός κίνδυνος πλημμύρας και των χαρτών επικινδυνότητας πλημμύρας και κινδύνων πλημμύρας και ότι είναι συνεχώς διαθέσιμα σε όλα τα ενδιαφερόμενα μέρη και το κοινό σε προσιτή μορφή, μεταξύ άλλων και σε ψηφιακή.  </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Σουηδία (SE)</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Σουηδία: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τα πρότυπα περιβαλλοντικής ποιότητας είναι διαθέσιμα και επαρκή για όλους τους σχετικούς ρύπους της λεκάνης απορροής ποταμού.</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ενισχύσει την αιτιολόγηση των εξαιρέσεων με περαιτέρω τεκμηρίωση των συναφών αξιολογήσεων με πρόσθετα στοιχεία και πληροφορίες και περιορίζοντας τον εναπομείναντα βαθμό αβεβαιότητας. Να λάβει όλα τα απαραίτητα μέτρα για να περιορίσει όσο το δυνατόν περισσότερο τον αριθμό των εξαιρέσεων για τον επόμενο κύκλο, προκειμένου να διασφαλίσει την έγκαιρη επίτευξη των στόχων της ΟΠΥ.</w:t>
            </w:r>
          </w:p>
          <w:p>
            <w:pPr>
              <w:pStyle w:val="ListParagraph"/>
              <w:numPr>
                <w:ilvl w:val="0"/>
                <w:numId w:val="5"/>
              </w:numPr>
              <w:spacing w:after="200" w:line="276" w:lineRule="auto"/>
              <w:jc w:val="both"/>
              <w:rPr>
                <w:rFonts w:ascii="Times New Roman" w:hAnsi="Times New Roman" w:cs="Times New Roman"/>
                <w:bCs/>
                <w:noProof/>
                <w:sz w:val="24"/>
                <w:szCs w:val="24"/>
              </w:rPr>
            </w:pPr>
            <w:r>
              <w:rPr>
                <w:rFonts w:ascii="Times New Roman" w:hAnsi="Times New Roman"/>
                <w:noProof/>
                <w:sz w:val="24"/>
              </w:rPr>
              <w:t>Να εξετάσει το ενδεχόμενο να καταρτίσει σχέδια διαχείρισης της ξηρασίας, κατά περίπτωση, ιδίως στις ΠΛΠ με τοπικά φαινόμενα ξηρασίας.</w:t>
            </w:r>
          </w:p>
        </w:tc>
        <w:tc>
          <w:tcPr>
            <w:tcW w:w="6656" w:type="dxa"/>
          </w:tcPr>
          <w:p>
            <w:pPr>
              <w:ind w:left="34" w:hanging="34"/>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Σουηδία:</w:t>
            </w:r>
            <w:r>
              <w:rPr>
                <w:noProof/>
              </w:rPr>
              <w:tab/>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 xml:space="preserve">Να παρέχει συγκεκριμένες και μετρήσιμες πληροφορίες στα ΣΔΚΠ σχετικά με τα μέτρα τους, συμπεριλαμβανομένων των εκτιμώμενων δαπανών και της χρηματοδότησης· να παρέχει επίσης πληροφορίες σχετικά με τις προτεραιότητες σε όλα τα μέτρα και τις μεθόδους που χρησιμοποιούνται για την ιεράρχηση.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 xml:space="preserve">Να αναλύσει καλύτερα τον τρόπο με τον οποίον οι επιπτώσεις της κλιματικής αλλαγής εξετάστηκαν στον 2ο κύκλο, συμπεριλαμβανομένου του συντονισμού με την εθνική στρατηγική προσαρμογής στην κλιματική αλλαγή. </w:t>
            </w:r>
          </w:p>
          <w:p>
            <w:pPr>
              <w:pStyle w:val="ListParagraph"/>
              <w:numPr>
                <w:ilvl w:val="0"/>
                <w:numId w:val="37"/>
              </w:numPr>
              <w:jc w:val="both"/>
              <w:rPr>
                <w:rFonts w:ascii="Times New Roman" w:hAnsi="Times New Roman" w:cs="Times New Roman"/>
                <w:bCs/>
                <w:noProof/>
                <w:sz w:val="24"/>
                <w:szCs w:val="24"/>
              </w:rPr>
            </w:pPr>
            <w:r>
              <w:rPr>
                <w:rFonts w:ascii="Times New Roman" w:hAnsi="Times New Roman"/>
                <w:noProof/>
                <w:sz w:val="24"/>
              </w:rPr>
              <w:t>Να ενισχύσει τον συντονισμό μεταξύ των ΣΔΚΠ και των ΣΔΛΑΠ.</w:t>
            </w:r>
          </w:p>
          <w:p>
            <w:pPr>
              <w:ind w:left="738" w:hanging="738"/>
              <w:jc w:val="both"/>
              <w:rPr>
                <w:rFonts w:ascii="Times New Roman" w:hAnsi="Times New Roman" w:cs="Times New Roman"/>
                <w:bCs/>
                <w:noProof/>
                <w:sz w:val="24"/>
                <w:szCs w:val="24"/>
              </w:rPr>
            </w:pP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Σλοβενία (SI)</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Σλοβενία: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συνεχίσει να βελτιώνει την παρακολούθηση των επιφανειακών υδάτων καλύπτοντας όλα τα σχετικά στοιχεία ποιότητας σε όλες τις κατηγορίες υδάτων και να καταρτίσει μεθόδους αξιολόγησης για όλα τα βιολογικά στοιχεία ποιότητας σε όλες τις κατηγορίες υδάτων.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γίνει σαφής διάκριση μεταξύ του χαρακτηρισμού των ιδιαιτέρως τροποποιημένων υδατικών συστημάτων και της εφαρμογής των εξαιρέσεων. Να στηρίξει τη χρήση των εξαιρέσεων βάσει του άρθρου 4 παράγραφος 7 σε μια εμπεριστατωμένη αξιολόγηση όλων των βημάτων όπως απαιτείται από την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εξασφαλίσει την εφαρμογή μέτρων για την αντιμετώπιση των υδρομορφολογικών πιέσεων, ενδεχομένως μέσω αναθεώρησης των αδειών/παραχωρήσεων και της διάθεσης των απαραίτητων πόρων.</w:t>
            </w:r>
          </w:p>
        </w:tc>
        <w:tc>
          <w:tcPr>
            <w:tcW w:w="6656" w:type="dxa"/>
          </w:tcPr>
          <w:p>
            <w:pPr>
              <w:ind w:left="-108" w:firstLine="108"/>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Σλοβενία:</w:t>
            </w:r>
            <w:r>
              <w:rPr>
                <w:noProof/>
              </w:rPr>
              <w:tab/>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Να εξηγήσει καλύτερα και να τεκμηριώσει τη διαδικασία θέσης στόχων. Να θέσει συγκεκριμένους και μετρήσιμους στόχους, για τη διασφάλιση της επίτευξής τους.</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 xml:space="preserve">Να παρουσιάσει και να εξηγήσει στα ΣΔΚΠ τη βασική γραμμή για την εφαρμογή των μέτρων η οποία θα χρησιμοποιηθεί για την παρακολούθηση της προόδου. </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Να διασφαλίσει ότι υπάρχουν οι κατάλληλες παραπομπές μεταξύ των ΣΔΚΠ, των περιοχών όπου υφίσταται ή ότι κρίνεται πιθανό να παρουσιασθεί δυνητικός σοβαρός κίνδυνος πλημμύρας και των χαρτών επικινδυνότητας πλημμύρας και κινδύνων πλημμύρας και ότι είναι συνεχώς διαθέσιμα σε όλα τα ενδιαφερόμενα μέρη και το κοινό σε προσιτή μορφή, μεταξύ άλλων και σε ψηφιακή. Να παρουσιάσει τα αποτελέσματα της ενεργού συμμετοχής των ενδιαφερόμενων φορέων στην κατάρτιση των ΣΔΚΠ και της δημόσιας διαβούλευσης στα ΣΔΚΠ.</w:t>
            </w:r>
          </w:p>
          <w:p>
            <w:pPr>
              <w:pStyle w:val="ListParagraph"/>
              <w:numPr>
                <w:ilvl w:val="0"/>
                <w:numId w:val="38"/>
              </w:numPr>
              <w:jc w:val="both"/>
              <w:rPr>
                <w:rFonts w:ascii="Times New Roman" w:hAnsi="Times New Roman" w:cs="Times New Roman"/>
                <w:bCs/>
                <w:noProof/>
                <w:sz w:val="24"/>
                <w:szCs w:val="24"/>
              </w:rPr>
            </w:pPr>
            <w:r>
              <w:rPr>
                <w:rFonts w:ascii="Times New Roman" w:hAnsi="Times New Roman"/>
                <w:noProof/>
                <w:sz w:val="24"/>
              </w:rPr>
              <w:t>Να εξασφαλίσει τον συντονισμό με την εθνική στρατηγική προσαρμογής στην κλιματική αλλαγή.</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Σλοβακία (SK)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στη Σλοβακία:</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καθορίσει συνθήκες αναφοράς για όλους τους τύπους στοιχείων ποιότητας, ιδίως των υδρομορφολογικών στοιχείων ποιότητας και να βελτιώσει την εκτίμηση των πιέσεων και των επιπτώσεων.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ολοκληρώσει το πλαίσιο παρακολούθησης που απαιτείται για τον σχεδιασμό αποτελεσματικών προγραμμάτων μέτρων.</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αντιμετωπίσει τις μετρήσεις ουσιών προτεραιότητας χαμηλότερες από το όριο ποσοτικού προσδιορισμού σύμφωνα με τον τρόπο που ορίζεται στο άρθρο 5 της οδηγίας 2009/90/ΕΚ της Επιτροπής.</w:t>
            </w:r>
          </w:p>
          <w:p>
            <w:pPr>
              <w:pStyle w:val="ListParagraph"/>
              <w:numPr>
                <w:ilvl w:val="0"/>
                <w:numId w:val="5"/>
              </w:numPr>
              <w:ind w:left="499" w:hanging="357"/>
              <w:jc w:val="both"/>
              <w:rPr>
                <w:rFonts w:ascii="Times New Roman" w:hAnsi="Times New Roman" w:cs="Times New Roman"/>
                <w:bCs/>
                <w:noProof/>
                <w:sz w:val="24"/>
                <w:szCs w:val="24"/>
              </w:rPr>
            </w:pPr>
            <w:r>
              <w:rPr>
                <w:rFonts w:ascii="Times New Roman" w:hAnsi="Times New Roman"/>
                <w:noProof/>
                <w:sz w:val="24"/>
              </w:rPr>
              <w:t>Να στηρίξει τη χρήση των εξαιρέσεων βάσει του άρθρου 4 παράγραφος 7 σε μια εμπεριστατωμένη αξιολόγηση όλων των βημάτων όπως απαιτείται από την ΟΠΥ.</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διασφαλίσει ότι τα μέτρα που αναφέρονται για μεμονωμένες ουσίες που προκαλούν αποτυχίες επίτευξης καλής κατάστασης είναι επαρκή για την επίτευξη των στόχων της ΟΠΥ. Να εφαρμόσει και να υποβάλει σαφείς εκθέσεις για τη μείωση των εκπομπών από επικίνδυνες ουσίες προτεραιότητας.</w:t>
            </w:r>
          </w:p>
        </w:tc>
        <w:tc>
          <w:tcPr>
            <w:tcW w:w="6656" w:type="dxa"/>
          </w:tcPr>
          <w:p>
            <w:pPr>
              <w:ind w:firstLine="29"/>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στη Σλοβακία:</w:t>
            </w:r>
            <w:r>
              <w:rPr>
                <w:noProof/>
              </w:rPr>
              <w:tab/>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Να θέσει συγκεκριμένους και μετρήσιμους στόχους στα ΣΔΚΠ, καθώς και συνδέσμους με τα μέτρα που υποδεικνύουν τον τρόπο με τον οποίο θα επιτευχθούν οι στόχοι του ΣΔΚΠ με την εφαρμογή των μέτρων. Θα πρέπει να καθοριστεί μια γραμμή βάσης.</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Να παρουσιάσει σαφέστερα τα μέτρα στα ΣΔΚΠ.</w:t>
            </w:r>
          </w:p>
          <w:p>
            <w:pPr>
              <w:pStyle w:val="ListParagraph"/>
              <w:numPr>
                <w:ilvl w:val="0"/>
                <w:numId w:val="39"/>
              </w:numPr>
              <w:jc w:val="both"/>
              <w:rPr>
                <w:rFonts w:ascii="Times New Roman" w:hAnsi="Times New Roman" w:cs="Times New Roman"/>
                <w:bCs/>
                <w:noProof/>
                <w:sz w:val="24"/>
                <w:szCs w:val="24"/>
              </w:rPr>
            </w:pPr>
            <w:r>
              <w:rPr>
                <w:rFonts w:ascii="Times New Roman" w:hAnsi="Times New Roman"/>
                <w:noProof/>
                <w:sz w:val="24"/>
              </w:rPr>
              <w:t>Να ενισχύσει την παρουσίαση της δημόσιας διαβούλευσης και της συμμετοχής των ενδιαφερόμενων φορέων στο ΣΔΚΠ.</w:t>
            </w:r>
          </w:p>
        </w:tc>
      </w:tr>
      <w:tr>
        <w:trPr>
          <w:trHeight w:val="315"/>
        </w:trPr>
        <w:tc>
          <w:tcPr>
            <w:tcW w:w="1101" w:type="dxa"/>
            <w:noWrap/>
            <w:hideMark/>
          </w:tcPr>
          <w:p>
            <w:pPr>
              <w:jc w:val="both"/>
              <w:rPr>
                <w:rFonts w:ascii="Times New Roman" w:eastAsia="Times New Roman" w:hAnsi="Times New Roman" w:cs="Times New Roman"/>
                <w:b/>
                <w:noProof/>
                <w:color w:val="000000"/>
                <w:sz w:val="24"/>
                <w:szCs w:val="24"/>
              </w:rPr>
            </w:pPr>
            <w:r>
              <w:rPr>
                <w:rFonts w:ascii="Times New Roman" w:hAnsi="Times New Roman"/>
                <w:b/>
                <w:noProof/>
                <w:color w:val="000000"/>
                <w:sz w:val="24"/>
              </w:rPr>
              <w:t>Ηνωμένο Βασίλειο (UK)</w:t>
            </w:r>
          </w:p>
        </w:tc>
        <w:tc>
          <w:tcPr>
            <w:tcW w:w="6418"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2α ΣΔΛΑΠ, συνιστάται ιδιαίτερα στο Ηνωμένο Βασίλειο:</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διασφαλίσει ότι, κατά την κατάρτιση των επόμενων ΣΔΛΑΠ, διεξάγεται κατάλληλη διαβούλευση με το κοινό λαμβάνοντας υπόψη τον σκοπό και την πολυπλοκότητα του εν λόγω εγγράφου.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 xml:space="preserve">Να αντιμετωπίσει τις μεγάλες αβεβαιότητες που αναφέρθηκαν σε σχέση με την εκτίμηση της κατάστασης, των πιέσεων και των επιπτώσεων των πιθανών μέτρων για τα συστήματα υπόγειων υδάτων. </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συνεχίσει να βελτιώνει τις αιτιολογήσεις για την εφαρμογή των εξαιρέσεων σε σχέση με το άρθρο 4 παράγραφος 4 και άρθρο 4 παράγραφος 5 και να τις καταστήσει περισσότερο διαφανείς σε όλα τα ΣΔΛΑΠ. Να επανεξετάσει ιδιαίτερα τα κριτήρια που χρησιμοποιούνται για την αιτιολόγηση των εξαιρέσεων του άρθρου 4 παράγραφος 5.</w:t>
            </w:r>
          </w:p>
          <w:p>
            <w:pPr>
              <w:pStyle w:val="ListParagraph"/>
              <w:numPr>
                <w:ilvl w:val="0"/>
                <w:numId w:val="5"/>
              </w:numPr>
              <w:jc w:val="both"/>
              <w:rPr>
                <w:rFonts w:ascii="Times New Roman" w:hAnsi="Times New Roman" w:cs="Times New Roman"/>
                <w:bCs/>
                <w:noProof/>
                <w:sz w:val="24"/>
                <w:szCs w:val="24"/>
              </w:rPr>
            </w:pPr>
            <w:r>
              <w:rPr>
                <w:rFonts w:ascii="Times New Roman" w:hAnsi="Times New Roman"/>
                <w:noProof/>
                <w:sz w:val="24"/>
              </w:rPr>
              <w:t>Να υποδείξει σαφώς σε όλες τις ΠΛΠ, τον βαθμό στον οποίο τα βασικά μέτρα ή τα συμπληρωματικά μέτρα θα συμβάλουν στην επίτευξη των στόχων της ΟΠΥ, σε ό, τι αφορά την καλυπτόμενη περιοχή και τον μετριασμένο κίνδυνο ρύπανσης. Να προσδιορίσει πηγές χρηματοδότησης για τη διευκόλυνση της επιτυχούς εφαρμογής των μέτρων σε όλες τις ΠΛΠ.</w:t>
            </w:r>
          </w:p>
        </w:tc>
        <w:tc>
          <w:tcPr>
            <w:tcW w:w="6656" w:type="dxa"/>
          </w:tcPr>
          <w:p>
            <w:pPr>
              <w:jc w:val="both"/>
              <w:rPr>
                <w:rFonts w:ascii="Times New Roman" w:hAnsi="Times New Roman" w:cs="Times New Roman"/>
                <w:bCs/>
                <w:noProof/>
                <w:sz w:val="24"/>
                <w:szCs w:val="24"/>
              </w:rPr>
            </w:pPr>
            <w:r>
              <w:rPr>
                <w:rFonts w:ascii="Times New Roman" w:hAnsi="Times New Roman"/>
                <w:noProof/>
                <w:sz w:val="24"/>
              </w:rPr>
              <w:t>Με βάση τα πορίσματα που προέκυψαν από τα 1α ΣΔΚΠ, συνιστάται ιδιαίτερα στο Ηνωμένο Βασίλειο:</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 xml:space="preserve">Να θέσει μετρήσιμους στόχους στα ΣΔΚΠ στο μέτρο του δυνατού. </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Να παρουσιάσει τη μεθοδολογία για την αξιολόγηση των μέτρων από άποψη κόστους και οφέλους, καθώς και της εφαρμογής και των αποτελεσμάτων της συγκεκριμένης ανάλυσης. Να τεκμηριώσει καλύτερα την ιεράρχηση των μέτρων, συμπεριλαμβανομένης της διαδικασίας.</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Να συμπεριλάβει μια εκτίμηση του κόστους των μέτρων σε όλα τα ΣΔΚΠ και να εξηγήσει τον τρόπο με τον οποίο η έλλειψη χρηματοδότησης μπορεί να έχει αντίκτυπο στην εφαρμογή των μέτρων.</w:t>
            </w:r>
          </w:p>
          <w:p>
            <w:pPr>
              <w:pStyle w:val="ListParagraph"/>
              <w:numPr>
                <w:ilvl w:val="0"/>
                <w:numId w:val="40"/>
              </w:numPr>
              <w:jc w:val="both"/>
              <w:rPr>
                <w:rFonts w:ascii="Times New Roman" w:hAnsi="Times New Roman" w:cs="Times New Roman"/>
                <w:bCs/>
                <w:noProof/>
                <w:sz w:val="24"/>
                <w:szCs w:val="24"/>
              </w:rPr>
            </w:pPr>
            <w:r>
              <w:rPr>
                <w:rFonts w:ascii="Times New Roman" w:hAnsi="Times New Roman"/>
                <w:noProof/>
                <w:sz w:val="24"/>
              </w:rPr>
              <w:t>Να εξασφαλίσει τον συστηματικό συντονισμό με την εθνική στρατηγική προσαρμογής στην κλιματική αλλαγή</w:t>
            </w:r>
          </w:p>
        </w:tc>
      </w:tr>
    </w:tbl>
    <w:p>
      <w:pPr>
        <w:spacing w:after="0" w:line="240" w:lineRule="auto"/>
        <w:jc w:val="both"/>
        <w:rPr>
          <w:rFonts w:ascii="Times New Roman" w:hAnsi="Times New Roman" w:cs="Times New Roman"/>
          <w:bCs/>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2D"/>
    <w:multiLevelType w:val="hybridMultilevel"/>
    <w:tmpl w:val="2D72C25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
    <w:nsid w:val="0B9573DD"/>
    <w:multiLevelType w:val="hybridMultilevel"/>
    <w:tmpl w:val="7F8CB87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DEA0660"/>
    <w:multiLevelType w:val="hybridMultilevel"/>
    <w:tmpl w:val="5E462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92763"/>
    <w:multiLevelType w:val="hybridMultilevel"/>
    <w:tmpl w:val="8752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DC057C"/>
    <w:multiLevelType w:val="hybridMultilevel"/>
    <w:tmpl w:val="35C2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61C82"/>
    <w:multiLevelType w:val="hybridMultilevel"/>
    <w:tmpl w:val="BEE2979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15F34945"/>
    <w:multiLevelType w:val="hybridMultilevel"/>
    <w:tmpl w:val="3FF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5C47BC"/>
    <w:multiLevelType w:val="hybridMultilevel"/>
    <w:tmpl w:val="6D16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84FFD"/>
    <w:multiLevelType w:val="hybridMultilevel"/>
    <w:tmpl w:val="ADC6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969DF"/>
    <w:multiLevelType w:val="hybridMultilevel"/>
    <w:tmpl w:val="A6C2DD1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288C4647"/>
    <w:multiLevelType w:val="multilevel"/>
    <w:tmpl w:val="B302FE6E"/>
    <w:lvl w:ilvl="0">
      <w:start w:val="1"/>
      <w:numFmt w:val="bullet"/>
      <w:pStyle w:val="Bullet"/>
      <w:lvlText w:val=""/>
      <w:lvlJc w:val="left"/>
      <w:pPr>
        <w:tabs>
          <w:tab w:val="num" w:pos="567"/>
        </w:tabs>
        <w:ind w:left="567" w:hanging="567"/>
      </w:pPr>
      <w:rPr>
        <w:rFonts w:ascii="Symbol" w:hAnsi="Symbol" w:hint="default"/>
        <w:sz w:val="24"/>
      </w:rPr>
    </w:lvl>
    <w:lvl w:ilvl="1">
      <w:start w:val="1"/>
      <w:numFmt w:val="bullet"/>
      <w:pStyle w:val="Bulletsub"/>
      <w:lvlText w:val=""/>
      <w:lvlJc w:val="left"/>
      <w:pPr>
        <w:tabs>
          <w:tab w:val="num" w:pos="709"/>
        </w:tabs>
        <w:ind w:left="709"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nsid w:val="2AE264AE"/>
    <w:multiLevelType w:val="hybridMultilevel"/>
    <w:tmpl w:val="49800F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
    <w:nsid w:val="2B021980"/>
    <w:multiLevelType w:val="hybridMultilevel"/>
    <w:tmpl w:val="D554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A635A"/>
    <w:multiLevelType w:val="hybridMultilevel"/>
    <w:tmpl w:val="6AEC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2C1C14"/>
    <w:multiLevelType w:val="multilevel"/>
    <w:tmpl w:val="33B4CA7A"/>
    <w:lvl w:ilvl="0">
      <w:start w:val="1"/>
      <w:numFmt w:val="decimal"/>
      <w:pStyle w:val="Heading1"/>
      <w:lvlText w:val="%1."/>
      <w:lvlJc w:val="left"/>
      <w:pPr>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85A0505"/>
    <w:multiLevelType w:val="hybridMultilevel"/>
    <w:tmpl w:val="6F56946E"/>
    <w:lvl w:ilvl="0" w:tplc="4032452E">
      <w:start w:val="1"/>
      <w:numFmt w:val="bullet"/>
      <w:lvlText w:val=""/>
      <w:lvlJc w:val="left"/>
      <w:pPr>
        <w:ind w:left="360" w:hanging="360"/>
      </w:pPr>
      <w:rPr>
        <w:rFonts w:ascii="Symbol" w:hAnsi="Symbol" w:hint="default"/>
      </w:rPr>
    </w:lvl>
    <w:lvl w:ilvl="1" w:tplc="F4AE4A7C">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386B0E92"/>
    <w:multiLevelType w:val="hybridMultilevel"/>
    <w:tmpl w:val="6E18F87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388E4C1A"/>
    <w:multiLevelType w:val="hybridMultilevel"/>
    <w:tmpl w:val="7898E29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3D64749E"/>
    <w:multiLevelType w:val="hybridMultilevel"/>
    <w:tmpl w:val="D0E6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1945D0"/>
    <w:multiLevelType w:val="hybridMultilevel"/>
    <w:tmpl w:val="1F1C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614CB6"/>
    <w:multiLevelType w:val="hybridMultilevel"/>
    <w:tmpl w:val="408CCE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4AF43FC2"/>
    <w:multiLevelType w:val="hybridMultilevel"/>
    <w:tmpl w:val="5F8C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231848"/>
    <w:multiLevelType w:val="hybridMultilevel"/>
    <w:tmpl w:val="23721EB0"/>
    <w:lvl w:ilvl="0" w:tplc="080C0001">
      <w:start w:val="1"/>
      <w:numFmt w:val="bullet"/>
      <w:lvlText w:val=""/>
      <w:lvlJc w:val="left"/>
      <w:pPr>
        <w:ind w:left="1004" w:hanging="72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4D0204F8"/>
    <w:multiLevelType w:val="hybridMultilevel"/>
    <w:tmpl w:val="B2284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B61C20"/>
    <w:multiLevelType w:val="hybridMultilevel"/>
    <w:tmpl w:val="5F2E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5B7D40"/>
    <w:multiLevelType w:val="hybridMultilevel"/>
    <w:tmpl w:val="E35E4F5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A486770">
      <w:numFmt w:val="bullet"/>
      <w:lvlText w:val="•"/>
      <w:lvlJc w:val="left"/>
      <w:pPr>
        <w:ind w:left="1800" w:hanging="360"/>
      </w:pPr>
      <w:rPr>
        <w:rFonts w:ascii="Times New Roman" w:eastAsiaTheme="minorHAnsi"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091D9B"/>
    <w:multiLevelType w:val="hybridMultilevel"/>
    <w:tmpl w:val="1B04B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0338A2"/>
    <w:multiLevelType w:val="hybridMultilevel"/>
    <w:tmpl w:val="E216284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nsid w:val="5D89150F"/>
    <w:multiLevelType w:val="hybridMultilevel"/>
    <w:tmpl w:val="47620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313C3D"/>
    <w:multiLevelType w:val="hybridMultilevel"/>
    <w:tmpl w:val="7E02B19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nsid w:val="5F4A5A24"/>
    <w:multiLevelType w:val="hybridMultilevel"/>
    <w:tmpl w:val="DDCA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C2864"/>
    <w:multiLevelType w:val="hybridMultilevel"/>
    <w:tmpl w:val="7D5CAB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9E5501"/>
    <w:multiLevelType w:val="hybridMultilevel"/>
    <w:tmpl w:val="BA02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0111AD9"/>
    <w:multiLevelType w:val="hybridMultilevel"/>
    <w:tmpl w:val="7A8E2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4A3A33"/>
    <w:multiLevelType w:val="hybridMultilevel"/>
    <w:tmpl w:val="FDA447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788315B8"/>
    <w:multiLevelType w:val="hybridMultilevel"/>
    <w:tmpl w:val="CAD4A1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nsid w:val="79342455"/>
    <w:multiLevelType w:val="hybridMultilevel"/>
    <w:tmpl w:val="28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318C0"/>
    <w:multiLevelType w:val="hybridMultilevel"/>
    <w:tmpl w:val="526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46BB3"/>
    <w:multiLevelType w:val="hybridMultilevel"/>
    <w:tmpl w:val="F652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6"/>
  </w:num>
  <w:num w:numId="3">
    <w:abstractNumId w:val="32"/>
  </w:num>
  <w:num w:numId="4">
    <w:abstractNumId w:val="7"/>
  </w:num>
  <w:num w:numId="5">
    <w:abstractNumId w:val="25"/>
  </w:num>
  <w:num w:numId="6">
    <w:abstractNumId w:val="10"/>
  </w:num>
  <w:num w:numId="7">
    <w:abstractNumId w:val="11"/>
  </w:num>
  <w:num w:numId="8">
    <w:abstractNumId w:val="22"/>
  </w:num>
  <w:num w:numId="9">
    <w:abstractNumId w:val="12"/>
  </w:num>
  <w:num w:numId="10">
    <w:abstractNumId w:val="10"/>
  </w:num>
  <w:num w:numId="11">
    <w:abstractNumId w:val="15"/>
  </w:num>
  <w:num w:numId="12">
    <w:abstractNumId w:val="34"/>
  </w:num>
  <w:num w:numId="13">
    <w:abstractNumId w:val="20"/>
  </w:num>
  <w:num w:numId="14">
    <w:abstractNumId w:val="18"/>
  </w:num>
  <w:num w:numId="15">
    <w:abstractNumId w:val="19"/>
  </w:num>
  <w:num w:numId="16">
    <w:abstractNumId w:val="35"/>
  </w:num>
  <w:num w:numId="17">
    <w:abstractNumId w:val="30"/>
  </w:num>
  <w:num w:numId="18">
    <w:abstractNumId w:val="26"/>
  </w:num>
  <w:num w:numId="19">
    <w:abstractNumId w:val="4"/>
  </w:num>
  <w:num w:numId="20">
    <w:abstractNumId w:val="16"/>
  </w:num>
  <w:num w:numId="21">
    <w:abstractNumId w:val="31"/>
  </w:num>
  <w:num w:numId="22">
    <w:abstractNumId w:val="33"/>
  </w:num>
  <w:num w:numId="23">
    <w:abstractNumId w:val="21"/>
  </w:num>
  <w:num w:numId="24">
    <w:abstractNumId w:val="8"/>
  </w:num>
  <w:num w:numId="25">
    <w:abstractNumId w:val="24"/>
  </w:num>
  <w:num w:numId="26">
    <w:abstractNumId w:val="28"/>
  </w:num>
  <w:num w:numId="27">
    <w:abstractNumId w:val="2"/>
  </w:num>
  <w:num w:numId="28">
    <w:abstractNumId w:val="13"/>
  </w:num>
  <w:num w:numId="29">
    <w:abstractNumId w:val="29"/>
  </w:num>
  <w:num w:numId="30">
    <w:abstractNumId w:val="5"/>
  </w:num>
  <w:num w:numId="31">
    <w:abstractNumId w:val="3"/>
  </w:num>
  <w:num w:numId="32">
    <w:abstractNumId w:val="23"/>
  </w:num>
  <w:num w:numId="33">
    <w:abstractNumId w:val="1"/>
  </w:num>
  <w:num w:numId="34">
    <w:abstractNumId w:val="6"/>
  </w:num>
  <w:num w:numId="35">
    <w:abstractNumId w:val="27"/>
  </w:num>
  <w:num w:numId="36">
    <w:abstractNumId w:val="17"/>
  </w:num>
  <w:num w:numId="37">
    <w:abstractNumId w:val="9"/>
  </w:num>
  <w:num w:numId="38">
    <w:abstractNumId w:val="37"/>
  </w:num>
  <w:num w:numId="39">
    <w:abstractNumId w:val="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u964?\u951?\u962?"/>
    <w:docVar w:name="LW_ANNEX_NBR_FIRST" w:val="1"/>
    <w:docVar w:name="LW_ANNEX_NBR_LAST" w:val="1"/>
    <w:docVar w:name="LW_ANNEX_UNIQUE" w:val="1"/>
    <w:docVar w:name="LW_CORRIGENDUM" w:val="&lt;UNUSED&gt;"/>
    <w:docVar w:name="LW_COVERPAGE_EXISTS" w:val="True"/>
    <w:docVar w:name="LW_COVERPAGE_GUID" w:val="78FAC64E-556B-4317-A7BA-51238FFC2EE7"/>
    <w:docVar w:name="LW_COVERPAGE_TYPE" w:val="1"/>
    <w:docVar w:name="LW_CROSSREFERENCE" w:val="{SWD(2019) 30 final} - {SWD(2019) 31 final} - {SWD(2019) 32 final} - {SWD(2019) 33 final} - {SWD(2019) 34 final} - {SWD(2019) 35 final} - {SWD(2019) 36 final} - {SWD(2019) 37 final} - {SWD(2019) 38 final} - {SWD(2019) 39 final} - {SWD(2019) 40 final} - {SWD(2019) 41 final} - {SWD(2019) 42 final} - {SWD(2019) 43 final} - {SWD(2019) 44 final} - {SWD(2019) 45 final} - {SWD(2019) 46 final} - {SWD(2019) 47 final} - {SWD(2019) 48 final} - {SWD(2019) 49 final} - {SWD(2019) 50 final} - {SWD(2019) 51 final} - {SWD(2019) 52 final} - {SWD(2019) 53 final} - {SWD(2019) 54 final} - {SWD(2019) 55 final} - {SWD(2019) 56 final} - {SWD(2019) 57 final} - {SWD(2019) 58 final} - {SWD(2019) 59 final} - {SWD(2019) 60 final} - {SWD(2019) 61 final} - {SWD(2019) 62 final} - {SWD(2019) 63 final} - {SWD(2019) 64 final} - {SWD(2019) 65 final} - {SWD(2019) 66 final} - {SWD(2019) 67 final} - {SWD(2019) 68 final} - {SWD(2019) 69 final} - {SWD(2019) 70 final} - {SWD(2019) 71 final} - {SWD(2019) 72 final} - {SWD(2019) 73 final} - {SWD(2019) 74 final} - {SWD(2019) 75 final} - {SWD(2019) 76 final} - {SWD(2019) 77 final} - {SWD(2019) 78 final} - {SWD(2019) 79 final} - {SWD(2019) 80 final} - {SWD(2019) 81 final} - {SWD(2019) 82 final} - {SWD(2019) 83 final} - {SWD(2019) 84 final}"/>
    <w:docVar w:name="LW_DocType" w:val="NORMAL"/>
    <w:docVar w:name="LW_EMISSION" w:val="26.2.2019"/>
    <w:docVar w:name="LW_EMISSION_ISODATE" w:val="2019-02-26"/>
    <w:docVar w:name="LW_EMISSION_LOCATION" w:val="BRX"/>
    <w:docVar w:name="LW_EMISSION_PREFIX" w:val="Βρυξέλλες, "/>
    <w:docVar w:name="LW_EMISSION_SUFFIX" w:val=" "/>
    <w:docVar w:name="LW_ID_DOCTYPE_NONLW" w:val="CP-039"/>
    <w:docVar w:name="LW_LANGUE" w:val="EL"/>
    <w:docVar w:name="LW_LEVEL_OF_SENSITIVITY" w:val="Standard treatment"/>
    <w:docVar w:name="LW_NOM.INST" w:val="\u917?\u933?\u929?\u937?\u928?\u913?\u938?\u922?\u919? \u917?\u928?\u921?\u932?\u929?\u927?\u928?\u919?"/>
    <w:docVar w:name="LW_NOM.INST_JOINTDOC" w:val="&lt;EMPTY&gt;"/>
    <w:docVar w:name="LW_OBJETACTEPRINCIPAL.CP" w:val="\u963?\u967?\u949?\u964?\u953?\u954?\u940? \u956?\u949? \u964?\u951?\u957? \u949?\u966?\u945?\u961?\u956?\u959?\u947?\u942? \u964?\u951?\u962? \u959?\u948?\u951?\u947?\u943?\u945?\u962?-\u960?\u955?\u945?\u953?\u963?\u943?\u959?\u965? \u947?\u953?\u945? \u964?\u945? \u973?\u948?\u945?\u964?\u945? (2000/60/\u917?\u922?) \u954?\u945?\u953? \u964?\u951?\u962? \u959?\u948?\u951?\u947?\u943?\u945?\u962? \u947?\u953?\u945? \u964?\u953?\u962? \u960?\u955?\u951?\u956?\u956?\u973?\u961?\u949?\u962? (2007/60/\u917?\u922?)_x000b__x000b_\u916?\u949?\u973?\u964?\u949?\u961?\u945? \u963?\u967?\u941?\u948?\u953?\u945? \u948?\u953?\u945?\u967?\u949?\u943?\u961?\u953?\u963?\u951?\u962? \u955?\u949?\u954?\u940?\u957?\u951?\u962? \u945?\u960?\u959?\u961?\u961?\u959?\u942?\u962? \u960?\u959?\u964?\u945?\u956?\u959?\u973? _x000b_\u928?\u961?\u974?\u964?\u945? \u963?\u967?\u941?\u948?\u953?\u945? \u948?\u953?\u945?\u967?\u949?\u943?\u961?\u953?\u963?\u951?\u962? \u954?\u953?\u957?\u948?\u973?\u957?\u969?\u957? \u960?\u955?\u951?\u956?\u956?\u973?\u961?\u945?\u962? "/>
    <w:docVar w:name="LW_PART_NBR" w:val="1"/>
    <w:docVar w:name="LW_PART_NBR_TOTAL" w:val="1"/>
    <w:docVar w:name="LW_REF.INST.NEW" w:val="COM"/>
    <w:docVar w:name="LW_REF.INST.NEW_ADOPTED" w:val="final"/>
    <w:docVar w:name="LW_REF.INST.NEW_TEXT" w:val="(2019) 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928?\u913?\u929?\u913?\u929?\u932?\u919?\u924?\u913?_x000b_"/>
    <w:docVar w:name="LW_TYPEACTEPRINCIPAL.CP" w:val="\u917?\u922?\u920?\u917?\u931?\u919?\u931? \u932?\u919?\u931? \u917?\u928?\u921?\u932?\u929?\u927?\u928?\u919?\u931? \u928?\u929?\u927?\u931? \u932?\u927? \u917?\u933?\u929?\u937?\u928?\u913?\u938?\u922?\u927? \u922?\u927?\u921?\u925?\u927?\u914?\u927?\u933?\u923?\u921?\u927? \u922?\u913?\u921? \u932?\u927? \u931?\u933?\u924?\u914?\u927?\u933?\u923?\u921?\u927?"/>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rPr>
      <w:color w:val="0000FF"/>
      <w:u w:val="single"/>
    </w:rPr>
  </w:style>
  <w:style w:type="character" w:customStyle="1" w:styleId="Heading1Char">
    <w:name w:val="Heading 1 Char"/>
    <w:basedOn w:val="DefaultParagraphFont"/>
    <w:link w:val="Heading10"/>
    <w:uiPriority w:val="9"/>
    <w:rPr>
      <w:rFonts w:asciiTheme="majorHAnsi" w:eastAsiaTheme="majorEastAsia" w:hAnsiTheme="majorHAnsi" w:cstheme="majorBidi"/>
      <w:color w:val="365F91" w:themeColor="accent1" w:themeShade="BF"/>
      <w:sz w:val="32"/>
      <w:szCs w:val="32"/>
    </w:rPr>
  </w:style>
  <w:style w:type="paragraph" w:customStyle="1" w:styleId="Heading1">
    <w:name w:val="Heading 1."/>
    <w:basedOn w:val="Normal"/>
    <w:link w:val="Heading1Char0"/>
    <w:qFormat/>
    <w:pPr>
      <w:keepNext/>
      <w:numPr>
        <w:numId w:val="1"/>
      </w:numPr>
      <w:tabs>
        <w:tab w:val="left" w:pos="850"/>
      </w:tabs>
      <w:spacing w:before="360" w:after="120" w:line="240" w:lineRule="auto"/>
      <w:jc w:val="both"/>
      <w:outlineLvl w:val="0"/>
    </w:pPr>
    <w:rPr>
      <w:rFonts w:ascii="Times New Roman" w:eastAsia="Times New Roman" w:hAnsi="Times New Roman" w:cs="Times New Roman"/>
      <w:b/>
      <w:smallCaps/>
      <w:noProof/>
      <w:sz w:val="24"/>
      <w:szCs w:val="24"/>
    </w:rPr>
  </w:style>
  <w:style w:type="paragraph" w:customStyle="1" w:styleId="Heading2">
    <w:name w:val="Heading 2."/>
    <w:basedOn w:val="Normal"/>
    <w:link w:val="Heading2Char"/>
    <w:pPr>
      <w:keepNext/>
      <w:numPr>
        <w:ilvl w:val="1"/>
        <w:numId w:val="1"/>
      </w:numPr>
      <w:spacing w:before="120" w:after="120" w:line="240" w:lineRule="auto"/>
      <w:ind w:left="284" w:hanging="284"/>
      <w:jc w:val="both"/>
      <w:outlineLvl w:val="1"/>
    </w:pPr>
    <w:rPr>
      <w:rFonts w:ascii="Times New Roman" w:eastAsia="Times New Roman" w:hAnsi="Times New Roman" w:cs="Times New Roman"/>
      <w:b/>
      <w:noProof/>
      <w:sz w:val="24"/>
      <w:szCs w:val="24"/>
    </w:rPr>
  </w:style>
  <w:style w:type="character" w:customStyle="1" w:styleId="Heading1Char0">
    <w:name w:val="Heading 1. Char"/>
    <w:basedOn w:val="DefaultParagraphFont"/>
    <w:link w:val="Heading1"/>
    <w:rPr>
      <w:rFonts w:ascii="Times New Roman" w:eastAsia="Times New Roman" w:hAnsi="Times New Roman" w:cs="Times New Roman"/>
      <w:b/>
      <w:smallCaps/>
      <w:noProof/>
      <w:sz w:val="24"/>
      <w:szCs w:val="24"/>
    </w:rPr>
  </w:style>
  <w:style w:type="paragraph" w:customStyle="1" w:styleId="Heading20">
    <w:name w:val="Heading2"/>
    <w:basedOn w:val="Heading2"/>
    <w:link w:val="Heading2Char0"/>
    <w:qFormat/>
    <w:pPr>
      <w:ind w:left="567" w:hanging="567"/>
    </w:pPr>
  </w:style>
  <w:style w:type="character" w:customStyle="1" w:styleId="Heading2Char">
    <w:name w:val="Heading 2. Char"/>
    <w:basedOn w:val="DefaultParagraphFont"/>
    <w:link w:val="Heading2"/>
    <w:rPr>
      <w:rFonts w:ascii="Times New Roman" w:eastAsia="Times New Roman" w:hAnsi="Times New Roman" w:cs="Times New Roman"/>
      <w:b/>
      <w:noProof/>
      <w:sz w:val="24"/>
      <w:szCs w:val="24"/>
    </w:rPr>
  </w:style>
  <w:style w:type="character" w:customStyle="1" w:styleId="Heading2Char0">
    <w:name w:val="Heading2 Char"/>
    <w:basedOn w:val="Heading2Char"/>
    <w:link w:val="Heading20"/>
    <w:rPr>
      <w:rFonts w:ascii="Times New Roman" w:eastAsia="Times New Roman" w:hAnsi="Times New Roman" w:cs="Times New Roman"/>
      <w:b/>
      <w:noProof/>
      <w:sz w:val="24"/>
      <w:szCs w:val="24"/>
    </w:rPr>
  </w:style>
  <w:style w:type="character" w:styleId="FootnoteReference">
    <w:name w:val="foot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pPr>
      <w:numPr>
        <w:numId w:val="6"/>
      </w:numPr>
      <w:tabs>
        <w:tab w:val="clear" w:pos="567"/>
      </w:tabs>
      <w:spacing w:after="240" w:line="312" w:lineRule="auto"/>
      <w:ind w:left="360" w:hanging="360"/>
      <w:jc w:val="both"/>
    </w:pPr>
    <w:rPr>
      <w:rFonts w:ascii="Times New Roman" w:eastAsia="Times New Roman" w:hAnsi="Times New Roman" w:cs="Times New Roman"/>
      <w:sz w:val="24"/>
      <w:szCs w:val="20"/>
    </w:rPr>
  </w:style>
  <w:style w:type="paragraph" w:customStyle="1" w:styleId="Bulletsub">
    <w:name w:val="Bullet sub"/>
    <w:basedOn w:val="Bullet"/>
    <w:qFormat/>
    <w:pPr>
      <w:numPr>
        <w:ilvl w:val="1"/>
      </w:numPr>
      <w:tabs>
        <w:tab w:val="clear" w:pos="709"/>
        <w:tab w:val="num" w:pos="360"/>
      </w:tabs>
      <w:ind w:left="360" w:hanging="36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ListParagraphChar">
    <w:name w:val="List Paragraph Char"/>
    <w:link w:val="ListParagraph"/>
    <w:uiPriority w:val="34"/>
    <w:locked/>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Accompagnant">
    <w:name w:val="Accompagnant"/>
    <w:basedOn w:val="Normal"/>
    <w:next w:val="Normal"/>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Normal"/>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Normal"/>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4553">
      <w:bodyDiv w:val="1"/>
      <w:marLeft w:val="0"/>
      <w:marRight w:val="0"/>
      <w:marTop w:val="0"/>
      <w:marBottom w:val="0"/>
      <w:divBdr>
        <w:top w:val="none" w:sz="0" w:space="0" w:color="auto"/>
        <w:left w:val="none" w:sz="0" w:space="0" w:color="auto"/>
        <w:bottom w:val="none" w:sz="0" w:space="0" w:color="auto"/>
        <w:right w:val="none" w:sz="0" w:space="0" w:color="auto"/>
      </w:divBdr>
    </w:div>
    <w:div w:id="178468862">
      <w:bodyDiv w:val="1"/>
      <w:marLeft w:val="0"/>
      <w:marRight w:val="0"/>
      <w:marTop w:val="0"/>
      <w:marBottom w:val="0"/>
      <w:divBdr>
        <w:top w:val="none" w:sz="0" w:space="0" w:color="auto"/>
        <w:left w:val="none" w:sz="0" w:space="0" w:color="auto"/>
        <w:bottom w:val="none" w:sz="0" w:space="0" w:color="auto"/>
        <w:right w:val="none" w:sz="0" w:space="0" w:color="auto"/>
      </w:divBdr>
    </w:div>
    <w:div w:id="535000831">
      <w:bodyDiv w:val="1"/>
      <w:marLeft w:val="0"/>
      <w:marRight w:val="0"/>
      <w:marTop w:val="0"/>
      <w:marBottom w:val="0"/>
      <w:divBdr>
        <w:top w:val="none" w:sz="0" w:space="0" w:color="auto"/>
        <w:left w:val="none" w:sz="0" w:space="0" w:color="auto"/>
        <w:bottom w:val="none" w:sz="0" w:space="0" w:color="auto"/>
        <w:right w:val="none" w:sz="0" w:space="0" w:color="auto"/>
      </w:divBdr>
    </w:div>
    <w:div w:id="609438648">
      <w:bodyDiv w:val="1"/>
      <w:marLeft w:val="0"/>
      <w:marRight w:val="0"/>
      <w:marTop w:val="0"/>
      <w:marBottom w:val="0"/>
      <w:divBdr>
        <w:top w:val="none" w:sz="0" w:space="0" w:color="auto"/>
        <w:left w:val="none" w:sz="0" w:space="0" w:color="auto"/>
        <w:bottom w:val="none" w:sz="0" w:space="0" w:color="auto"/>
        <w:right w:val="none" w:sz="0" w:space="0" w:color="auto"/>
      </w:divBdr>
    </w:div>
    <w:div w:id="765616806">
      <w:bodyDiv w:val="1"/>
      <w:marLeft w:val="0"/>
      <w:marRight w:val="0"/>
      <w:marTop w:val="0"/>
      <w:marBottom w:val="0"/>
      <w:divBdr>
        <w:top w:val="none" w:sz="0" w:space="0" w:color="auto"/>
        <w:left w:val="none" w:sz="0" w:space="0" w:color="auto"/>
        <w:bottom w:val="none" w:sz="0" w:space="0" w:color="auto"/>
        <w:right w:val="none" w:sz="0" w:space="0" w:color="auto"/>
      </w:divBdr>
    </w:div>
    <w:div w:id="794568051">
      <w:bodyDiv w:val="1"/>
      <w:marLeft w:val="0"/>
      <w:marRight w:val="0"/>
      <w:marTop w:val="0"/>
      <w:marBottom w:val="0"/>
      <w:divBdr>
        <w:top w:val="none" w:sz="0" w:space="0" w:color="auto"/>
        <w:left w:val="none" w:sz="0" w:space="0" w:color="auto"/>
        <w:bottom w:val="none" w:sz="0" w:space="0" w:color="auto"/>
        <w:right w:val="none" w:sz="0" w:space="0" w:color="auto"/>
      </w:divBdr>
    </w:div>
    <w:div w:id="934872520">
      <w:bodyDiv w:val="1"/>
      <w:marLeft w:val="0"/>
      <w:marRight w:val="0"/>
      <w:marTop w:val="0"/>
      <w:marBottom w:val="0"/>
      <w:divBdr>
        <w:top w:val="none" w:sz="0" w:space="0" w:color="auto"/>
        <w:left w:val="none" w:sz="0" w:space="0" w:color="auto"/>
        <w:bottom w:val="none" w:sz="0" w:space="0" w:color="auto"/>
        <w:right w:val="none" w:sz="0" w:space="0" w:color="auto"/>
      </w:divBdr>
    </w:div>
    <w:div w:id="943852158">
      <w:bodyDiv w:val="1"/>
      <w:marLeft w:val="0"/>
      <w:marRight w:val="0"/>
      <w:marTop w:val="0"/>
      <w:marBottom w:val="0"/>
      <w:divBdr>
        <w:top w:val="none" w:sz="0" w:space="0" w:color="auto"/>
        <w:left w:val="none" w:sz="0" w:space="0" w:color="auto"/>
        <w:bottom w:val="none" w:sz="0" w:space="0" w:color="auto"/>
        <w:right w:val="none" w:sz="0" w:space="0" w:color="auto"/>
      </w:divBdr>
    </w:div>
    <w:div w:id="1274677757">
      <w:bodyDiv w:val="1"/>
      <w:marLeft w:val="0"/>
      <w:marRight w:val="0"/>
      <w:marTop w:val="0"/>
      <w:marBottom w:val="0"/>
      <w:divBdr>
        <w:top w:val="none" w:sz="0" w:space="0" w:color="auto"/>
        <w:left w:val="none" w:sz="0" w:space="0" w:color="auto"/>
        <w:bottom w:val="none" w:sz="0" w:space="0" w:color="auto"/>
        <w:right w:val="none" w:sz="0" w:space="0" w:color="auto"/>
      </w:divBdr>
    </w:div>
    <w:div w:id="1367633311">
      <w:bodyDiv w:val="1"/>
      <w:marLeft w:val="0"/>
      <w:marRight w:val="0"/>
      <w:marTop w:val="0"/>
      <w:marBottom w:val="0"/>
      <w:divBdr>
        <w:top w:val="none" w:sz="0" w:space="0" w:color="auto"/>
        <w:left w:val="none" w:sz="0" w:space="0" w:color="auto"/>
        <w:bottom w:val="none" w:sz="0" w:space="0" w:color="auto"/>
        <w:right w:val="none" w:sz="0" w:space="0" w:color="auto"/>
      </w:divBdr>
    </w:div>
    <w:div w:id="1467236825">
      <w:bodyDiv w:val="1"/>
      <w:marLeft w:val="0"/>
      <w:marRight w:val="0"/>
      <w:marTop w:val="0"/>
      <w:marBottom w:val="0"/>
      <w:divBdr>
        <w:top w:val="none" w:sz="0" w:space="0" w:color="auto"/>
        <w:left w:val="none" w:sz="0" w:space="0" w:color="auto"/>
        <w:bottom w:val="none" w:sz="0" w:space="0" w:color="auto"/>
        <w:right w:val="none" w:sz="0" w:space="0" w:color="auto"/>
      </w:divBdr>
    </w:div>
    <w:div w:id="1564245708">
      <w:bodyDiv w:val="1"/>
      <w:marLeft w:val="0"/>
      <w:marRight w:val="0"/>
      <w:marTop w:val="0"/>
      <w:marBottom w:val="0"/>
      <w:divBdr>
        <w:top w:val="none" w:sz="0" w:space="0" w:color="auto"/>
        <w:left w:val="none" w:sz="0" w:space="0" w:color="auto"/>
        <w:bottom w:val="none" w:sz="0" w:space="0" w:color="auto"/>
        <w:right w:val="none" w:sz="0" w:space="0" w:color="auto"/>
      </w:divBdr>
    </w:div>
    <w:div w:id="1847401467">
      <w:bodyDiv w:val="1"/>
      <w:marLeft w:val="0"/>
      <w:marRight w:val="0"/>
      <w:marTop w:val="0"/>
      <w:marBottom w:val="0"/>
      <w:divBdr>
        <w:top w:val="none" w:sz="0" w:space="0" w:color="auto"/>
        <w:left w:val="none" w:sz="0" w:space="0" w:color="auto"/>
        <w:bottom w:val="none" w:sz="0" w:space="0" w:color="auto"/>
        <w:right w:val="none" w:sz="0" w:space="0" w:color="auto"/>
      </w:divBdr>
    </w:div>
    <w:div w:id="2038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196108-AABD-489F-A532-97F18489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6783</Words>
  <Characters>40158</Characters>
  <Application>Microsoft Office Word</Application>
  <DocSecurity>0</DocSecurity>
  <Lines>1115</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2019-02-15T09:26:00Z</dcterms:created>
  <dcterms:modified xsi:type="dcterms:W3CDTF">2019-02-22T15:22:00Z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6.0.1, Build 20180503</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reated using">
    <vt:lpwstr>LW 6.0.1, Build 20180503</vt:lpwstr>
  </property>
</Properties>
</file>