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3EB392E0-7A82-43F6-8051-AC2FADBD871F" style="width:450.75pt;height:393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rPr>
          <w:rFonts w:ascii="Times New Roman" w:hAnsi="Times New Roman" w:cs="Times New Roman"/>
          <w:b/>
          <w:i/>
          <w:noProof/>
          <w:sz w:val="18"/>
          <w:szCs w:val="18"/>
        </w:rPr>
      </w:pPr>
      <w:bookmarkStart w:id="1" w:name="_GoBack"/>
      <w:bookmarkEnd w:id="1"/>
      <w:r>
        <w:rPr>
          <w:rFonts w:ascii="Times New Roman" w:hAnsi="Times New Roman"/>
          <w:b/>
          <w:i/>
          <w:noProof/>
          <w:sz w:val="18"/>
        </w:rPr>
        <w:lastRenderedPageBreak/>
        <w:t>Allegato: panoramica delle caratteristiche dei comitati nazionali per la produttività (come indicate dai comitati stessi o dai delegati al comitato di politica economica)</w:t>
      </w:r>
    </w:p>
    <w:tbl>
      <w:tblPr>
        <w:tblW w:w="14220" w:type="dxa"/>
        <w:jc w:val="center"/>
        <w:tblLook w:val="04A0" w:firstRow="1" w:lastRow="0" w:firstColumn="1" w:lastColumn="0" w:noHBand="0" w:noVBand="1"/>
      </w:tblPr>
      <w:tblGrid>
        <w:gridCol w:w="997"/>
        <w:gridCol w:w="1689"/>
        <w:gridCol w:w="1399"/>
        <w:gridCol w:w="4782"/>
        <w:gridCol w:w="5353"/>
      </w:tblGrid>
      <w:tr>
        <w:trPr>
          <w:trHeight w:val="840"/>
          <w:tblHeader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FFFFFF"/>
                <w:sz w:val="18"/>
              </w:rPr>
              <w:t>Stato membro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FFFFFF"/>
                <w:sz w:val="18"/>
              </w:rPr>
              <w:t>Nome dell'organismo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FFFFFF"/>
                <w:sz w:val="18"/>
              </w:rPr>
              <w:t>Data della nomina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FFFFFF"/>
                <w:sz w:val="18"/>
              </w:rPr>
              <w:t>Assetto istituzionale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FFFFFF"/>
                <w:sz w:val="18"/>
              </w:rPr>
              <w:t>Analisi e attività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AT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Da istituire nel 1° semestre del 2019</w:t>
            </w:r>
          </w:p>
        </w:tc>
      </w:tr>
      <w:tr>
        <w:trPr>
          <w:trHeight w:val="265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BE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Consiglio nazionale per la produttività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Nov. 2018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Nuovo organismo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Mandato a tempo indeterminato per l'organismo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Sei membri rappresentanti di istituzioni indipendenti di livello federale (segretariato del Consiglio economico, Banca nazionale del Belgio e Ufficio federale di programmazione) e sei di livello regionale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Un segretariato con esperti appositamente nominati coadiuva il comitato per la produttività nel suo lavoro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Decide autonomamente il proprio programma di lavoro, eccettuata la formazione dei salari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 risultati prodotti non sono soggetti a convalida da parte delle autorità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Capacità di condurre ricerche e analisi in maniera indipendente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Accesso alle informazioni garantito da disposizioni giuridiche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 portatori di interessi e gli altri attori economici pertinenti non sono membri permanenti del comitato per la produttività ma sono consultati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Capacità di comunicare pubblicamente in maniera tempestiva garantita da disposizioni giuridiche, per esempio mediante il sito web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BG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Non nominerà alcun comitato nazionale per la produttività</w:t>
            </w:r>
          </w:p>
        </w:tc>
      </w:tr>
      <w:tr>
        <w:trPr>
          <w:trHeight w:val="976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CY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Consiglio per l'economia e la competitività di Cipro 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Giu. 2018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Nuovo organismo 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Mandato di tre anni per il comitato per la produttività 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Otto membri provengono dal mondo accademico, dal settore imprenditoriale e da quello finanziario e uno dal settore pubblico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Un segretariato con membri provenienti da un dipartimento della pubblica amministrazione coadiuva il comitato per la produttività nel suo lavoro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Decide autonomamente il proprio programma di lavoro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I risultati prodotti non sono soggetti a convalida da parte delle autorità 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5" w:hanging="283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Ricerca e analisi condotte da sottogruppi del comitato e da altri organismi nonché mediante l’esternalizzazione a consulenti esterni dopo che i sottogruppi del comitato hanno effettuato un'analisi preliminare su ogni argomento di interesse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5" w:hanging="283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 portatori di interessi e gli altri attori economici pertinenti non sono membri permanenti del comitato per la produttività ma sono consultati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5" w:hanging="283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Comunicazione al pubblico dei risultati conseguiti dal comitato per la produttività, per esempio mediante il sito web e comunicati stampa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CZ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Non nominerà alcun comitato nazionale per la produttività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DE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Da istituire (sebbene non sia stata indicata alcuna data specifica)</w:t>
            </w:r>
          </w:p>
        </w:tc>
      </w:tr>
      <w:tr>
        <w:trPr>
          <w:trHeight w:val="2123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DK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Consigli economici danesi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2017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Basato su un organismo esistente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Mandato a tempo indeterminato per l'organismo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Presieduto da quattro professori universitari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Un segretariato con esperti appositamente nominati coadiuva il comitato per la produttività nel suo lavoro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Decide autonomamente il suo programma di lavoro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 risultati prodotti non sono soggetti a convalida da parte delle autorità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Capacità di condurre ricerche e analisi in maniera indipendente e possibilità di commissionare analisi a terzi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 portatori di interessi e gli altri attori economici pertinenti non sono membri permanenti del comitato per la produttività ma sono consultati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Comunicazione al pubblico dei risultati conseguiti dal comitato per la produttività, per esempio mediante il sito web e comunicati stampa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EE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Da istituire (sebbene non sia stata indicata alcuna data specifica)</w:t>
            </w:r>
          </w:p>
        </w:tc>
      </w:tr>
      <w:tr>
        <w:trPr>
          <w:trHeight w:val="705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EL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KEPE (*)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ES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Da istituire (sebbene non sia stata indicata alcuna data specifica)</w:t>
            </w:r>
          </w:p>
        </w:tc>
      </w:tr>
      <w:tr>
        <w:trPr>
          <w:trHeight w:val="28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FI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Consiglio per la produttività finlandese 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Ago. 2018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Nuovo organismo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Mandato a tempo indeterminato per l'organismo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Quattro membri provenienti dal ministero delle Finanze, dal mondo accademico e da istituiti di ricerca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Un segretariato con membri provenienti da un dipartimento della pubblica amministrazione coadiuva il comitato per la produttività nel suo lavoro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Decide autonomamente il proprio programma di lavoro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 risultati prodotti non sono soggetti a convalida da parte delle autorità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Autonomia funzionale garantita da disposizioni giuridiche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Capacità di condurre ricerche e analisi in maniera indipendente e possibilità di commissionare analisi a terzi</w:t>
            </w:r>
          </w:p>
          <w:p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 portatori di interessi e gli altri attori economici pertinenti non sono membri permanenti del comitato per la produttività ma il comitato presenta loro il lavoro svolto</w:t>
            </w:r>
          </w:p>
        </w:tc>
      </w:tr>
      <w:tr>
        <w:trPr>
          <w:trHeight w:val="216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FR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Consiglio nazionale per la produttività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Giu. 2018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Nuovo organismo</w:t>
            </w:r>
          </w:p>
          <w:p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Mandato a tempo indeterminato per l'organismo</w:t>
            </w:r>
          </w:p>
          <w:p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Dodici membri sono economisti indipendenti del mondo accademico</w:t>
            </w:r>
          </w:p>
          <w:p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France Stratégie coadiuva il lavoro del comitato per la produttività fornendo sostegno tecnico e di segreteria</w:t>
            </w:r>
          </w:p>
          <w:p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Decide autonomamente il proprio programma di lavoro</w:t>
            </w:r>
          </w:p>
          <w:p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 risultati prodotti non sono soggetti a convalida da parte delle autorità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Capacità di condurre ricerche e analisi in maniera indipendente e possibilità di commissionare analisi a terzi</w:t>
            </w:r>
          </w:p>
          <w:p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 portatori di interessi e gli altri attori economici pertinenti non sono membri permanenti del comitato per la produttività ma sono consultati</w:t>
            </w:r>
          </w:p>
          <w:p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Comunicazione al pubblico dei risultati conseguiti dal comitato per la produttività, per esempio mediante il sito web e comunicati stampa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HR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Da istituire nel corso dei prossimi sei/nove mesi</w:t>
            </w:r>
          </w:p>
        </w:tc>
      </w:tr>
      <w:tr>
        <w:trPr>
          <w:trHeight w:val="422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HU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Consiglio nazionale per la competitività 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Ott. 2016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Nuovo organismo presieduto dal ministro delle Finanze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Mandato a tempo indeterminato per l'organismo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Otto membri provenienti dalla della pubblica amministrazione e dal settore imprenditoriale e accademico 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Un segretariato con membri provenienti da un dipartimento della pubblica amministrazione coadiuva il comitato per la produttività nel suo lavoro 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Decide autonomamente il proprio programma di lavoro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 risultati prodotti non sono soggetti a convalida da parte delle autorità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Capacità di condurre ricerche e analisi in maniera indipendente e possibilità di commissionare analisi a terzi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Il mandato del comitato per la produttività non prevede la pubblicazione di una relazione annuale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 portatori di interessi e gli altri attori economici pertinenti possono essere nominati membri del comitato per la produttività</w:t>
            </w:r>
          </w:p>
        </w:tc>
      </w:tr>
      <w:tr>
        <w:trPr>
          <w:trHeight w:val="348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IE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Consiglio nazionale per la competitività 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Mar. 2018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Basato su un organismo esistente</w:t>
            </w:r>
          </w:p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Mandato a tempo indeterminato per l'organismo</w:t>
            </w:r>
          </w:p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Sedici membri provenienti da imprese, associazioni imprenditoriali e sindacati; rappresentanti della pubblica amministrazione partecipano alle riunioni del consiglio nazionale per la competitività in funzione di consulenti</w:t>
            </w:r>
          </w:p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Un segretariato con membri provenienti da un dipartimento della pubblica amministrazione coadiuva il comitato per la produttività nel suo lavoro </w:t>
            </w:r>
          </w:p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Decide autonomamente il proprio programma di lavoro e le proprie procedure</w:t>
            </w:r>
          </w:p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Prima di essere pubblicate, le relazioni annuali sono presentate, per conoscenza, al governo per aumentarne la consapevolezza riguardo alle relazioni stesse 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Capacità di condurre ricerche e analisi in maniera indipendente e possibilità di commissionare analisi a terzi</w:t>
            </w:r>
          </w:p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Rappresentanti delle organizzazioni dei datori di lavoro e dei dipendenti sono membri del comitato per la produttività</w:t>
            </w:r>
          </w:p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 pareri dissenzienti sono trasmessi al pubblico mediante la pubblicazione dei verbali delle riunioni</w:t>
            </w:r>
          </w:p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Comunicazione al pubblico dei risultati conseguiti dal comitato per la produttività, per esempio mediante il sito web e comunicati stampa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IT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Da istituire nel 1° semestre del 2019</w:t>
            </w:r>
          </w:p>
        </w:tc>
      </w:tr>
      <w:tr>
        <w:trPr>
          <w:trHeight w:val="150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LT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Ministero dell'Economia e dell'innovazione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2017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Basato su un organismo esistente</w:t>
            </w:r>
          </w:p>
          <w:p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Mandato a tempo indeterminato per l'organismo</w:t>
            </w:r>
          </w:p>
          <w:p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Un gruppo di due analisti facenti capo al ministero dell'Economia</w:t>
            </w:r>
          </w:p>
          <w:p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Decide autonomamente il proprio programma di lavoro</w:t>
            </w:r>
          </w:p>
          <w:p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 risultati del lavoro svolto sono soggetti a convalida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Capacità di condurre ricerche e analisi in maniera indipendente e possibilità di commissionare analisi a terzi</w:t>
            </w:r>
          </w:p>
          <w:p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 portatori di interessi e gli altri attori economici pertinenti non sono membri permanenti del comitato per la produttività ma sono consultati</w:t>
            </w:r>
          </w:p>
        </w:tc>
      </w:tr>
      <w:tr>
        <w:trPr>
          <w:trHeight w:val="2565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LU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Consiglio nazionale per la produttività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Set. 2018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Nuovo organismo</w:t>
            </w:r>
          </w:p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Mandato a tempo indeterminato per l'organismo</w:t>
            </w:r>
          </w:p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 xml:space="preserve">Cinque membri, di cui il presidente proviene dall'Osservatorio per la competitività </w:t>
            </w:r>
          </w:p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L'Osservatorio per la competitività coadiuva il lavoro del comitato per la produttività fornendo sostegno tecnico e di segreteria</w:t>
            </w:r>
          </w:p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Decide autonomamente il proprio programma di lavoro</w:t>
            </w:r>
          </w:p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 risultati prodotti non sono soggetti a convalida da parte delle autorità</w:t>
            </w:r>
          </w:p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Autonomia funzionale garantita da disposizioni giuridiche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Capacità di condurre ricerche e analisi in maniera indipendente e possibilità di commissionare analisi a terzi</w:t>
            </w:r>
          </w:p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Accesso alle informazioni garantito da disposizioni giuridiche</w:t>
            </w:r>
          </w:p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 portatori di interessi e gli altri attori economici pertinenti possono essere nominati membri del comitato per la produttività</w:t>
            </w:r>
          </w:p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Comunicazione al pubblico dei risultati conseguiti dal comitato per la produttività, per esempio mediante il sito web e comunicati stampa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LV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Da istituire (sebbene non sia stata indicata alcuna data specifica)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MT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Comitato nazionale per la produttività di Malta (*)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>
        <w:trPr>
          <w:trHeight w:val="564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NL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Ufficio olandese per l'analisi delle politiche economiche (CPB) 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Apr. 2017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Basato su un organismo esistente</w:t>
            </w:r>
          </w:p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Mandato a tempo indeterminato per l'organismo</w:t>
            </w:r>
          </w:p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Istituto di ricerca dotato di direttore e personale proprio, afferente al ministero dell'Economia olandese </w:t>
            </w:r>
          </w:p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Decide autonomamente il proprio programma di lavoro e la propria strategia di comunicazione</w:t>
            </w:r>
          </w:p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 risultati prodotti non sono soggetti a convalida da parte delle autorità</w:t>
            </w:r>
          </w:p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Autonomia funzionale garantita da disposizioni giuridiche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Capacità di condurre ricerche e analisi in maniera indipendente e possibilità di commissionare analisi a terzi</w:t>
            </w:r>
          </w:p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 portatori di interessi e gli altri attori economici pertinenti non partecipano ai lavori del comitato per la produttività</w:t>
            </w:r>
          </w:p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Comunicazione al pubblico dei risultati conseguiti dal comitato per la produttività, per esempio mediante il sito web e comunicati stampa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PL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Non nominerà alcun comitato nazionale per la produttività</w:t>
            </w:r>
          </w:p>
        </w:tc>
      </w:tr>
      <w:tr>
        <w:trPr>
          <w:trHeight w:val="189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PT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Conselho para a Produtividade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Mar. 2018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Basato su un organismo esistente</w:t>
            </w:r>
          </w:p>
          <w:p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Mandato di due anni per il comitato per la produttività</w:t>
            </w:r>
          </w:p>
          <w:p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Due membri (direttori generali) provenienti rispettivamente dal ministero delle Finanze e dal ministero dell'Economia</w:t>
            </w:r>
          </w:p>
          <w:p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Decide autonomamente il proprio programma di lavoro</w:t>
            </w:r>
          </w:p>
          <w:p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 risultati prodotti non sono soggetti a convalida da parte delle autorità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Capacità di condurre ricerche e analisi in maniera indipendente</w:t>
            </w:r>
          </w:p>
          <w:p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 portatori di interessi e gli altri attori economici pertinenti non sono membri permanenti del comitato per la produttività ma possono essere consultati</w:t>
            </w:r>
          </w:p>
          <w:p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Comunicazione al pubblico dei risultati conseguiti dal comitato per la produttività, per esempio mediante il sito web</w:t>
            </w:r>
          </w:p>
        </w:tc>
      </w:tr>
      <w:tr>
        <w:trPr>
          <w:trHeight w:val="240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RO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Consiglio della pianificazione economica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Ago. 2018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Basato su un organismo esistente</w:t>
            </w:r>
          </w:p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Mandato a tempo indeterminato per l'organismo</w:t>
            </w:r>
          </w:p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Undici membri provenienti dal mondo accademico e dalla società civile</w:t>
            </w:r>
          </w:p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La Commissione nazionale per la strategia e le previsioni coadiuva il lavoro del comitato per la produttività fornendo sostegno tecnico e di segreteria</w:t>
            </w:r>
          </w:p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Decide autonomamente il proprio programma di lavoro</w:t>
            </w:r>
          </w:p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 risultati prodotti non sono soggetti a convalida da parte delle autorità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Capacità di condurre ricerche e analisi in maniera indipendente e possibilità di commissionare analisi a terzi</w:t>
            </w:r>
          </w:p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Accesso alle informazioni garantito da disposizioni giuridiche</w:t>
            </w:r>
          </w:p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 portatori di interessi e gli altri attori economici pertinenti non sono membri permanenti del comitato per la produttività ma possono essere consultati</w:t>
            </w:r>
          </w:p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 pareri dissenzienti sono trasmessi al pubblico mediante il sito web</w:t>
            </w:r>
          </w:p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Comunicazione al pubblico dei risultati conseguiti dal comitato per la produttività, per esempio mediante il sito web e comunicati stampa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SE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Non nominerà alcun comitato nazionale per la produttività</w:t>
            </w:r>
          </w:p>
        </w:tc>
      </w:tr>
      <w:tr>
        <w:trPr>
          <w:trHeight w:val="168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SI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Istituto dell'analisi e dello sviluppo macroeconomici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Apr. 2018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Basato su un organismo esistente</w:t>
            </w:r>
          </w:p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Mandato a tempo indeterminato per l'organismo</w:t>
            </w:r>
          </w:p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Istituto di ricerca dotato di direttore e personale proprio</w:t>
            </w:r>
          </w:p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Decide autonomamente il proprio programma di lavoro</w:t>
            </w:r>
          </w:p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 risultati prodotti non sono soggetti a convalida da parte delle autorità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Capacità di condurre ricerche e analisi in maniera indipendente</w:t>
            </w:r>
          </w:p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 portatori di interessi e gli altri attori economici pertinenti non sono membri permanenti del comitato per la produttività ma possono essere consultati</w:t>
            </w:r>
          </w:p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Comunicazione al pubblico dei risultati conseguiti dal comitato per la produttività, per esempio mediante il sito web e comunicati stampa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SK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Istituto di strategia e analisi (**)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UK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Non nominerà alcun comitato nazionale per la produttività</w:t>
            </w:r>
          </w:p>
        </w:tc>
      </w:tr>
      <w:tr>
        <w:trPr>
          <w:trHeight w:val="300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/>
          <w:noProof/>
          <w:sz w:val="18"/>
        </w:rPr>
        <w:t>(*) I testi giuridici che stabiliscono l'istituzione dei comitati per la produttività greco e maltese non sono ancora stati promulgati, per cui le sezioni restanti della presente tabella sono lasciate vuote.</w:t>
      </w:r>
    </w:p>
    <w:p>
      <w:pPr>
        <w:spacing w:after="0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/>
          <w:noProof/>
          <w:sz w:val="18"/>
        </w:rPr>
        <w:t>(**) L'istituto di strategia e analisi è stato nominato in qualità di segretariato del comitato per la produttività.</w:t>
      </w:r>
    </w:p>
    <w:p>
      <w:pPr>
        <w:spacing w:after="0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/>
          <w:noProof/>
          <w:sz w:val="18"/>
        </w:rPr>
        <w:t>NA: Non applicabile Min. Fin.: ministero delle Finanze</w:t>
      </w:r>
    </w:p>
    <w:p>
      <w:pPr>
        <w:rPr>
          <w:noProof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2074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>
        <w:pPr>
          <w:pStyle w:val="Foot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33F"/>
    <w:multiLevelType w:val="hybridMultilevel"/>
    <w:tmpl w:val="56BE1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0F34BD"/>
    <w:multiLevelType w:val="hybridMultilevel"/>
    <w:tmpl w:val="D9E6F8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DC10A7"/>
    <w:multiLevelType w:val="hybridMultilevel"/>
    <w:tmpl w:val="C142B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8A356D"/>
    <w:multiLevelType w:val="hybridMultilevel"/>
    <w:tmpl w:val="9BDA8B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190861"/>
    <w:multiLevelType w:val="hybridMultilevel"/>
    <w:tmpl w:val="693697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FC32B2"/>
    <w:multiLevelType w:val="hybridMultilevel"/>
    <w:tmpl w:val="24BA3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C30892"/>
    <w:multiLevelType w:val="hybridMultilevel"/>
    <w:tmpl w:val="222C5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7837E9"/>
    <w:multiLevelType w:val="hybridMultilevel"/>
    <w:tmpl w:val="62BAD8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C84327"/>
    <w:multiLevelType w:val="hybridMultilevel"/>
    <w:tmpl w:val="4E685D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595835"/>
    <w:multiLevelType w:val="hybridMultilevel"/>
    <w:tmpl w:val="35B23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5C1C69"/>
    <w:multiLevelType w:val="hybridMultilevel"/>
    <w:tmpl w:val="22D82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615E02"/>
    <w:multiLevelType w:val="hybridMultilevel"/>
    <w:tmpl w:val="EA5686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3F024B"/>
    <w:multiLevelType w:val="hybridMultilevel"/>
    <w:tmpl w:val="2AF0B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D65FD2"/>
    <w:multiLevelType w:val="hybridMultilevel"/>
    <w:tmpl w:val="8EE08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34571F"/>
    <w:multiLevelType w:val="hybridMultilevel"/>
    <w:tmpl w:val="5518D5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13"/>
  </w:num>
  <w:num w:numId="11">
    <w:abstractNumId w:val="0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della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3EB392E0-7A82-43F6-8051-AC2FADBD871F"/>
    <w:docVar w:name="LW_COVERPAGE_TYPE" w:val="1"/>
    <w:docVar w:name="LW_CROSSREFERENCE" w:val="&lt;UNUSED&gt;"/>
    <w:docVar w:name="LW_DocType" w:val="NORMAL"/>
    <w:docVar w:name="LW_EMISSION" w:val="27.2.2019"/>
    <w:docVar w:name="LW_EMISSION_ISODATE" w:val="2019-02-27"/>
    <w:docVar w:name="LW_EMISSION_LOCATION" w:val="BRX"/>
    <w:docVar w:name="LW_EMISSION_PREFIX" w:val="Bruxelles, "/>
    <w:docVar w:name="LW_EMISSION_SUFFIX" w:val=" "/>
    <w:docVar w:name="LW_ID_DOCTYPE_NONLW" w:val="CP-039"/>
    <w:docVar w:name="LW_LANGUE" w:val="IT"/>
    <w:docVar w:name="LW_LEVEL_OF_SENSITIVITY" w:val="Standard treatment"/>
    <w:docVar w:name="LW_NOM.INST" w:val="COMMISSIONE EUROPEA"/>
    <w:docVar w:name="LW_NOM.INST_JOINTDOC" w:val="&lt;EMPTY&gt;"/>
    <w:docVar w:name="LW_OBJETACTEPRINCIPAL.CP" w:val="Relazione sui progressi compiuti in materia di attuazione della raccomandazione del Consiglio del 20 settembre 2016 sull\u8217?istituzione di comitati nazionali per la produttività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15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ALLEGATO_x000b_"/>
    <w:docVar w:name="LW_TYPEACTEPRINCIPAL.CP" w:val="RELAZIONE DELLA COMMISSIONE AL CONSIGLI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1831</Words>
  <Characters>11042</Characters>
  <Application>Microsoft Office Word</Application>
  <DocSecurity>0</DocSecurity>
  <Lines>345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PAYET Severine (ECFIN)</dc:creator>
  <cp:lastModifiedBy>DIGIT/C6</cp:lastModifiedBy>
  <cp:revision>10</cp:revision>
  <dcterms:created xsi:type="dcterms:W3CDTF">2019-02-20T09:25:00Z</dcterms:created>
  <dcterms:modified xsi:type="dcterms:W3CDTF">2019-03-01T16:47:00Z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reated using">
    <vt:lpwstr>LW 6.0.1, Build 20180503</vt:lpwstr>
  </property>
  <property fmtid="{D5CDD505-2E9C-101B-9397-08002B2CF9AE}" pid="10" name="Last edited using">
    <vt:lpwstr>LW 6.0.1, Build 20180503</vt:lpwstr>
  </property>
</Properties>
</file>