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4F" w:rsidRDefault="00F458DE" w:rsidP="00F458DE">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4453D61-AF26-425D-9A7F-E7A47B27D354" style="width:451pt;height:362pt">
            <v:imagedata r:id="rId8" o:title=""/>
          </v:shape>
        </w:pict>
      </w:r>
    </w:p>
    <w:bookmarkEnd w:id="0"/>
    <w:p w:rsidR="0059194F" w:rsidRDefault="0059194F">
      <w:pPr>
        <w:rPr>
          <w:noProof/>
        </w:rPr>
        <w:sectPr w:rsidR="0059194F" w:rsidSect="00F458D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59194F" w:rsidRDefault="00F458DE">
      <w:pPr>
        <w:pStyle w:val="Heading1"/>
        <w:rPr>
          <w:noProof/>
        </w:rPr>
      </w:pPr>
      <w:r>
        <w:rPr>
          <w:noProof/>
        </w:rPr>
        <w:lastRenderedPageBreak/>
        <w:t>Uvod</w:t>
      </w:r>
    </w:p>
    <w:p w:rsidR="0059194F" w:rsidRDefault="00F458DE">
      <w:pPr>
        <w:pStyle w:val="Text1"/>
        <w:spacing w:before="0"/>
        <w:ind w:left="0"/>
        <w:rPr>
          <w:noProof/>
        </w:rPr>
      </w:pPr>
      <w:r>
        <w:rPr>
          <w:b/>
          <w:noProof/>
        </w:rPr>
        <w:t>Evropska unija že sedem let beleži gospodarsko rast</w:t>
      </w:r>
      <w:r>
        <w:rPr>
          <w:noProof/>
        </w:rPr>
        <w:t xml:space="preserve">. </w:t>
      </w:r>
      <w:r>
        <w:rPr>
          <w:b/>
          <w:noProof/>
        </w:rPr>
        <w:t xml:space="preserve">Takšna trajnostna rast je evropskemu gospodarstvu pomagala zagotoviti delovno mesto </w:t>
      </w:r>
      <w:r>
        <w:rPr>
          <w:b/>
          <w:noProof/>
        </w:rPr>
        <w:t>rekordnemu številu ljudi.</w:t>
      </w:r>
      <w:r>
        <w:rPr>
          <w:noProof/>
        </w:rPr>
        <w:t xml:space="preserve"> Trenutno je zaposlenih 240 milijonov Evropejcev, od tega je bilo od leta 2013 ustvarjenih 15 milijonov novih delovnih mest. Stopnja brezposelnosti v EU je pri 6,6 % rekordno nizka. </w:t>
      </w:r>
    </w:p>
    <w:p w:rsidR="0059194F" w:rsidRDefault="00F458DE">
      <w:pPr>
        <w:pStyle w:val="Text1"/>
        <w:spacing w:before="0"/>
        <w:ind w:left="0"/>
        <w:rPr>
          <w:rFonts w:eastAsia="Calibri"/>
          <w:noProof/>
          <w:szCs w:val="24"/>
        </w:rPr>
      </w:pPr>
      <w:r>
        <w:rPr>
          <w:b/>
          <w:noProof/>
        </w:rPr>
        <w:t>Poleg tega so se izboljšale javne finance, saj s</w:t>
      </w:r>
      <w:r>
        <w:rPr>
          <w:b/>
          <w:noProof/>
        </w:rPr>
        <w:t>e delež javnega dolga v BDP od leta 2015 ponovno zmanjšuje, primanjkljaj pa je od leta 2018 ocenjen na manj kot 1 % BDP.</w:t>
      </w:r>
      <w:r>
        <w:rPr>
          <w:noProof/>
        </w:rPr>
        <w:t xml:space="preserve"> Izvajanje strukturnih reform, naložbe in odgovorne fiskalne politike v državah članicah so skupaj z odločnim ukrepanjem na evropski rav</w:t>
      </w:r>
      <w:r>
        <w:rPr>
          <w:noProof/>
        </w:rPr>
        <w:t xml:space="preserve">ni, ki vključuje naložbeni načrt za Evropo, prispevale k prenovljeni stabilnosti in večji blaginji v evropskem gospodarstvu. </w:t>
      </w:r>
    </w:p>
    <w:p w:rsidR="0059194F" w:rsidRDefault="00F458DE">
      <w:pPr>
        <w:pStyle w:val="Text1"/>
        <w:spacing w:before="0"/>
        <w:ind w:left="0"/>
        <w:rPr>
          <w:rFonts w:eastAsia="Calibri"/>
          <w:noProof/>
          <w:szCs w:val="24"/>
        </w:rPr>
      </w:pPr>
      <w:r>
        <w:rPr>
          <w:b/>
          <w:noProof/>
        </w:rPr>
        <w:t>Rast v Evropi se je upočasnila, delno zaradi poslabšanja svetovnega gospodarskega okolja.</w:t>
      </w:r>
      <w:r>
        <w:rPr>
          <w:noProof/>
        </w:rPr>
        <w:t xml:space="preserve"> Stopnja rasti v EU naj bi se po pričakov</w:t>
      </w:r>
      <w:r>
        <w:rPr>
          <w:noProof/>
        </w:rPr>
        <w:t>anjih upočasnila z ocenjenih 1,9 % leta 2018 na 1,5 % leta 2019, nato pa naj bi se leta 2020 dvignila na 1,7 %. Svetovne trgovinske in geopolitične napetosti naraščajo, kar še posebej vpliva na EU zaradi geografske in sektorske usmerjenosti njenega izvoza.</w:t>
      </w:r>
      <w:r>
        <w:rPr>
          <w:noProof/>
        </w:rPr>
        <w:t xml:space="preserve"> Evropska unija ne glede na to še vedno povečuje koristi trgovine. Nedavno sklenjeni sporazum o prosti trgovini med EU in Japonsko lahko na primer poveča letni izvoz EU na Japonsko za 13,5 milijarde EUR. Glede na negotovost v zvezi s prihodnjimi odnosi Zdr</w:t>
      </w:r>
      <w:r>
        <w:rPr>
          <w:noProof/>
        </w:rPr>
        <w:t>uženega kraljestva z EU to sporočilo ne špekulira o možnih gospodarskih posledicah različnih scenarijev.</w:t>
      </w:r>
    </w:p>
    <w:p w:rsidR="0059194F" w:rsidRDefault="00F458DE">
      <w:pPr>
        <w:pStyle w:val="Text1"/>
        <w:spacing w:before="0"/>
        <w:ind w:left="0"/>
        <w:rPr>
          <w:rFonts w:eastAsia="Calibri"/>
          <w:noProof/>
          <w:szCs w:val="24"/>
        </w:rPr>
      </w:pPr>
      <w:r>
        <w:rPr>
          <w:b/>
          <w:noProof/>
        </w:rPr>
        <w:t>Dejavniki rasti se preusmerjajo iz zunanjih v notranje</w:t>
      </w:r>
      <w:r>
        <w:rPr>
          <w:noProof/>
        </w:rPr>
        <w:t>. Zasebno potrošnjo naj bi podpirali višja zaposlenost in rast, naložbam pa naj bi še naprej kori</w:t>
      </w:r>
      <w:r>
        <w:rPr>
          <w:noProof/>
        </w:rPr>
        <w:t>stili ugodni pogoji financiranja. Z odpravo omejitev za delovanje enotnega trga in izboljšanjem poslovnega okolja bi se morala še naprej ohranjati višja raven skupnega povpraševanja. Domači dejavniki, ki so prispevali k nedavni upočasnitvi, vključujejo tež</w:t>
      </w:r>
      <w:r>
        <w:rPr>
          <w:noProof/>
        </w:rPr>
        <w:t>ave pri proizvodnji v avtomobilski industriji ter negotovost glede fiskalnih in ekonomskih politik v nekaterih državah članicah. Fiskalna naravnanost v euroobmočju naj bi leta 2019 postala ekspanzivna, javni dolg pa se še naprej zmanjšuje.</w:t>
      </w:r>
    </w:p>
    <w:p w:rsidR="0059194F" w:rsidRDefault="00F458DE">
      <w:pPr>
        <w:pStyle w:val="Text1"/>
        <w:spacing w:before="0"/>
        <w:ind w:left="0"/>
        <w:rPr>
          <w:bCs/>
          <w:noProof/>
          <w:szCs w:val="24"/>
        </w:rPr>
      </w:pPr>
      <w:r>
        <w:rPr>
          <w:b/>
          <w:noProof/>
        </w:rPr>
        <w:t>Stopnja in učine</w:t>
      </w:r>
      <w:r>
        <w:rPr>
          <w:b/>
          <w:noProof/>
        </w:rPr>
        <w:t>k pričakovane upočasnitve evropskega gospodarstva bosta odvisna od ukrepov politike.</w:t>
      </w:r>
      <w:r>
        <w:rPr>
          <w:noProof/>
        </w:rPr>
        <w:t xml:space="preserve"> S spodbujanjem in zaščito naložb, zlasti v ljudi ter znanja in spretnosti, se bo okrepil potencial rasti gospodarstev in podprlo skupno povpraševanje. Kar zadeva javne fin</w:t>
      </w:r>
      <w:r>
        <w:rPr>
          <w:noProof/>
        </w:rPr>
        <w:t>ance, bi morale vlade še naprej izboljševati njihovo vzdržnost, zlasti kjer so deleži dolga visoki in države članice niso izkoristile ugodnih cikličnih pogojev in nizkih obrestnih mer, da bi obnovile fiskalne blažilnike. Hkrati bi bilo treba izkoristiti mo</w:t>
      </w:r>
      <w:r>
        <w:rPr>
          <w:noProof/>
        </w:rPr>
        <w:t>rebitni fiskalni manevrski prostor in nameniti posebno pozornost prijaznosti odhodkov in davčnega sistema do rasti ter njihovim prerazdelitvenim učinkom. Bolj simetrično ponovno uravnoteženje v celotnem euroobmočju bo vključevalo negativni učinek razdolžev</w:t>
      </w:r>
      <w:r>
        <w:rPr>
          <w:noProof/>
        </w:rPr>
        <w:t>anja na rast in manjšo odvisnost gospodarske uspešnosti od zunanjega povpraševanja.</w:t>
      </w:r>
    </w:p>
    <w:p w:rsidR="0059194F" w:rsidRDefault="00F458DE">
      <w:pPr>
        <w:pStyle w:val="Text1"/>
        <w:spacing w:before="0"/>
        <w:ind w:left="0"/>
        <w:rPr>
          <w:rFonts w:eastAsia="Calibri"/>
          <w:noProof/>
          <w:szCs w:val="24"/>
        </w:rPr>
      </w:pPr>
      <w:r>
        <w:rPr>
          <w:b/>
          <w:noProof/>
        </w:rPr>
        <w:t>V skladu z govorom predsednika Junckerja o stanju v Uniji leta 2018 se je v okviru letnega pregleda rasti za leto 2019 pozivalo k bolj usmerjenim naložbenim politikam, dobr</w:t>
      </w:r>
      <w:r>
        <w:rPr>
          <w:b/>
          <w:noProof/>
        </w:rPr>
        <w:t>o zasnovanemu nizu strukturnih reform in odgovornim fiskalnim politikam.</w:t>
      </w:r>
      <w:r>
        <w:rPr>
          <w:noProof/>
        </w:rPr>
        <w:t xml:space="preserve"> Poleg tega je bilo v priporočilu za ekonomsko politiko euroobmočja za leto 2019</w:t>
      </w:r>
      <w:r>
        <w:rPr>
          <w:rFonts w:eastAsiaTheme="minorHAnsi" w:cstheme="minorBidi"/>
          <w:noProof/>
          <w:color w:val="000000"/>
          <w:bdr w:val="nil"/>
          <w:vertAlign w:val="superscript"/>
        </w:rPr>
        <w:footnoteReference w:id="1"/>
      </w:r>
      <w:r>
        <w:rPr>
          <w:noProof/>
        </w:rPr>
        <w:t xml:space="preserve"> poudarjeno, da je treba nacionalna prizadevanja dopolniti z nadaljnjimi reformami na evropski ravni, k</w:t>
      </w:r>
      <w:r>
        <w:rPr>
          <w:noProof/>
        </w:rPr>
        <w:t xml:space="preserve">ot je krepitev enotnega trga. Čeprav so bili v zadnjih letih sprejeti ukrepi politike za izboljšanje odpornosti gospodarstev, izzivi ostajajo. Rast v Evropi ne koristi vsem državam, regijam in državljanom na enak način. Nekatere države članice se še vedno </w:t>
      </w:r>
      <w:r>
        <w:rPr>
          <w:noProof/>
        </w:rPr>
        <w:t xml:space="preserve">soočajo z visoko brezposelnostjo, realnimi dohodki gospodinjstev pod ravnjo pred krizo in visokimi stopnjami </w:t>
      </w:r>
      <w:r>
        <w:rPr>
          <w:noProof/>
        </w:rPr>
        <w:lastRenderedPageBreak/>
        <w:t>revščine. Regionalne razlike ostajajo velike in se v nekaterih državah članicah povečujejo. Poleg tega je rast skupne faktorske produktivnosti nizk</w:t>
      </w:r>
      <w:r>
        <w:rPr>
          <w:noProof/>
        </w:rPr>
        <w:t>a, digitalne tehnologije pa se še vedno širijo počasi. Skupaj z vplivom staranja prebivalstva na delovno silo bo to omejilo potencial rasti v prihodnosti. V poročilih o državah, objavljenih skupaj s tem sporočilom, je posebna pozornost namenjena temu, kako</w:t>
      </w:r>
      <w:r>
        <w:rPr>
          <w:noProof/>
        </w:rPr>
        <w:t xml:space="preserve"> države članice uresničujejo cilje evropskega stebra socialnih pravic. Izvajanje stebra je vodilo za doseganje vključujoče, pravične in trajnostne rasti.</w:t>
      </w:r>
    </w:p>
    <w:p w:rsidR="0059194F" w:rsidRDefault="00F458DE">
      <w:pPr>
        <w:pStyle w:val="Text1"/>
        <w:spacing w:before="0"/>
        <w:ind w:left="0"/>
        <w:rPr>
          <w:noProof/>
          <w:szCs w:val="24"/>
        </w:rPr>
      </w:pPr>
      <w:r>
        <w:rPr>
          <w:b/>
          <w:noProof/>
        </w:rPr>
        <w:t>Komisija v okviru tega svežnja evropskega semestra na podlagi svojih predlogov za naslednji večletni f</w:t>
      </w:r>
      <w:r>
        <w:rPr>
          <w:b/>
          <w:noProof/>
        </w:rPr>
        <w:t>inančni okvir EU za prihodnost predstavlja učinkovitejšo povezavo politike med evropskim semestrom in financiranjem EU za obdobje 2021–2027.</w:t>
      </w:r>
      <w:r>
        <w:rPr>
          <w:noProof/>
        </w:rPr>
        <w:t xml:space="preserve"> Cilj je zagotoviti večjo skladnost med usklajevanjem ekonomskih politik in uporabo sredstev EU, ki predstavljajo po</w:t>
      </w:r>
      <w:r>
        <w:rPr>
          <w:noProof/>
        </w:rPr>
        <w:t>memben del javnih naložb v več državah članicah (samo skladi kohezijske politike v naslednjem programskem obdobju ustrezajo 0,5 % BDP EU). V ta namen so v poročilih o državah opredeljena prednostna področja za ukrepe politike v zvezi z javnimi in zasebnimi</w:t>
      </w:r>
      <w:r>
        <w:rPr>
          <w:noProof/>
        </w:rPr>
        <w:t xml:space="preserve"> naložbami v državah članicah, kar zagotavlja analitično podlago za uspešno načrtovanje programov za sredstva kohezijske politike in uporabo povezanih sredstev EU v obdobju 2021–2027.</w:t>
      </w:r>
    </w:p>
    <w:p w:rsidR="0059194F" w:rsidRDefault="0059194F">
      <w:pPr>
        <w:pStyle w:val="Text1"/>
        <w:spacing w:before="0"/>
        <w:ind w:left="0"/>
        <w:rPr>
          <w:rFonts w:eastAsia="Calibri"/>
          <w:noProof/>
          <w:szCs w:val="24"/>
        </w:rPr>
      </w:pPr>
    </w:p>
    <w:p w:rsidR="0059194F" w:rsidRDefault="00F458DE">
      <w:pPr>
        <w:pStyle w:val="Heading1"/>
        <w:rPr>
          <w:rFonts w:ascii="Times New Roman" w:hAnsi="Times New Roman"/>
          <w:noProof/>
          <w:sz w:val="24"/>
          <w:szCs w:val="24"/>
        </w:rPr>
      </w:pPr>
      <w:r>
        <w:rPr>
          <w:noProof/>
        </w:rPr>
        <w:br w:type="page"/>
      </w:r>
      <w:r>
        <w:rPr>
          <w:noProof/>
        </w:rPr>
        <w:lastRenderedPageBreak/>
        <w:t>Napredek pri izvajanju priporočil za posamezne države</w:t>
      </w:r>
      <w:r>
        <w:rPr>
          <w:noProof/>
          <w:sz w:val="24"/>
        </w:rPr>
        <w:t xml:space="preserve"> </w:t>
      </w:r>
    </w:p>
    <w:p w:rsidR="0059194F" w:rsidRDefault="00F458DE">
      <w:pPr>
        <w:pStyle w:val="Text1"/>
        <w:spacing w:before="0"/>
        <w:ind w:left="0"/>
        <w:rPr>
          <w:rFonts w:eastAsia="Calibri"/>
          <w:noProof/>
          <w:szCs w:val="24"/>
        </w:rPr>
      </w:pPr>
      <w:r>
        <w:rPr>
          <w:b/>
          <w:noProof/>
        </w:rPr>
        <w:t xml:space="preserve">Danes objavljena poročila o državah zagotavljajo analitično podlago za priporočila za posamezne države v okviru evropskega semestra. </w:t>
      </w:r>
      <w:r>
        <w:rPr>
          <w:noProof/>
        </w:rPr>
        <w:t>Komisija namerava v tem ciklu evropskega semestra in kot nadaljevanje lanskih prizadevanj poglobiti dialog z državami člani</w:t>
      </w:r>
      <w:r>
        <w:rPr>
          <w:noProof/>
        </w:rPr>
        <w:t>cami, socialnimi partnerji in drugimi ustreznimi deležniki, da bi še bolj spodbudila izvajanje priporočil za posamezne države in povečala občutek odgovornosti na nacionalni ravni. Ta dialog bi vključeval namenske obiske v državah članicah ter dvo- in večst</w:t>
      </w:r>
      <w:r>
        <w:rPr>
          <w:noProof/>
        </w:rPr>
        <w:t>ranske razprave.</w:t>
      </w:r>
    </w:p>
    <w:p w:rsidR="0059194F" w:rsidRDefault="00F458DE">
      <w:pPr>
        <w:pStyle w:val="Text1"/>
        <w:spacing w:before="0"/>
        <w:ind w:left="0"/>
        <w:rPr>
          <w:noProof/>
          <w:szCs w:val="24"/>
        </w:rPr>
      </w:pPr>
      <w:r>
        <w:rPr>
          <w:b/>
          <w:noProof/>
        </w:rPr>
        <w:t xml:space="preserve">Vse države članice so dosegle napredek pri izvajanju priporočil za posamezne države, čeprav v različnem obsegu. </w:t>
      </w:r>
      <w:r>
        <w:rPr>
          <w:noProof/>
        </w:rPr>
        <w:t xml:space="preserve">Države članice so od začetka semestra leta 2011 dosegle vsaj „določen napredek“ pri izvajanju več kot dveh tretjin vseh </w:t>
      </w:r>
      <w:r>
        <w:rPr>
          <w:noProof/>
        </w:rPr>
        <w:t>priporočil za posamezne države. Ta stopnja napredka je na splošno stabilna v primerjavi z oceno Komisije iz maja 2018</w:t>
      </w:r>
      <w:r>
        <w:rPr>
          <w:noProof/>
          <w:vertAlign w:val="superscript"/>
        </w:rPr>
        <w:footnoteReference w:id="2"/>
      </w:r>
      <w:r>
        <w:rPr>
          <w:noProof/>
        </w:rPr>
        <w:t>. Tako kot pri prejšnjih ocenah so države članice dosegle največji napredek na področju finančnih storitev, kar je odražalo prednostno obr</w:t>
      </w:r>
      <w:r>
        <w:rPr>
          <w:noProof/>
        </w:rPr>
        <w:t>avnavo stabilizacije in trdnosti finančnega sektorja po finančni krizi. Prav tako je bil skladno s prvotno velikim vplivom krize na trg dela dosežen dober napredek tudi pri izvajanju priporočil za spodbujanje ustvarjanja delovnih mest s pogodbami za nedolo</w:t>
      </w:r>
      <w:r>
        <w:rPr>
          <w:noProof/>
        </w:rPr>
        <w:t>čen čas in za obravnavanje segmentacije trga dela.</w:t>
      </w:r>
    </w:p>
    <w:p w:rsidR="0059194F" w:rsidRDefault="00F458DE">
      <w:pPr>
        <w:pStyle w:val="Text1"/>
        <w:spacing w:before="0"/>
        <w:ind w:left="0"/>
        <w:rPr>
          <w:rFonts w:eastAsia="Calibri"/>
          <w:noProof/>
          <w:szCs w:val="24"/>
        </w:rPr>
      </w:pPr>
      <w:r>
        <w:rPr>
          <w:b/>
          <w:noProof/>
        </w:rPr>
        <w:t>Zaradi naraščajočih ekonomskih tveganj je okrepljeno izvajanje reform ključno za krepitev odpornosti gospodarstev.</w:t>
      </w:r>
      <w:r>
        <w:rPr>
          <w:noProof/>
        </w:rPr>
        <w:t xml:space="preserve"> Države članice morajo bolje izkoristiti ugodne gospodarske pogoje z nadaljnjim napredkom p</w:t>
      </w:r>
      <w:r>
        <w:rPr>
          <w:noProof/>
        </w:rPr>
        <w:t>ri izvajanju priporočil, ki jih je Svet naslovil nanje leta 2018. Največji napredek je bil dosežen pri priporočilih, ki obravnavajo izzive v finančnem sektorju, zlasti v zvezi s finančnimi storitvami, zmanjševanjem zasebne zadolženosti in reformo postopkov</w:t>
      </w:r>
      <w:r>
        <w:rPr>
          <w:noProof/>
        </w:rPr>
        <w:t xml:space="preserve"> v primeru insolventnosti. Hkrati je bil napredek še posebej majhen pri obravnavi konkurenčnih in regulativnih okvirov ter pri izvajanju priporočil v zvezi s podjetji v državni lasti in razširitvijo davčnih osnov. V nekaterih primerih obstajajo tudi določe</w:t>
      </w:r>
      <w:r>
        <w:rPr>
          <w:noProof/>
        </w:rPr>
        <w:t>ni dokazi o nazadovanju, na primer na področju dolgoročne vzdržnosti javnih financ, vključno s pokojninami.</w:t>
      </w:r>
    </w:p>
    <w:p w:rsidR="0059194F" w:rsidRDefault="00F458DE">
      <w:pPr>
        <w:rPr>
          <w:rFonts w:ascii="Times New Roman" w:hAnsi="Times New Roman"/>
          <w:noProof/>
          <w:sz w:val="24"/>
          <w:szCs w:val="24"/>
        </w:rPr>
      </w:pPr>
      <w:r>
        <w:rPr>
          <w:rFonts w:ascii="Times New Roman" w:hAnsi="Times New Roman"/>
          <w:b/>
          <w:noProof/>
          <w:sz w:val="24"/>
        </w:rPr>
        <w:t xml:space="preserve">Reforme in naložbe zahtevajo zadostne upravne in tehnične zmogljivosti držav članic za doseganje pričakovanih rezultatov. </w:t>
      </w:r>
      <w:r>
        <w:rPr>
          <w:rFonts w:ascii="Times New Roman" w:hAnsi="Times New Roman"/>
          <w:noProof/>
          <w:sz w:val="24"/>
        </w:rPr>
        <w:t>Dobro pripravljalno delo u</w:t>
      </w:r>
      <w:r>
        <w:rPr>
          <w:rFonts w:ascii="Times New Roman" w:hAnsi="Times New Roman"/>
          <w:noProof/>
          <w:sz w:val="24"/>
        </w:rPr>
        <w:t>prave, ki ima dovolj osebja s potrebnimi tehničnimi sredstvi, pomeni povečanje učinka javnih naložb in reform. Reforme javne uprave imajo omejene kratkoročne stroške in so lahko učinkovite na kateri koli točki cikla. Določiti, spremljati in sporočati je tr</w:t>
      </w:r>
      <w:r>
        <w:rPr>
          <w:rFonts w:ascii="Times New Roman" w:hAnsi="Times New Roman"/>
          <w:noProof/>
          <w:sz w:val="24"/>
        </w:rPr>
        <w:t>eba dosegljive in merljive rezultate reform.</w:t>
      </w:r>
      <w:r>
        <w:rPr>
          <w:rFonts w:ascii="Times New Roman" w:hAnsi="Times New Roman"/>
          <w:i/>
          <w:noProof/>
          <w:sz w:val="24"/>
        </w:rPr>
        <w:t xml:space="preserve"> </w:t>
      </w:r>
      <w:r>
        <w:rPr>
          <w:rFonts w:ascii="Times New Roman" w:hAnsi="Times New Roman"/>
          <w:noProof/>
          <w:sz w:val="24"/>
        </w:rPr>
        <w:t>Program za podporo strukturnim reformam vsem državam članicam na zahtevo zagotavlja praktično podporo pri oblikovanju in izvajanju reform, zlasti pri izvajanju priporočil evropskega semestra</w:t>
      </w:r>
      <w:r>
        <w:rPr>
          <w:rFonts w:ascii="Times New Roman" w:hAnsi="Times New Roman"/>
          <w:noProof/>
          <w:sz w:val="24"/>
          <w:vertAlign w:val="superscript"/>
        </w:rPr>
        <w:footnoteReference w:id="3"/>
      </w:r>
      <w:r>
        <w:rPr>
          <w:rFonts w:ascii="Times New Roman" w:hAnsi="Times New Roman"/>
          <w:noProof/>
          <w:sz w:val="24"/>
        </w:rPr>
        <w:t xml:space="preserve">. </w:t>
      </w:r>
    </w:p>
    <w:p w:rsidR="0059194F" w:rsidRDefault="00F458DE">
      <w:pPr>
        <w:rPr>
          <w:rFonts w:ascii="Times New Roman" w:hAnsi="Times New Roman"/>
          <w:noProof/>
          <w:sz w:val="24"/>
          <w:szCs w:val="24"/>
        </w:rPr>
      </w:pPr>
      <w:r>
        <w:rPr>
          <w:noProof/>
        </w:rPr>
        <w:br w:type="page"/>
      </w:r>
    </w:p>
    <w:p w:rsidR="0059194F" w:rsidRDefault="00F458DE">
      <w:pPr>
        <w:pStyle w:val="Heading1"/>
        <w:rPr>
          <w:noProof/>
          <w:sz w:val="24"/>
          <w:szCs w:val="24"/>
        </w:rPr>
      </w:pPr>
      <w:r>
        <w:rPr>
          <w:noProof/>
        </w:rPr>
        <w:t>Odpravljanje ma</w:t>
      </w:r>
      <w:r>
        <w:rPr>
          <w:noProof/>
        </w:rPr>
        <w:t>kroekonomskih neravnotežij</w:t>
      </w:r>
    </w:p>
    <w:p w:rsidR="0059194F" w:rsidRDefault="00F458DE">
      <w:pPr>
        <w:ind w:right="1"/>
        <w:rPr>
          <w:rFonts w:ascii="Times New Roman" w:hAnsi="Times New Roman"/>
          <w:noProof/>
          <w:sz w:val="24"/>
          <w:szCs w:val="24"/>
        </w:rPr>
      </w:pPr>
      <w:r>
        <w:rPr>
          <w:rFonts w:ascii="Times New Roman" w:hAnsi="Times New Roman"/>
          <w:b/>
          <w:noProof/>
          <w:sz w:val="24"/>
        </w:rPr>
        <w:t xml:space="preserve">V poglobljenih pregledih v poročilih o državah je predstavljena celovita analiza neravnotežij, s katerimi se soočajo države članice. </w:t>
      </w:r>
      <w:r>
        <w:rPr>
          <w:rFonts w:ascii="Times New Roman" w:hAnsi="Times New Roman"/>
          <w:noProof/>
          <w:sz w:val="24"/>
        </w:rPr>
        <w:t>Opredeljene so osnovne slabosti in zadevne čezmejne posledice. Makroekonomska neravnotežja lahko</w:t>
      </w:r>
      <w:r>
        <w:rPr>
          <w:rFonts w:ascii="Times New Roman" w:hAnsi="Times New Roman"/>
          <w:noProof/>
          <w:sz w:val="24"/>
        </w:rPr>
        <w:t xml:space="preserve"> negativno vplivajo na gospodarstvo posamezne države članice, euroobmočja ali EU kot celote. Namen postopka v zvezi z makroekonomskimi neravnotežji je odkrivanje in preprečevanje njihovega pojava v zgodnji fazi, da se zagotovi, da zadevne države članice sp</w:t>
      </w:r>
      <w:r>
        <w:rPr>
          <w:rFonts w:ascii="Times New Roman" w:hAnsi="Times New Roman"/>
          <w:noProof/>
          <w:sz w:val="24"/>
        </w:rPr>
        <w:t>rejmejo ustrezne ukrepe za njihovo odpravo.</w:t>
      </w:r>
    </w:p>
    <w:p w:rsidR="0059194F" w:rsidRDefault="00F458DE">
      <w:pPr>
        <w:ind w:right="1"/>
        <w:rPr>
          <w:rFonts w:ascii="Times New Roman" w:hAnsi="Times New Roman"/>
          <w:noProof/>
          <w:sz w:val="24"/>
          <w:szCs w:val="24"/>
        </w:rPr>
      </w:pPr>
      <w:r>
        <w:rPr>
          <w:rFonts w:ascii="Times New Roman" w:hAnsi="Times New Roman"/>
          <w:b/>
          <w:noProof/>
          <w:sz w:val="24"/>
        </w:rPr>
        <w:t>V poročilu o mehanizmu opozarjanja za leto 2019 je bilo za poglobljeni pregled opredeljenih 13 držav članic, da bi se ocenilo, ali se soočajo z neravnotežji oziroma ali pri njih obstaja tveganje nastanka neravnot</w:t>
      </w:r>
      <w:r>
        <w:rPr>
          <w:rFonts w:ascii="Times New Roman" w:hAnsi="Times New Roman"/>
          <w:b/>
          <w:noProof/>
          <w:sz w:val="24"/>
        </w:rPr>
        <w:t>ežij</w:t>
      </w:r>
      <w:r>
        <w:rPr>
          <w:rFonts w:ascii="Times New Roman" w:hAnsi="Times New Roman"/>
          <w:noProof/>
          <w:sz w:val="24"/>
          <w:vertAlign w:val="superscript"/>
        </w:rPr>
        <w:footnoteReference w:id="4"/>
      </w:r>
      <w:r>
        <w:rPr>
          <w:rFonts w:ascii="Times New Roman" w:hAnsi="Times New Roman"/>
          <w:b/>
          <w:noProof/>
          <w:sz w:val="24"/>
        </w:rPr>
        <w:t xml:space="preserve">. </w:t>
      </w:r>
      <w:r>
        <w:rPr>
          <w:rFonts w:ascii="Times New Roman" w:hAnsi="Times New Roman"/>
          <w:noProof/>
          <w:sz w:val="24"/>
        </w:rPr>
        <w:t xml:space="preserve">Za 11 od teh držav je bilo že leta 2018 ocenjeno, da se soočajo z neravnotežji ali čezmernimi neravnotežji. Poleg tega je bila prvič po izstopu iz programa finančne pomoči predmet temeljitega pregleda tudi Grčija. V poročilu o mehanizmu opozarjanja </w:t>
      </w:r>
      <w:r>
        <w:rPr>
          <w:rFonts w:ascii="Times New Roman" w:hAnsi="Times New Roman"/>
          <w:noProof/>
          <w:sz w:val="24"/>
        </w:rPr>
        <w:t>za leto 2019 je bilo prav tako ugotovljeno, da je potreben poglobljeni pregled za Romunijo, da se ocenijo posledice trenutnega poslabšanja njene stroškovne konkurenčnosti in zunanjega salda. Svet je podprl izbor držav članic</w:t>
      </w:r>
      <w:r>
        <w:rPr>
          <w:rFonts w:ascii="Times New Roman" w:hAnsi="Times New Roman"/>
          <w:noProof/>
          <w:sz w:val="24"/>
          <w:vertAlign w:val="superscript"/>
        </w:rPr>
        <w:footnoteReference w:id="5"/>
      </w:r>
      <w:r>
        <w:rPr>
          <w:rFonts w:ascii="Times New Roman" w:hAnsi="Times New Roman"/>
          <w:noProof/>
          <w:sz w:val="24"/>
        </w:rPr>
        <w:t>. Analiza obravnava resnost ner</w:t>
      </w:r>
      <w:r>
        <w:rPr>
          <w:rFonts w:ascii="Times New Roman" w:hAnsi="Times New Roman"/>
          <w:noProof/>
          <w:sz w:val="24"/>
        </w:rPr>
        <w:t xml:space="preserve">avnotežij, njihov razvoj in odziv politike na priporočila za posamezne države v zvezi z makroekonomskimi neravnotežji. Upoštevani so tudi ustrezni učinki prelivanja in sistemske čezmejne posledice neravnotežij. </w:t>
      </w:r>
    </w:p>
    <w:p w:rsidR="0059194F" w:rsidRDefault="00F458DE">
      <w:pPr>
        <w:keepNext/>
        <w:keepLines/>
        <w:rPr>
          <w:rFonts w:ascii="Times New Roman" w:hAnsi="Times New Roman"/>
          <w:b/>
          <w:i/>
          <w:noProof/>
          <w:sz w:val="24"/>
          <w:szCs w:val="24"/>
        </w:rPr>
      </w:pPr>
      <w:r>
        <w:rPr>
          <w:rFonts w:ascii="Times New Roman" w:hAnsi="Times New Roman"/>
          <w:b/>
          <w:i/>
          <w:noProof/>
          <w:sz w:val="24"/>
        </w:rPr>
        <w:t>3.1 Napredek pri odpravljanju makroekonomski</w:t>
      </w:r>
      <w:r>
        <w:rPr>
          <w:rFonts w:ascii="Times New Roman" w:hAnsi="Times New Roman"/>
          <w:b/>
          <w:i/>
          <w:noProof/>
          <w:sz w:val="24"/>
        </w:rPr>
        <w:t xml:space="preserve">h neravnotežij v EU in euroobmočju </w:t>
      </w:r>
    </w:p>
    <w:p w:rsidR="0059194F" w:rsidRDefault="00F458DE">
      <w:pPr>
        <w:rPr>
          <w:rFonts w:ascii="Times New Roman" w:hAnsi="Times New Roman"/>
          <w:noProof/>
          <w:sz w:val="24"/>
          <w:szCs w:val="24"/>
        </w:rPr>
      </w:pPr>
      <w:r>
        <w:rPr>
          <w:rFonts w:ascii="Times New Roman" w:hAnsi="Times New Roman"/>
          <w:b/>
          <w:noProof/>
          <w:sz w:val="24"/>
        </w:rPr>
        <w:t xml:space="preserve">Odpravljanje makroekonomskih neravnotežij v EU napreduje zaradi ponovne rasti in prizadevanj politike, vendar slabosti še vedno obstajajo. </w:t>
      </w:r>
      <w:r>
        <w:rPr>
          <w:rFonts w:ascii="Times New Roman" w:hAnsi="Times New Roman"/>
          <w:noProof/>
          <w:sz w:val="24"/>
        </w:rPr>
        <w:t>Ravni zasebnega in javnega dolga ostajajo v določenih državah članicah na najvišj</w:t>
      </w:r>
      <w:r>
        <w:rPr>
          <w:rFonts w:ascii="Times New Roman" w:hAnsi="Times New Roman"/>
          <w:noProof/>
          <w:sz w:val="24"/>
        </w:rPr>
        <w:t>ih ravneh doslej in njihovo zniževanje ne poteka vedno dovolj hitro. To zmanjšuje možnosti za absorpcijo prihodnjih negativnih gospodarskih pretresov. Poleg tega so v številnih državah članicah prisotni znaki morebitnega pregrevanja, ki so povezani predvse</w:t>
      </w:r>
      <w:r>
        <w:rPr>
          <w:rFonts w:ascii="Times New Roman" w:hAnsi="Times New Roman"/>
          <w:noProof/>
          <w:sz w:val="24"/>
        </w:rPr>
        <w:t xml:space="preserve">m z dinamično rastjo cen stanovanj in hitro rastočimi stroški dela na enoto. </w:t>
      </w:r>
    </w:p>
    <w:p w:rsidR="0059194F" w:rsidRDefault="00F458DE">
      <w:pPr>
        <w:rPr>
          <w:rFonts w:ascii="Times New Roman" w:hAnsi="Times New Roman"/>
          <w:noProof/>
          <w:sz w:val="24"/>
          <w:szCs w:val="24"/>
        </w:rPr>
      </w:pPr>
      <w:r>
        <w:rPr>
          <w:rFonts w:ascii="Times New Roman" w:hAnsi="Times New Roman"/>
          <w:b/>
          <w:noProof/>
          <w:sz w:val="24"/>
        </w:rPr>
        <w:t>Ponovno uravnoteženje zunanjega položaja je še vedno nepopolno.</w:t>
      </w:r>
      <w:r>
        <w:rPr>
          <w:rFonts w:ascii="Times New Roman" w:hAnsi="Times New Roman"/>
          <w:noProof/>
          <w:sz w:val="24"/>
        </w:rPr>
        <w:t xml:space="preserve"> Veliki primanjkljaji na tekočem računu so bili popravljeni v večini držav članic, nekaj pa se jih še vedno sooča z</w:t>
      </w:r>
      <w:r>
        <w:rPr>
          <w:rFonts w:ascii="Times New Roman" w:hAnsi="Times New Roman"/>
          <w:noProof/>
          <w:sz w:val="24"/>
        </w:rPr>
        <w:t xml:space="preserve"> večinoma negativnim neto stanjem mednarodnih naložb. Visoke ravni zunanjega dolga so še vedno šibka točka v številnih državah članicah, ki morajo ohraniti zmerna stanja na tekočem računu in preprečiti izgube konkurenčnosti. Po drugi strani imajo druge drž</w:t>
      </w:r>
      <w:r>
        <w:rPr>
          <w:rFonts w:ascii="Times New Roman" w:hAnsi="Times New Roman"/>
          <w:noProof/>
          <w:sz w:val="24"/>
        </w:rPr>
        <w:t>ave članice velike presežke na tekočem računu, ki še kar naprej vztrajajo. Skromni znaki prilagajanja so se pokazali šele pred kratkim. Obravnavanje velikih presežkov v državah neto upnicah z naložbenimi in plačnimi politikami bi prispevalo k podpori poten</w:t>
      </w:r>
      <w:r>
        <w:rPr>
          <w:rFonts w:ascii="Times New Roman" w:hAnsi="Times New Roman"/>
          <w:noProof/>
          <w:sz w:val="24"/>
        </w:rPr>
        <w:t>ciala rasti. Na skupni ravni je presežek na tekočem računu euroobmočja leta 2016 presegel 3 % BDP in je bil pozneje na splošno nespremenjen. Ta velik presežek odraža razmere, v katerih skupno domače povpraševanje v euroobmočju zaostaja za gospodarsko aktiv</w:t>
      </w:r>
      <w:r>
        <w:rPr>
          <w:rFonts w:ascii="Times New Roman" w:hAnsi="Times New Roman"/>
          <w:noProof/>
          <w:sz w:val="24"/>
        </w:rPr>
        <w:t xml:space="preserve">nostjo in v katerih je izboljšan konkurenčni položaj gospodarstev euroobmočja podpiral izvoz. </w:t>
      </w:r>
    </w:p>
    <w:p w:rsidR="0059194F" w:rsidRDefault="00F458DE">
      <w:pPr>
        <w:rPr>
          <w:rFonts w:ascii="Times New Roman" w:hAnsi="Times New Roman"/>
          <w:noProof/>
          <w:sz w:val="24"/>
          <w:szCs w:val="24"/>
        </w:rPr>
      </w:pPr>
      <w:r>
        <w:rPr>
          <w:rFonts w:ascii="Times New Roman" w:hAnsi="Times New Roman"/>
          <w:b/>
          <w:noProof/>
          <w:sz w:val="24"/>
        </w:rPr>
        <w:t xml:space="preserve">Zmanjševanje dolga se nadaljuje. </w:t>
      </w:r>
      <w:r>
        <w:rPr>
          <w:rFonts w:ascii="Times New Roman" w:hAnsi="Times New Roman"/>
          <w:noProof/>
          <w:sz w:val="24"/>
        </w:rPr>
        <w:t>Učinkovit napredek pri zniževanju ravni zasebnega in javnega dolga bi bil ključen za ustvarjanje možnosti za obvladovanje prihod</w:t>
      </w:r>
      <w:r>
        <w:rPr>
          <w:rFonts w:ascii="Times New Roman" w:hAnsi="Times New Roman"/>
          <w:noProof/>
          <w:sz w:val="24"/>
        </w:rPr>
        <w:t xml:space="preserve">njih negativnih gospodarskih pretresov. Deleži zasebnega dolga v BDP se v vse večjem številu držav članic zmanjšujejo, kar je predvsem posledica višje nominalne rasti BDP. Zmanjšanje dolga zaradi pozitivnih neto prihrankov in ponovne rasti posojil postaja </w:t>
      </w:r>
      <w:r>
        <w:rPr>
          <w:rFonts w:ascii="Times New Roman" w:hAnsi="Times New Roman"/>
          <w:noProof/>
          <w:sz w:val="24"/>
        </w:rPr>
        <w:t>vse manj intenzivno in razširjeno. Dolg podjetij se je zmanjševal hitreje kot dolg gospodinjstev, deloma tudi zaradi nizkih ravni naložb v preteklih nekaj letih. V javnem sektorju se deleži javnega dolga kljub izboljšanju proračunskega stanja in ponovni ra</w:t>
      </w:r>
      <w:r>
        <w:rPr>
          <w:rFonts w:ascii="Times New Roman" w:hAnsi="Times New Roman"/>
          <w:noProof/>
          <w:sz w:val="24"/>
        </w:rPr>
        <w:t xml:space="preserve">sti BDP v večini držav članic le počasi zmanjšujejo. </w:t>
      </w:r>
    </w:p>
    <w:p w:rsidR="0059194F" w:rsidRDefault="00F458DE">
      <w:pPr>
        <w:rPr>
          <w:rFonts w:ascii="Times New Roman" w:hAnsi="Times New Roman"/>
          <w:noProof/>
          <w:sz w:val="24"/>
          <w:szCs w:val="24"/>
        </w:rPr>
      </w:pPr>
      <w:r>
        <w:rPr>
          <w:rFonts w:ascii="Times New Roman" w:hAnsi="Times New Roman"/>
          <w:b/>
          <w:noProof/>
          <w:sz w:val="24"/>
        </w:rPr>
        <w:t xml:space="preserve">Razmere v bančnem sektorju EU se izboljšujejo, zlasti v najranljivejših državah, vendar so potrebna nadaljnja prizadevanja. </w:t>
      </w:r>
      <w:r>
        <w:rPr>
          <w:rFonts w:ascii="Times New Roman" w:hAnsi="Times New Roman"/>
          <w:noProof/>
          <w:sz w:val="24"/>
        </w:rPr>
        <w:t xml:space="preserve">Kapitalski količniki so se v večini držav članic še izboljšali. Deleži slabih </w:t>
      </w:r>
      <w:r>
        <w:rPr>
          <w:rFonts w:ascii="Times New Roman" w:hAnsi="Times New Roman"/>
          <w:noProof/>
          <w:sz w:val="24"/>
        </w:rPr>
        <w:t>posojil so se v nekaterih državah članicah, kjer so najvišji, opazno zmanjšali.</w:t>
      </w:r>
      <w:r>
        <w:rPr>
          <w:noProof/>
        </w:rPr>
        <w:t xml:space="preserve"> </w:t>
      </w:r>
      <w:r>
        <w:rPr>
          <w:rFonts w:ascii="Times New Roman" w:hAnsi="Times New Roman"/>
          <w:noProof/>
          <w:sz w:val="24"/>
        </w:rPr>
        <w:t xml:space="preserve">Povprečni delež slabih posojil v EU je v tretjem četrtletju leta 2018 znašal 3,3 % v primerjavi z 4,4 % leto prej, vendar so ti deleži še vedno zelo visoki v nekaterih državah </w:t>
      </w:r>
      <w:r>
        <w:rPr>
          <w:rFonts w:ascii="Times New Roman" w:hAnsi="Times New Roman"/>
          <w:noProof/>
          <w:sz w:val="24"/>
        </w:rPr>
        <w:t xml:space="preserve">članicah, kjer so potrebna dodatna prizadevanja. Kapitalski in likvidnostni količniki so se v veliki večini bank še izboljšali. Kljub nedavnim izboljšavam je nizka donosnost, povezana z zasičenimi trgi, še vedno zaskrbljujoča. Kapitalski trgi so prav tako </w:t>
      </w:r>
      <w:r>
        <w:rPr>
          <w:rFonts w:ascii="Times New Roman" w:hAnsi="Times New Roman"/>
          <w:noProof/>
          <w:sz w:val="24"/>
        </w:rPr>
        <w:t xml:space="preserve">še dodatno prispevali k razširitvi in diverzifikaciji financiranja evropskega gospodarstva. Obstaja še veliko dodatnih možnosti za njihov razvoj na evropski, nacionalni in regionalni ravni. </w:t>
      </w:r>
    </w:p>
    <w:p w:rsidR="0059194F" w:rsidRDefault="00F458DE">
      <w:pPr>
        <w:rPr>
          <w:rFonts w:ascii="Times New Roman" w:hAnsi="Times New Roman"/>
          <w:noProof/>
          <w:sz w:val="24"/>
          <w:szCs w:val="24"/>
        </w:rPr>
      </w:pPr>
      <w:r>
        <w:rPr>
          <w:rFonts w:ascii="Times New Roman" w:hAnsi="Times New Roman"/>
          <w:b/>
          <w:noProof/>
          <w:sz w:val="24"/>
        </w:rPr>
        <w:t>Cene stanovanj v vedno večjem številu držav članic rastejo, pri č</w:t>
      </w:r>
      <w:r>
        <w:rPr>
          <w:rFonts w:ascii="Times New Roman" w:hAnsi="Times New Roman"/>
          <w:b/>
          <w:noProof/>
          <w:sz w:val="24"/>
        </w:rPr>
        <w:t xml:space="preserve">emer več držav kaže morebitne znake precenitve. </w:t>
      </w:r>
      <w:r>
        <w:rPr>
          <w:rFonts w:ascii="Times New Roman" w:hAnsi="Times New Roman"/>
          <w:noProof/>
          <w:sz w:val="24"/>
        </w:rPr>
        <w:t xml:space="preserve">Cene stanovanj so se hitreje zvišale v državah članicah, ki v zadnjih letih niso kazale znakov precenitve ali jih je bilo le zelo malo, v nekaterih primerih pa se hipotekarno posojanje obnavlja hitreje. </w:t>
      </w:r>
      <w:r>
        <w:rPr>
          <w:rFonts w:ascii="Times New Roman" w:hAnsi="Times New Roman"/>
          <w:noProof/>
          <w:sz w:val="24"/>
        </w:rPr>
        <w:t>Pozitivno pa je to, da so se cene stanovanj v zadnjem času umirile v državah, kjer so dokazi o precenitvi največji, vključno s tistimi, ki izhajajo iz omejitev cenovne dostopnosti in nedavno uvedenih makrobonitetnih politik.</w:t>
      </w:r>
    </w:p>
    <w:p w:rsidR="0059194F" w:rsidRDefault="00F458DE">
      <w:pPr>
        <w:tabs>
          <w:tab w:val="left" w:pos="6524"/>
        </w:tabs>
        <w:rPr>
          <w:rFonts w:ascii="Times New Roman" w:hAnsi="Times New Roman"/>
          <w:b/>
          <w:noProof/>
          <w:sz w:val="24"/>
          <w:szCs w:val="24"/>
        </w:rPr>
      </w:pPr>
      <w:r>
        <w:rPr>
          <w:rFonts w:ascii="Times New Roman" w:hAnsi="Times New Roman"/>
          <w:b/>
          <w:noProof/>
          <w:sz w:val="24"/>
        </w:rPr>
        <w:t>Razmere na trgu dela se še napr</w:t>
      </w:r>
      <w:r>
        <w:rPr>
          <w:rFonts w:ascii="Times New Roman" w:hAnsi="Times New Roman"/>
          <w:b/>
          <w:noProof/>
          <w:sz w:val="24"/>
        </w:rPr>
        <w:t xml:space="preserve">ej izboljšujejo. </w:t>
      </w:r>
      <w:r>
        <w:rPr>
          <w:rFonts w:ascii="Times New Roman" w:hAnsi="Times New Roman"/>
          <w:noProof/>
          <w:sz w:val="24"/>
        </w:rPr>
        <w:t>Stopnje brezposelnosti se še naprej znižujejo, tudi za mlade in dolgotrajno brezposelne, vendar so v nekaterih državah članicah še vedno visoke. Plače v državah članicah ponovno rastejo, vendar z različno hitrostjo, kar na splošno odraža o</w:t>
      </w:r>
      <w:r>
        <w:rPr>
          <w:rFonts w:ascii="Times New Roman" w:hAnsi="Times New Roman"/>
          <w:noProof/>
          <w:sz w:val="24"/>
        </w:rPr>
        <w:t>bseg pomanjkanja delovne sile v nekaterih državah, medtem ko rast plač v celotnem euroobmočju ostaja nižja od pričakovane glede na trenutne ravni brezposelnosti na podlagi podatkov iz preteklosti.</w:t>
      </w:r>
    </w:p>
    <w:p w:rsidR="0059194F" w:rsidRDefault="00F458DE">
      <w:pPr>
        <w:rPr>
          <w:rFonts w:ascii="Times New Roman" w:hAnsi="Times New Roman"/>
          <w:noProof/>
          <w:sz w:val="24"/>
          <w:szCs w:val="24"/>
        </w:rPr>
      </w:pPr>
      <w:r>
        <w:rPr>
          <w:rFonts w:ascii="Times New Roman" w:hAnsi="Times New Roman"/>
          <w:b/>
          <w:noProof/>
          <w:sz w:val="24"/>
        </w:rPr>
        <w:t>Od leta 2016 se stroški dela na enoto v večini držav članic</w:t>
      </w:r>
      <w:r>
        <w:rPr>
          <w:rFonts w:ascii="Times New Roman" w:hAnsi="Times New Roman"/>
          <w:b/>
          <w:noProof/>
          <w:sz w:val="24"/>
        </w:rPr>
        <w:t xml:space="preserve"> povečujejo hitreje kot prej.</w:t>
      </w:r>
      <w:r>
        <w:rPr>
          <w:rFonts w:ascii="Times New Roman" w:hAnsi="Times New Roman"/>
          <w:noProof/>
          <w:sz w:val="24"/>
        </w:rPr>
        <w:t xml:space="preserve"> Zabeležena so bila znatna povečanja, zlasti v državah članicah, kjer so ravni plač pod povprečjem, delno zaradi pomanjkanja delovne sile. Gibanje stroškov dela na enoto doslej ni bilo izravnano z znatnimi izgubami deležev na i</w:t>
      </w:r>
      <w:r>
        <w:rPr>
          <w:rFonts w:ascii="Times New Roman" w:hAnsi="Times New Roman"/>
          <w:noProof/>
          <w:sz w:val="24"/>
        </w:rPr>
        <w:t>zvoznih trgih ali poslabšanji stanj na tekočih računih, vendar bi lahko ti učinki postali vidni, če bi se ti trendi nadaljevali. Hkrati se je v euroobmočju prednost stroškovne konkurenčnosti v državah, ki so imele v preteklosti velike primanjkljaje na teko</w:t>
      </w:r>
      <w:r>
        <w:rPr>
          <w:rFonts w:ascii="Times New Roman" w:hAnsi="Times New Roman"/>
          <w:noProof/>
          <w:sz w:val="24"/>
        </w:rPr>
        <w:t>čem računu ali katerih zunanji dolg je še vedno znaten, zmanjšala, kar kaže na to, da je treba ohraniti zagon za reforme, katerih cilja sta povečanje rasti produktivnosti in ohranjanje stroškovne konkurenčnosti.</w:t>
      </w:r>
    </w:p>
    <w:p w:rsidR="0059194F" w:rsidRDefault="00F458DE">
      <w:pPr>
        <w:rPr>
          <w:rFonts w:ascii="Times New Roman" w:hAnsi="Times New Roman"/>
          <w:b/>
          <w:noProof/>
          <w:sz w:val="24"/>
          <w:szCs w:val="24"/>
        </w:rPr>
      </w:pPr>
      <w:r>
        <w:rPr>
          <w:rFonts w:ascii="Times New Roman" w:hAnsi="Times New Roman"/>
          <w:b/>
          <w:i/>
          <w:noProof/>
          <w:sz w:val="24"/>
        </w:rPr>
        <w:t>3.2 Izvajanje postopka v zvezi z makroekonom</w:t>
      </w:r>
      <w:r>
        <w:rPr>
          <w:rFonts w:ascii="Times New Roman" w:hAnsi="Times New Roman"/>
          <w:b/>
          <w:i/>
          <w:noProof/>
          <w:sz w:val="24"/>
        </w:rPr>
        <w:t>skimi neravnotežji</w:t>
      </w:r>
    </w:p>
    <w:p w:rsidR="0059194F" w:rsidRDefault="00F458DE">
      <w:pPr>
        <w:spacing w:before="120" w:after="240"/>
        <w:ind w:left="10" w:right="-1" w:hanging="10"/>
        <w:rPr>
          <w:rFonts w:ascii="Times New Roman" w:eastAsia="Calibri" w:hAnsi="Times New Roman" w:cs="Times New Roman"/>
          <w:noProof/>
          <w:color w:val="000000"/>
          <w:sz w:val="24"/>
          <w:szCs w:val="24"/>
        </w:rPr>
      </w:pPr>
      <w:r>
        <w:rPr>
          <w:rFonts w:ascii="Times New Roman" w:hAnsi="Times New Roman"/>
          <w:b/>
          <w:noProof/>
          <w:color w:val="000000"/>
          <w:sz w:val="24"/>
        </w:rPr>
        <w:t xml:space="preserve">Neravnotežja ali čezmerna neravnotežja so bila ugotovljena v vseh državah članicah, analiziranih v poglobljenih pregledih, vendar se je resnost neravnotežij v nekaterih primerih zmanjšala. </w:t>
      </w:r>
      <w:r>
        <w:rPr>
          <w:rFonts w:ascii="Times New Roman" w:hAnsi="Times New Roman"/>
          <w:noProof/>
          <w:color w:val="000000"/>
          <w:sz w:val="24"/>
        </w:rPr>
        <w:t xml:space="preserve">Pri poglobljenih pregledih za leto 2019 je bilo </w:t>
      </w:r>
      <w:r>
        <w:rPr>
          <w:rFonts w:ascii="Times New Roman" w:hAnsi="Times New Roman"/>
          <w:noProof/>
          <w:color w:val="000000"/>
          <w:sz w:val="24"/>
        </w:rPr>
        <w:t>ugotovljeno, da v desetih državah članicah obstajajo neravnotežja, v treh pa čezmerna neravnotežja. Ena država je dosegla jasen napredek, saj je bila v okviru postopka v zvezi z makroekonomskimi neravnotežji uvrščena v kategorijo držav, ki se soočajo z ner</w:t>
      </w:r>
      <w:r>
        <w:rPr>
          <w:rFonts w:ascii="Times New Roman" w:hAnsi="Times New Roman"/>
          <w:noProof/>
          <w:color w:val="000000"/>
          <w:sz w:val="24"/>
        </w:rPr>
        <w:t>avnotežji, medtem ko je bila leto prej v kategoriji držav, ki se soočajo s čezmernimi neravnotežji. V drugih primerih se ekonomska neravnotežja še vedno popravljajo, vendar ne dovolj, da bi bil upravičen izstop iz postopka v zvezi z makroekonomskimi neravn</w:t>
      </w:r>
      <w:r>
        <w:rPr>
          <w:rFonts w:ascii="Times New Roman" w:hAnsi="Times New Roman"/>
          <w:noProof/>
          <w:color w:val="000000"/>
          <w:sz w:val="24"/>
        </w:rPr>
        <w:t xml:space="preserve">otežji. V Dodatku 3 so povzete ugotovitve iz poglobljenih pregledov po državah članicah.  </w:t>
      </w:r>
    </w:p>
    <w:p w:rsidR="0059194F" w:rsidRDefault="00F458DE">
      <w:pPr>
        <w:tabs>
          <w:tab w:val="left" w:pos="567"/>
        </w:tabs>
        <w:spacing w:before="120" w:after="240"/>
        <w:ind w:left="20" w:right="-1" w:hanging="10"/>
        <w:rPr>
          <w:rFonts w:ascii="Times New Roman" w:eastAsia="Times New Roman" w:hAnsi="Times New Roman" w:cs="Times New Roman"/>
          <w:noProof/>
          <w:color w:val="000000"/>
          <w:sz w:val="24"/>
          <w:szCs w:val="24"/>
        </w:rPr>
      </w:pPr>
      <w:r>
        <w:rPr>
          <w:rFonts w:ascii="Times New Roman" w:hAnsi="Times New Roman"/>
          <w:b/>
          <w:noProof/>
          <w:color w:val="000000"/>
          <w:sz w:val="24"/>
        </w:rPr>
        <w:t xml:space="preserve">Za Grčijo, ki je bila po izstopu iz programa za makroekonomsko prilagoditev vključena v evropski semester, je bilo ugotovljeno, da se sooča s </w:t>
      </w:r>
      <w:r>
        <w:rPr>
          <w:rFonts w:ascii="Times New Roman" w:hAnsi="Times New Roman"/>
          <w:b/>
          <w:i/>
          <w:noProof/>
          <w:color w:val="000000"/>
          <w:sz w:val="24"/>
        </w:rPr>
        <w:t>čezmernimi neravnotežji</w:t>
      </w:r>
      <w:r>
        <w:rPr>
          <w:rFonts w:ascii="Times New Roman" w:hAnsi="Times New Roman"/>
          <w:b/>
          <w:noProof/>
          <w:color w:val="000000"/>
          <w:sz w:val="24"/>
        </w:rPr>
        <w:t xml:space="preserve">. </w:t>
      </w:r>
      <w:r>
        <w:rPr>
          <w:rFonts w:ascii="Times New Roman" w:hAnsi="Times New Roman"/>
          <w:noProof/>
          <w:color w:val="000000"/>
          <w:sz w:val="24"/>
        </w:rPr>
        <w:t>Grčija se še vedno sooča z velikimi izzivi, povezanimi z visokim javnim dolgom, negativnim neto stanjem mednarodnih naložb, visokim deležem nedonosnih posojil, še vedno visoko stopnjo brezposelnosti in nizkim potencialom rasti. Globoke institucionalne in</w:t>
      </w:r>
      <w:r>
        <w:rPr>
          <w:rFonts w:ascii="Times New Roman" w:hAnsi="Times New Roman"/>
          <w:noProof/>
          <w:color w:val="000000"/>
          <w:sz w:val="24"/>
        </w:rPr>
        <w:t xml:space="preserve"> strukturne reforme, uvedene v zadnjih letih za posodobitev gospodarstva in države, so začele prinašati rezultate, kar se kaže v uspešnem zaključku programa evropskega mehanizma za stabilnost, oživitvi rasti in zmanjšanju brezposelnosti. Te reforme zahteva</w:t>
      </w:r>
      <w:r>
        <w:rPr>
          <w:rFonts w:ascii="Times New Roman" w:hAnsi="Times New Roman"/>
          <w:noProof/>
          <w:color w:val="000000"/>
          <w:sz w:val="24"/>
        </w:rPr>
        <w:t>jo vztrajno izvajanje, da bodo dosegle polni učinek. Za Grčijo se od izstopa iz programa izvaja okrepljeni nadzor, ki je podlaga za oceno izvajanja zavez, ki jih je država predložila, da bi zagotovila kontinuiteto in dokončanje reform, sprejetih na podlagi</w:t>
      </w:r>
      <w:r>
        <w:rPr>
          <w:rFonts w:ascii="Times New Roman" w:hAnsi="Times New Roman"/>
          <w:noProof/>
          <w:color w:val="000000"/>
          <w:sz w:val="24"/>
        </w:rPr>
        <w:t xml:space="preserve"> programa za makroekonomsko prilagoditev v okviru evropskega mehanizma za stabilnost. </w:t>
      </w:r>
    </w:p>
    <w:p w:rsidR="0059194F" w:rsidRDefault="00F458DE">
      <w:pPr>
        <w:spacing w:before="120" w:after="240"/>
        <w:ind w:left="20" w:right="-1"/>
        <w:rPr>
          <w:rFonts w:ascii="Times New Roman" w:eastAsia="Times New Roman" w:hAnsi="Times New Roman" w:cs="Times New Roman"/>
          <w:noProof/>
          <w:color w:val="000000"/>
          <w:sz w:val="24"/>
          <w:szCs w:val="24"/>
        </w:rPr>
      </w:pPr>
      <w:r>
        <w:rPr>
          <w:rFonts w:ascii="Times New Roman" w:hAnsi="Times New Roman"/>
          <w:b/>
          <w:noProof/>
          <w:color w:val="000000"/>
          <w:sz w:val="24"/>
        </w:rPr>
        <w:t xml:space="preserve">Za Romunijo, za katero je bilo leta 2018 ugotovljeno, da nima neravnotežij, je bilo ugotovljeno, da se sooča z </w:t>
      </w:r>
      <w:r>
        <w:rPr>
          <w:rFonts w:ascii="Times New Roman" w:hAnsi="Times New Roman"/>
          <w:b/>
          <w:i/>
          <w:noProof/>
          <w:color w:val="000000"/>
          <w:sz w:val="24"/>
        </w:rPr>
        <w:t>neravnotežji</w:t>
      </w:r>
      <w:r>
        <w:rPr>
          <w:rFonts w:ascii="Times New Roman" w:hAnsi="Times New Roman"/>
          <w:b/>
          <w:noProof/>
          <w:color w:val="000000"/>
          <w:sz w:val="24"/>
        </w:rPr>
        <w:t xml:space="preserve">. </w:t>
      </w:r>
      <w:r>
        <w:rPr>
          <w:rFonts w:ascii="Times New Roman" w:hAnsi="Times New Roman"/>
          <w:noProof/>
          <w:color w:val="000000"/>
          <w:sz w:val="24"/>
        </w:rPr>
        <w:t>Tveganja, ki so povezana z izgubami konkuren</w:t>
      </w:r>
      <w:r>
        <w:rPr>
          <w:rFonts w:ascii="Times New Roman" w:hAnsi="Times New Roman"/>
          <w:noProof/>
          <w:color w:val="000000"/>
          <w:sz w:val="24"/>
        </w:rPr>
        <w:t>čnosti in naraščajočim primanjkljajem na tekočem računu ter so izpostavljena v poročilu o mehanizmu opozarjanja, so bila potrjena v poglobljenem pregledu. Poleg tega se zdi, da nedavne zakonodajne pobude povzročajo tveganja za finančni sektor. To se dogaja</w:t>
      </w:r>
      <w:r>
        <w:rPr>
          <w:rFonts w:ascii="Times New Roman" w:hAnsi="Times New Roman"/>
          <w:noProof/>
          <w:color w:val="000000"/>
          <w:sz w:val="24"/>
        </w:rPr>
        <w:t xml:space="preserve"> v razmerah slabega izvajanja reform, nepredvidljivega okolja za oblikovanje politik in ekspanzivne fiskalne politike. Če ti vzorci ne bodo obravnavani, bodo vplivali na obete glede javnega in tujega dolga ter ogrozili naložbe in možnosti za rast.</w:t>
      </w:r>
    </w:p>
    <w:p w:rsidR="0059194F" w:rsidRDefault="00F458DE">
      <w:pPr>
        <w:spacing w:before="120" w:after="240"/>
        <w:ind w:left="30" w:right="-1" w:hanging="10"/>
        <w:rPr>
          <w:rFonts w:ascii="Times New Roman" w:eastAsia="Times New Roman" w:hAnsi="Times New Roman" w:cs="Times New Roman"/>
          <w:noProof/>
          <w:color w:val="000000"/>
          <w:sz w:val="24"/>
          <w:szCs w:val="24"/>
        </w:rPr>
      </w:pPr>
      <w:r>
        <w:rPr>
          <w:rFonts w:ascii="Times New Roman" w:hAnsi="Times New Roman"/>
          <w:b/>
          <w:noProof/>
          <w:color w:val="000000"/>
          <w:sz w:val="24"/>
        </w:rPr>
        <w:t xml:space="preserve">Za Hrvaško, ki je imela leta 2018 čezmerna neravnotežja, je bilo ugotovljeno, da se sooča z </w:t>
      </w:r>
      <w:r>
        <w:rPr>
          <w:rFonts w:ascii="Times New Roman" w:hAnsi="Times New Roman"/>
          <w:b/>
          <w:i/>
          <w:noProof/>
          <w:color w:val="000000"/>
          <w:sz w:val="24"/>
        </w:rPr>
        <w:t>neravnotežji</w:t>
      </w:r>
      <w:r>
        <w:rPr>
          <w:rFonts w:ascii="Times New Roman" w:hAnsi="Times New Roman"/>
          <w:b/>
          <w:noProof/>
          <w:color w:val="000000"/>
          <w:sz w:val="24"/>
        </w:rPr>
        <w:t>.</w:t>
      </w:r>
      <w:r>
        <w:rPr>
          <w:rFonts w:ascii="Times New Roman" w:hAnsi="Times New Roman"/>
          <w:noProof/>
          <w:color w:val="000000"/>
          <w:sz w:val="24"/>
        </w:rPr>
        <w:t xml:space="preserve"> Gospodarski razvoj je prispeval k postopnemu odpravljanju obstoječih neravnotežij, zlasti tistih, ki so povezana z visokimi ravnmi javnega, zasebnega </w:t>
      </w:r>
      <w:r>
        <w:rPr>
          <w:rFonts w:ascii="Times New Roman" w:hAnsi="Times New Roman"/>
          <w:noProof/>
          <w:color w:val="000000"/>
          <w:sz w:val="24"/>
        </w:rPr>
        <w:t xml:space="preserve">in zunanjega dolga, ter na ta način privedel do zmanjšanja tveganj. Ukrepi in zaveze politike v podporo trajnostnemu odpravljanju neravnotežij so se pred kratkim pospešili, pri čemer bo ključno njihovo popolno, hitro in učinkovito izvajanje. </w:t>
      </w:r>
    </w:p>
    <w:p w:rsidR="0059194F" w:rsidRDefault="00F458DE">
      <w:pPr>
        <w:spacing w:before="120" w:after="240"/>
        <w:ind w:left="40" w:right="-1" w:hanging="1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V drugih </w:t>
      </w:r>
      <w:r>
        <w:rPr>
          <w:rFonts w:ascii="Times New Roman" w:hAnsi="Times New Roman"/>
          <w:b/>
          <w:noProof/>
          <w:color w:val="000000"/>
          <w:sz w:val="24"/>
        </w:rPr>
        <w:t>državah je bil gospodarski razvoj na splošno ugoden za odpravo neravnotežij, vendar ostajajo izzivi glede gospodarskih in političnih obetov:</w:t>
      </w:r>
    </w:p>
    <w:p w:rsidR="0059194F" w:rsidRDefault="00F458DE">
      <w:pPr>
        <w:numPr>
          <w:ilvl w:val="0"/>
          <w:numId w:val="4"/>
        </w:numPr>
        <w:spacing w:before="120" w:after="240" w:line="242" w:lineRule="auto"/>
        <w:ind w:left="709" w:right="-1" w:hanging="425"/>
        <w:rPr>
          <w:rFonts w:ascii="Times New Roman" w:eastAsia="Calibri" w:hAnsi="Times New Roman" w:cs="Times New Roman"/>
          <w:noProof/>
          <w:sz w:val="24"/>
          <w:szCs w:val="24"/>
        </w:rPr>
      </w:pPr>
      <w:r>
        <w:rPr>
          <w:rFonts w:ascii="Times New Roman" w:hAnsi="Times New Roman"/>
          <w:noProof/>
          <w:sz w:val="24"/>
        </w:rPr>
        <w:t>Za Bolgarijo, Francijo, Nemčijo, Irsko, Nizozemsko, Portugalsko, Španijo in Švedsko je bilo tako kot leta 2018 ugot</w:t>
      </w:r>
      <w:r>
        <w:rPr>
          <w:rFonts w:ascii="Times New Roman" w:hAnsi="Times New Roman"/>
          <w:noProof/>
          <w:sz w:val="24"/>
        </w:rPr>
        <w:t xml:space="preserve">ovljeno, da se soočajo z </w:t>
      </w:r>
      <w:r>
        <w:rPr>
          <w:rFonts w:ascii="Times New Roman" w:hAnsi="Times New Roman"/>
          <w:b/>
          <w:i/>
          <w:noProof/>
          <w:sz w:val="24"/>
        </w:rPr>
        <w:t>neravnotežji</w:t>
      </w:r>
      <w:r>
        <w:rPr>
          <w:rFonts w:ascii="Times New Roman" w:hAnsi="Times New Roman"/>
          <w:noProof/>
          <w:sz w:val="24"/>
        </w:rPr>
        <w:t xml:space="preserve">. </w:t>
      </w:r>
      <w:r>
        <w:rPr>
          <w:rFonts w:ascii="Times New Roman" w:hAnsi="Times New Roman"/>
          <w:b/>
          <w:noProof/>
          <w:sz w:val="24"/>
        </w:rPr>
        <w:t>Bolgarija</w:t>
      </w:r>
      <w:r>
        <w:rPr>
          <w:rFonts w:ascii="Times New Roman" w:hAnsi="Times New Roman"/>
          <w:noProof/>
          <w:sz w:val="24"/>
        </w:rPr>
        <w:t xml:space="preserve"> je sprejela nadaljnje ukrepe za zagotovitev stabilnosti bančnega sektorja, vendar je treba nekatere ukrepe še dokončati ali izvesti. </w:t>
      </w:r>
      <w:r>
        <w:rPr>
          <w:rFonts w:ascii="Times New Roman" w:hAnsi="Times New Roman"/>
          <w:b/>
          <w:noProof/>
          <w:sz w:val="24"/>
        </w:rPr>
        <w:t>Francija</w:t>
      </w:r>
      <w:r>
        <w:rPr>
          <w:rFonts w:ascii="Times New Roman" w:hAnsi="Times New Roman"/>
          <w:noProof/>
          <w:sz w:val="24"/>
        </w:rPr>
        <w:t xml:space="preserve"> je okrepila reformne zaveze, vendar je odprava neravnotežij, pove</w:t>
      </w:r>
      <w:r>
        <w:rPr>
          <w:rFonts w:ascii="Times New Roman" w:hAnsi="Times New Roman"/>
          <w:noProof/>
          <w:sz w:val="24"/>
        </w:rPr>
        <w:t xml:space="preserve">zanih z visokim javnim dolgom in šibko konkurenčnostjo, močno odvisna od napredka politike. Na </w:t>
      </w:r>
      <w:r>
        <w:rPr>
          <w:rFonts w:ascii="Times New Roman" w:hAnsi="Times New Roman"/>
          <w:b/>
          <w:noProof/>
          <w:sz w:val="24"/>
        </w:rPr>
        <w:t>Nizozemskem</w:t>
      </w:r>
      <w:r>
        <w:rPr>
          <w:rFonts w:ascii="Times New Roman" w:hAnsi="Times New Roman"/>
          <w:noProof/>
          <w:sz w:val="24"/>
        </w:rPr>
        <w:t xml:space="preserve"> so bila prizadevanja politike okrepljena, vendar še vedno ostajajo neravnotežja, povezana z visokim zasebnim dolgom in velikim presežkom na tekočem r</w:t>
      </w:r>
      <w:r>
        <w:rPr>
          <w:rFonts w:ascii="Times New Roman" w:hAnsi="Times New Roman"/>
          <w:noProof/>
          <w:sz w:val="24"/>
        </w:rPr>
        <w:t xml:space="preserve">ačunu. V </w:t>
      </w:r>
      <w:r>
        <w:rPr>
          <w:rFonts w:ascii="Times New Roman" w:hAnsi="Times New Roman"/>
          <w:b/>
          <w:noProof/>
          <w:sz w:val="24"/>
        </w:rPr>
        <w:t>Nemčiji</w:t>
      </w:r>
      <w:r>
        <w:rPr>
          <w:rFonts w:ascii="Times New Roman" w:hAnsi="Times New Roman"/>
          <w:noProof/>
          <w:sz w:val="24"/>
        </w:rPr>
        <w:t xml:space="preserve"> je presežek na tekočem računu še vedno visok in se le počasi zmanjšuje, vendar so potrebna dodatna prizadevanja za odpravo naložbenih vrzeli, zlasti v zvezi z javnimi naložbami v infrastrukturo in izobraževanje. Na </w:t>
      </w:r>
      <w:r>
        <w:rPr>
          <w:rFonts w:ascii="Times New Roman" w:hAnsi="Times New Roman"/>
          <w:b/>
          <w:noProof/>
          <w:sz w:val="24"/>
        </w:rPr>
        <w:t>Irskem</w:t>
      </w:r>
      <w:r>
        <w:rPr>
          <w:rFonts w:ascii="Times New Roman" w:hAnsi="Times New Roman"/>
          <w:noProof/>
          <w:sz w:val="24"/>
        </w:rPr>
        <w:t xml:space="preserve"> sta močna rast in</w:t>
      </w:r>
      <w:r>
        <w:rPr>
          <w:rFonts w:ascii="Times New Roman" w:hAnsi="Times New Roman"/>
          <w:noProof/>
          <w:sz w:val="24"/>
        </w:rPr>
        <w:t xml:space="preserve"> napredek politike še naprej podpirala zmanjševanje neravnotežij na strani stanj, vendar so v razmerah povečanega tveganja v mednarodnem okolju še vedno prisotne slabosti. Preostala neravnotežja, povezana z notranjim in zunanjim dolgom, se zmanjšujejo na </w:t>
      </w:r>
      <w:r>
        <w:rPr>
          <w:rFonts w:ascii="Times New Roman" w:hAnsi="Times New Roman"/>
          <w:b/>
          <w:noProof/>
          <w:sz w:val="24"/>
        </w:rPr>
        <w:t>P</w:t>
      </w:r>
      <w:r>
        <w:rPr>
          <w:rFonts w:ascii="Times New Roman" w:hAnsi="Times New Roman"/>
          <w:b/>
          <w:noProof/>
          <w:sz w:val="24"/>
        </w:rPr>
        <w:t>ortugalskem</w:t>
      </w:r>
      <w:r>
        <w:rPr>
          <w:rFonts w:ascii="Times New Roman" w:hAnsi="Times New Roman"/>
          <w:noProof/>
          <w:sz w:val="24"/>
        </w:rPr>
        <w:t xml:space="preserve"> in v </w:t>
      </w:r>
      <w:r>
        <w:rPr>
          <w:rFonts w:ascii="Times New Roman" w:hAnsi="Times New Roman"/>
          <w:b/>
          <w:noProof/>
          <w:sz w:val="24"/>
        </w:rPr>
        <w:t>Španiji</w:t>
      </w:r>
      <w:r>
        <w:rPr>
          <w:rFonts w:ascii="Times New Roman" w:hAnsi="Times New Roman"/>
          <w:noProof/>
          <w:sz w:val="24"/>
        </w:rPr>
        <w:t xml:space="preserve">, k čemur so pripomogli izboljšani gospodarski pogoji, čeprav so vrzeli v politikah in prilagajanju še vedno prisotne. Na </w:t>
      </w:r>
      <w:r>
        <w:rPr>
          <w:rFonts w:ascii="Times New Roman" w:hAnsi="Times New Roman"/>
          <w:b/>
          <w:noProof/>
          <w:sz w:val="24"/>
        </w:rPr>
        <w:t xml:space="preserve">Švedskem </w:t>
      </w:r>
      <w:r>
        <w:rPr>
          <w:rFonts w:ascii="Times New Roman" w:hAnsi="Times New Roman"/>
          <w:noProof/>
          <w:sz w:val="24"/>
        </w:rPr>
        <w:t>so neravnotežja še vedno prisotna kljub nedavni prilagoditvi cen stanovanj in stanovanjskih politik.</w:t>
      </w:r>
    </w:p>
    <w:p w:rsidR="0059194F" w:rsidRDefault="00F458DE">
      <w:pPr>
        <w:numPr>
          <w:ilvl w:val="0"/>
          <w:numId w:val="4"/>
        </w:numPr>
        <w:spacing w:before="120" w:after="240" w:line="242" w:lineRule="auto"/>
        <w:ind w:left="709" w:right="-1" w:hanging="425"/>
        <w:rPr>
          <w:rFonts w:ascii="Times New Roman" w:eastAsia="Calibri" w:hAnsi="Times New Roman" w:cs="Times New Roman"/>
          <w:noProof/>
          <w:sz w:val="24"/>
          <w:szCs w:val="24"/>
        </w:rPr>
      </w:pPr>
      <w:r>
        <w:rPr>
          <w:rFonts w:ascii="Times New Roman" w:hAnsi="Times New Roman"/>
          <w:noProof/>
          <w:sz w:val="24"/>
        </w:rPr>
        <w:t xml:space="preserve">Za Ciper in Italijo je bilo tako kot leta 2018 ugotovljeno, da se soočata s </w:t>
      </w:r>
      <w:r>
        <w:rPr>
          <w:rFonts w:ascii="Times New Roman" w:hAnsi="Times New Roman"/>
          <w:b/>
          <w:i/>
          <w:noProof/>
          <w:sz w:val="24"/>
        </w:rPr>
        <w:t>čezmernimi neravnotežji</w:t>
      </w:r>
      <w:r>
        <w:rPr>
          <w:rFonts w:ascii="Times New Roman" w:hAnsi="Times New Roman"/>
          <w:noProof/>
          <w:sz w:val="24"/>
        </w:rPr>
        <w:t xml:space="preserve">. Na </w:t>
      </w:r>
      <w:r>
        <w:rPr>
          <w:rFonts w:ascii="Times New Roman" w:hAnsi="Times New Roman"/>
          <w:b/>
          <w:noProof/>
          <w:sz w:val="24"/>
        </w:rPr>
        <w:t>Cipru</w:t>
      </w:r>
      <w:r>
        <w:rPr>
          <w:rFonts w:ascii="Times New Roman" w:hAnsi="Times New Roman"/>
          <w:noProof/>
          <w:sz w:val="24"/>
        </w:rPr>
        <w:t xml:space="preserve"> so kljub izboljšanim gospodarskim razmeram in nedavnemu povečanju prizadevanj politike še vedno prisotne velike slabosti, povezane z upadajočo, ve</w:t>
      </w:r>
      <w:r>
        <w:rPr>
          <w:rFonts w:ascii="Times New Roman" w:hAnsi="Times New Roman"/>
          <w:noProof/>
          <w:sz w:val="24"/>
        </w:rPr>
        <w:t xml:space="preserve">ndar še vedno visoko stopnjo nedonosnih posojil ter zunanjim, zasebnim in javnim dolgom. V </w:t>
      </w:r>
      <w:r>
        <w:rPr>
          <w:rFonts w:ascii="Times New Roman" w:hAnsi="Times New Roman"/>
          <w:b/>
          <w:noProof/>
          <w:sz w:val="24"/>
        </w:rPr>
        <w:t>Italiji</w:t>
      </w:r>
      <w:r>
        <w:rPr>
          <w:rFonts w:ascii="Times New Roman" w:hAnsi="Times New Roman"/>
          <w:noProof/>
          <w:sz w:val="24"/>
        </w:rPr>
        <w:t xml:space="preserve"> je napredek na nekaterih področjih politike v preteklih letih zasenčilo poslabšanje obetov, ki v veliki meri izhaja iz načrtovanega poslabšanja proračuna in </w:t>
      </w:r>
      <w:r>
        <w:rPr>
          <w:rFonts w:ascii="Times New Roman" w:hAnsi="Times New Roman"/>
          <w:noProof/>
          <w:sz w:val="24"/>
        </w:rPr>
        <w:t>na splošno zastalega programa reform. Nedavni ukrepi politike zavirajo elemente predhodnih reform in bodo negativno vplivali na vzdržnost javnih financ, produktivnost in potencialno rast BDP. Negotovost, povezana z naravnanostjo vlade, je leta 2018 prispev</w:t>
      </w:r>
      <w:r>
        <w:rPr>
          <w:rFonts w:ascii="Times New Roman" w:hAnsi="Times New Roman"/>
          <w:noProof/>
          <w:sz w:val="24"/>
        </w:rPr>
        <w:t>ala k povečanim tržnim pritiskom in večjim donosom pri državnem dolgu. Povečanje ali zmanjšanje makroekonomskih neravnotežij bo močno odvisno od politik za izboljšanje kakovosti italijanskih javnih financ, povečanje učinkovitosti njene javne uprave in prav</w:t>
      </w:r>
      <w:r>
        <w:rPr>
          <w:rFonts w:ascii="Times New Roman" w:hAnsi="Times New Roman"/>
          <w:noProof/>
          <w:sz w:val="24"/>
        </w:rPr>
        <w:t>osodnega sistema, izboljšanje njenega poslovnega okolja ter krepitev njenega trga dela in finančnega sistema. Komisija bo zato v okviru prihodnjega pomladanskega svežnja evropskega semestra pozorno spremljala razvoj dogodkov v Italiji ter ocenila ukrepe po</w:t>
      </w:r>
      <w:r>
        <w:rPr>
          <w:rFonts w:ascii="Times New Roman" w:hAnsi="Times New Roman"/>
          <w:noProof/>
          <w:sz w:val="24"/>
        </w:rPr>
        <w:t>litike in zaveze za odpravo neravnotežij, zlasti raven ambicioznosti nacionalnega programa reform.</w:t>
      </w:r>
    </w:p>
    <w:p w:rsidR="0059194F" w:rsidRDefault="00F458DE">
      <w:pPr>
        <w:spacing w:before="120" w:after="240"/>
        <w:ind w:left="152" w:right="-1" w:hanging="10"/>
        <w:rPr>
          <w:rFonts w:ascii="Times New Roman" w:eastAsia="Times New Roman" w:hAnsi="Times New Roman" w:cs="Times New Roman"/>
          <w:noProof/>
          <w:color w:val="000000"/>
          <w:sz w:val="24"/>
          <w:szCs w:val="24"/>
        </w:rPr>
      </w:pPr>
      <w:r>
        <w:rPr>
          <w:rFonts w:ascii="Times New Roman" w:hAnsi="Times New Roman"/>
          <w:b/>
          <w:noProof/>
          <w:color w:val="000000"/>
          <w:sz w:val="24"/>
        </w:rPr>
        <w:t>Komisija bo v okviru posebnega spremljanja še naprej pregledovala razvoj dogodkov in ukrepe politik, ki so jih sprejele države članice z neravnotežji ali čez</w:t>
      </w:r>
      <w:r>
        <w:rPr>
          <w:rFonts w:ascii="Times New Roman" w:hAnsi="Times New Roman"/>
          <w:b/>
          <w:noProof/>
          <w:color w:val="000000"/>
          <w:sz w:val="24"/>
        </w:rPr>
        <w:t>mernimi neravnotežji.</w:t>
      </w:r>
      <w:r>
        <w:rPr>
          <w:rFonts w:ascii="Times New Roman" w:hAnsi="Times New Roman"/>
          <w:noProof/>
          <w:color w:val="000000"/>
          <w:sz w:val="24"/>
        </w:rPr>
        <w:t xml:space="preserve"> Svet sodeluje pri teh pregledih in je podprl ugotovitve iz poročil o posebnem spremljanju</w:t>
      </w:r>
      <w:r>
        <w:rPr>
          <w:rFonts w:ascii="Times New Roman" w:hAnsi="Times New Roman"/>
          <w:noProof/>
          <w:color w:val="000000"/>
          <w:sz w:val="24"/>
          <w:vertAlign w:val="superscript"/>
        </w:rPr>
        <w:footnoteReference w:id="6"/>
      </w:r>
      <w:r>
        <w:rPr>
          <w:rFonts w:ascii="Times New Roman" w:hAnsi="Times New Roman"/>
          <w:noProof/>
          <w:color w:val="000000"/>
          <w:sz w:val="24"/>
        </w:rPr>
        <w:t xml:space="preserve">. </w:t>
      </w:r>
    </w:p>
    <w:p w:rsidR="0059194F" w:rsidRDefault="0059194F">
      <w:pPr>
        <w:spacing w:before="120" w:after="240"/>
        <w:ind w:left="567" w:right="-1" w:hanging="10"/>
        <w:rPr>
          <w:rFonts w:ascii="Times New Roman" w:eastAsia="Times New Roman" w:hAnsi="Times New Roman" w:cs="Times New Roman"/>
          <w:noProof/>
          <w:color w:val="000000"/>
          <w:sz w:val="24"/>
          <w:szCs w:val="24"/>
        </w:rPr>
      </w:pPr>
    </w:p>
    <w:p w:rsidR="0059194F" w:rsidRDefault="00F458DE">
      <w:pPr>
        <w:ind w:left="284" w:right="-1"/>
        <w:jc w:val="left"/>
        <w:rPr>
          <w:rFonts w:ascii="Times New Roman" w:eastAsia="Times New Roman" w:hAnsi="Times New Roman" w:cs="Times New Roman"/>
          <w:i/>
          <w:noProof/>
          <w:color w:val="000000"/>
          <w:sz w:val="24"/>
          <w:szCs w:val="24"/>
        </w:rPr>
      </w:pPr>
      <w:r>
        <w:rPr>
          <w:rFonts w:ascii="Times New Roman" w:hAnsi="Times New Roman"/>
          <w:i/>
          <w:noProof/>
          <w:color w:val="000000"/>
          <w:sz w:val="24"/>
        </w:rPr>
        <w:t>Preglednica 1: Rezultati poglobljenih pregledov iz leta 2019 in razmere leta 2018</w:t>
      </w:r>
    </w:p>
    <w:tbl>
      <w:tblPr>
        <w:tblStyle w:val="TableGrid"/>
        <w:tblW w:w="9446" w:type="dxa"/>
        <w:jc w:val="center"/>
        <w:tblInd w:w="0" w:type="dxa"/>
        <w:tblCellMar>
          <w:right w:w="115" w:type="dxa"/>
        </w:tblCellMar>
        <w:tblLook w:val="04A0" w:firstRow="1" w:lastRow="0" w:firstColumn="1" w:lastColumn="0" w:noHBand="0" w:noVBand="1"/>
      </w:tblPr>
      <w:tblGrid>
        <w:gridCol w:w="2159"/>
        <w:gridCol w:w="3575"/>
        <w:gridCol w:w="3736"/>
      </w:tblGrid>
      <w:tr w:rsidR="0059194F">
        <w:trPr>
          <w:trHeight w:val="494"/>
          <w:jc w:val="center"/>
        </w:trPr>
        <w:tc>
          <w:tcPr>
            <w:tcW w:w="2151" w:type="dxa"/>
            <w:tcBorders>
              <w:top w:val="single" w:sz="4" w:space="0" w:color="000000"/>
              <w:left w:val="nil"/>
              <w:bottom w:val="single" w:sz="4" w:space="0" w:color="000000"/>
              <w:right w:val="nil"/>
            </w:tcBorders>
            <w:vAlign w:val="center"/>
          </w:tcPr>
          <w:p w:rsidR="0059194F" w:rsidRDefault="0059194F">
            <w:pPr>
              <w:ind w:left="122" w:right="-1"/>
              <w:jc w:val="center"/>
              <w:rPr>
                <w:rFonts w:ascii="Times New Roman" w:hAnsi="Times New Roman" w:cs="Times New Roman"/>
                <w:noProof/>
                <w:color w:val="000000"/>
                <w:sz w:val="20"/>
                <w:szCs w:val="20"/>
              </w:rPr>
            </w:pPr>
          </w:p>
        </w:tc>
        <w:tc>
          <w:tcPr>
            <w:tcW w:w="3567" w:type="dxa"/>
            <w:tcBorders>
              <w:top w:val="single" w:sz="4" w:space="0" w:color="000000"/>
              <w:left w:val="nil"/>
              <w:bottom w:val="single" w:sz="4" w:space="0" w:color="000000"/>
              <w:right w:val="nil"/>
            </w:tcBorders>
            <w:vAlign w:val="center"/>
          </w:tcPr>
          <w:p w:rsidR="0059194F" w:rsidRDefault="00F458DE">
            <w:pPr>
              <w:ind w:left="-5" w:right="-1" w:firstLine="5"/>
              <w:jc w:val="center"/>
              <w:rPr>
                <w:rFonts w:ascii="Times New Roman" w:hAnsi="Times New Roman" w:cs="Times New Roman"/>
                <w:noProof/>
                <w:color w:val="000000"/>
                <w:sz w:val="20"/>
                <w:szCs w:val="20"/>
              </w:rPr>
            </w:pPr>
            <w:r>
              <w:rPr>
                <w:rFonts w:ascii="Times New Roman" w:hAnsi="Times New Roman"/>
                <w:noProof/>
                <w:color w:val="000000"/>
                <w:sz w:val="20"/>
              </w:rPr>
              <w:t>Razmere leta 2018</w:t>
            </w:r>
          </w:p>
        </w:tc>
        <w:tc>
          <w:tcPr>
            <w:tcW w:w="3728" w:type="dxa"/>
            <w:tcBorders>
              <w:top w:val="single" w:sz="4" w:space="0" w:color="000000"/>
              <w:left w:val="nil"/>
              <w:bottom w:val="single" w:sz="4" w:space="0" w:color="000000"/>
              <w:right w:val="nil"/>
            </w:tcBorders>
            <w:vAlign w:val="center"/>
          </w:tcPr>
          <w:p w:rsidR="0059194F" w:rsidRDefault="00F458DE">
            <w:pPr>
              <w:ind w:right="-1"/>
              <w:jc w:val="center"/>
              <w:rPr>
                <w:rFonts w:ascii="Times New Roman" w:hAnsi="Times New Roman" w:cs="Times New Roman"/>
                <w:noProof/>
                <w:color w:val="000000"/>
                <w:sz w:val="20"/>
                <w:szCs w:val="20"/>
              </w:rPr>
            </w:pPr>
            <w:r>
              <w:rPr>
                <w:rFonts w:ascii="Times New Roman" w:hAnsi="Times New Roman"/>
                <w:noProof/>
                <w:color w:val="000000"/>
                <w:sz w:val="20"/>
              </w:rPr>
              <w:t xml:space="preserve">Rezultati poglobljenih pregledov iz </w:t>
            </w:r>
            <w:r>
              <w:rPr>
                <w:rFonts w:ascii="Times New Roman" w:hAnsi="Times New Roman"/>
                <w:noProof/>
                <w:color w:val="000000"/>
                <w:sz w:val="20"/>
              </w:rPr>
              <w:t>leta 2019</w:t>
            </w:r>
          </w:p>
        </w:tc>
      </w:tr>
      <w:tr w:rsidR="0059194F">
        <w:trPr>
          <w:trHeight w:val="484"/>
          <w:jc w:val="center"/>
        </w:trPr>
        <w:tc>
          <w:tcPr>
            <w:tcW w:w="2151" w:type="dxa"/>
            <w:tcBorders>
              <w:top w:val="nil"/>
              <w:left w:val="nil"/>
              <w:bottom w:val="nil"/>
              <w:right w:val="nil"/>
            </w:tcBorders>
            <w:vAlign w:val="center"/>
          </w:tcPr>
          <w:p w:rsidR="0059194F" w:rsidRDefault="00F458DE">
            <w:pPr>
              <w:ind w:left="122" w:right="-1"/>
              <w:rPr>
                <w:rFonts w:ascii="Times New Roman" w:hAnsi="Times New Roman" w:cs="Times New Roman"/>
                <w:noProof/>
                <w:color w:val="000000"/>
                <w:sz w:val="20"/>
                <w:szCs w:val="20"/>
              </w:rPr>
            </w:pPr>
            <w:r>
              <w:rPr>
                <w:rFonts w:ascii="Times New Roman" w:hAnsi="Times New Roman"/>
                <w:noProof/>
                <w:color w:val="000000"/>
                <w:sz w:val="20"/>
              </w:rPr>
              <w:t xml:space="preserve">Neravnotežja </w:t>
            </w:r>
          </w:p>
        </w:tc>
        <w:tc>
          <w:tcPr>
            <w:tcW w:w="3567" w:type="dxa"/>
            <w:tcBorders>
              <w:top w:val="nil"/>
              <w:left w:val="nil"/>
              <w:bottom w:val="nil"/>
              <w:right w:val="nil"/>
            </w:tcBorders>
            <w:vAlign w:val="center"/>
          </w:tcPr>
          <w:p w:rsidR="0059194F" w:rsidRDefault="00F458DE">
            <w:pPr>
              <w:ind w:left="-5" w:right="-1" w:firstLine="5"/>
              <w:jc w:val="center"/>
              <w:rPr>
                <w:rFonts w:ascii="Times New Roman" w:eastAsia="Calibri" w:hAnsi="Times New Roman" w:cs="Times New Roman"/>
                <w:noProof/>
                <w:color w:val="000000"/>
                <w:sz w:val="20"/>
                <w:szCs w:val="20"/>
                <w:highlight w:val="yellow"/>
              </w:rPr>
            </w:pPr>
            <w:r>
              <w:rPr>
                <w:rFonts w:ascii="Times New Roman" w:hAnsi="Times New Roman"/>
                <w:noProof/>
                <w:color w:val="000000"/>
                <w:sz w:val="20"/>
              </w:rPr>
              <w:t>BG, DE, ES, FR, IE, NL, PT, SE</w:t>
            </w:r>
          </w:p>
        </w:tc>
        <w:tc>
          <w:tcPr>
            <w:tcW w:w="3728" w:type="dxa"/>
            <w:tcBorders>
              <w:top w:val="nil"/>
              <w:left w:val="nil"/>
              <w:bottom w:val="nil"/>
              <w:right w:val="nil"/>
            </w:tcBorders>
            <w:vAlign w:val="center"/>
          </w:tcPr>
          <w:p w:rsidR="0059194F" w:rsidRDefault="00F458DE">
            <w:pPr>
              <w:ind w:right="-1"/>
              <w:jc w:val="center"/>
              <w:rPr>
                <w:rFonts w:ascii="Times New Roman" w:hAnsi="Times New Roman" w:cs="Times New Roman"/>
                <w:noProof/>
                <w:color w:val="000000"/>
                <w:sz w:val="20"/>
                <w:szCs w:val="20"/>
                <w:highlight w:val="yellow"/>
              </w:rPr>
            </w:pPr>
            <w:r>
              <w:rPr>
                <w:rFonts w:ascii="Times New Roman" w:hAnsi="Times New Roman"/>
                <w:noProof/>
                <w:color w:val="000000"/>
                <w:sz w:val="20"/>
              </w:rPr>
              <w:t>BG, DE, ES, FR, HR, IE, NL, PT, RO, SE</w:t>
            </w:r>
          </w:p>
        </w:tc>
      </w:tr>
      <w:tr w:rsidR="0059194F">
        <w:trPr>
          <w:trHeight w:val="470"/>
          <w:jc w:val="center"/>
        </w:trPr>
        <w:tc>
          <w:tcPr>
            <w:tcW w:w="2151" w:type="dxa"/>
            <w:tcBorders>
              <w:top w:val="nil"/>
              <w:left w:val="nil"/>
              <w:bottom w:val="nil"/>
              <w:right w:val="nil"/>
            </w:tcBorders>
            <w:vAlign w:val="center"/>
          </w:tcPr>
          <w:p w:rsidR="0059194F" w:rsidRDefault="00F458DE">
            <w:pPr>
              <w:ind w:left="122" w:right="-1"/>
              <w:rPr>
                <w:rFonts w:ascii="Times New Roman" w:hAnsi="Times New Roman" w:cs="Times New Roman"/>
                <w:noProof/>
                <w:color w:val="000000"/>
                <w:sz w:val="20"/>
                <w:szCs w:val="20"/>
              </w:rPr>
            </w:pPr>
            <w:r>
              <w:rPr>
                <w:rFonts w:ascii="Times New Roman" w:hAnsi="Times New Roman"/>
                <w:noProof/>
                <w:color w:val="000000"/>
                <w:sz w:val="20"/>
              </w:rPr>
              <w:t>Čezmerna neravnotežja</w:t>
            </w:r>
          </w:p>
        </w:tc>
        <w:tc>
          <w:tcPr>
            <w:tcW w:w="3567" w:type="dxa"/>
            <w:tcBorders>
              <w:top w:val="nil"/>
              <w:left w:val="nil"/>
              <w:bottom w:val="nil"/>
              <w:right w:val="nil"/>
            </w:tcBorders>
            <w:vAlign w:val="center"/>
          </w:tcPr>
          <w:p w:rsidR="0059194F" w:rsidRDefault="00F458DE">
            <w:pPr>
              <w:ind w:left="-5" w:right="-1" w:firstLine="5"/>
              <w:jc w:val="center"/>
              <w:rPr>
                <w:rFonts w:ascii="Times New Roman" w:eastAsia="Calibri" w:hAnsi="Times New Roman" w:cs="Times New Roman"/>
                <w:noProof/>
                <w:color w:val="000000"/>
                <w:sz w:val="20"/>
                <w:szCs w:val="20"/>
                <w:highlight w:val="yellow"/>
              </w:rPr>
            </w:pPr>
            <w:r>
              <w:rPr>
                <w:rFonts w:ascii="Times New Roman" w:hAnsi="Times New Roman"/>
                <w:noProof/>
                <w:color w:val="000000"/>
                <w:sz w:val="20"/>
              </w:rPr>
              <w:t>CY, HR, IT</w:t>
            </w:r>
          </w:p>
        </w:tc>
        <w:tc>
          <w:tcPr>
            <w:tcW w:w="3728" w:type="dxa"/>
            <w:tcBorders>
              <w:top w:val="nil"/>
              <w:left w:val="nil"/>
              <w:bottom w:val="nil"/>
              <w:right w:val="nil"/>
            </w:tcBorders>
            <w:vAlign w:val="center"/>
          </w:tcPr>
          <w:p w:rsidR="0059194F" w:rsidRDefault="00F458DE">
            <w:pPr>
              <w:ind w:right="-1"/>
              <w:jc w:val="center"/>
              <w:rPr>
                <w:rFonts w:ascii="Times New Roman" w:hAnsi="Times New Roman" w:cs="Times New Roman"/>
                <w:noProof/>
                <w:color w:val="000000"/>
                <w:sz w:val="20"/>
                <w:szCs w:val="20"/>
                <w:highlight w:val="yellow"/>
              </w:rPr>
            </w:pPr>
            <w:r>
              <w:rPr>
                <w:rFonts w:ascii="Times New Roman" w:hAnsi="Times New Roman"/>
                <w:noProof/>
                <w:color w:val="000000"/>
                <w:sz w:val="20"/>
              </w:rPr>
              <w:t>CY, EL</w:t>
            </w:r>
            <w:r>
              <w:rPr>
                <w:rStyle w:val="FootnoteReference"/>
                <w:rFonts w:ascii="Times New Roman" w:hAnsi="Times New Roman"/>
                <w:noProof/>
                <w:color w:val="000000"/>
                <w:sz w:val="20"/>
              </w:rPr>
              <w:footnoteReference w:id="7"/>
            </w:r>
            <w:r>
              <w:rPr>
                <w:rFonts w:ascii="Times New Roman" w:hAnsi="Times New Roman"/>
                <w:noProof/>
                <w:color w:val="000000"/>
                <w:sz w:val="20"/>
              </w:rPr>
              <w:t>, IT</w:t>
            </w:r>
          </w:p>
        </w:tc>
      </w:tr>
      <w:tr w:rsidR="0059194F">
        <w:trPr>
          <w:trHeight w:val="284"/>
          <w:jc w:val="center"/>
        </w:trPr>
        <w:tc>
          <w:tcPr>
            <w:tcW w:w="2151" w:type="dxa"/>
            <w:tcBorders>
              <w:top w:val="single" w:sz="4" w:space="0" w:color="000000"/>
              <w:left w:val="nil"/>
              <w:right w:val="nil"/>
            </w:tcBorders>
            <w:noWrap/>
            <w:vAlign w:val="bottom"/>
          </w:tcPr>
          <w:p w:rsidR="0059194F" w:rsidRDefault="0059194F">
            <w:pPr>
              <w:ind w:left="122" w:right="-1"/>
              <w:rPr>
                <w:rFonts w:ascii="Times New Roman" w:eastAsia="Calibri" w:hAnsi="Times New Roman" w:cs="Times New Roman"/>
                <w:noProof/>
                <w:color w:val="000000"/>
                <w:sz w:val="20"/>
                <w:szCs w:val="20"/>
              </w:rPr>
            </w:pPr>
          </w:p>
        </w:tc>
        <w:tc>
          <w:tcPr>
            <w:tcW w:w="3567" w:type="dxa"/>
            <w:tcBorders>
              <w:top w:val="single" w:sz="4" w:space="0" w:color="000000"/>
              <w:left w:val="nil"/>
              <w:right w:val="nil"/>
            </w:tcBorders>
            <w:noWrap/>
            <w:vAlign w:val="bottom"/>
          </w:tcPr>
          <w:p w:rsidR="0059194F" w:rsidRDefault="0059194F">
            <w:pPr>
              <w:ind w:left="-5" w:right="-1" w:firstLine="5"/>
              <w:jc w:val="center"/>
              <w:rPr>
                <w:rFonts w:ascii="Times New Roman" w:eastAsia="Calibri" w:hAnsi="Times New Roman" w:cs="Times New Roman"/>
                <w:i/>
                <w:noProof/>
                <w:color w:val="000000"/>
                <w:sz w:val="20"/>
                <w:szCs w:val="20"/>
                <w:highlight w:val="yellow"/>
              </w:rPr>
            </w:pPr>
          </w:p>
        </w:tc>
        <w:tc>
          <w:tcPr>
            <w:tcW w:w="3728" w:type="dxa"/>
            <w:tcBorders>
              <w:top w:val="single" w:sz="4" w:space="0" w:color="000000"/>
              <w:left w:val="nil"/>
              <w:right w:val="nil"/>
            </w:tcBorders>
            <w:noWrap/>
            <w:vAlign w:val="bottom"/>
          </w:tcPr>
          <w:p w:rsidR="0059194F" w:rsidRDefault="0059194F">
            <w:pPr>
              <w:ind w:right="-1"/>
              <w:jc w:val="center"/>
              <w:rPr>
                <w:rFonts w:ascii="Times New Roman" w:hAnsi="Times New Roman" w:cs="Times New Roman"/>
                <w:noProof/>
                <w:color w:val="000000"/>
                <w:sz w:val="20"/>
                <w:szCs w:val="20"/>
                <w:highlight w:val="yellow"/>
              </w:rPr>
            </w:pPr>
          </w:p>
        </w:tc>
      </w:tr>
      <w:tr w:rsidR="0059194F">
        <w:trPr>
          <w:trHeight w:val="284"/>
          <w:jc w:val="center"/>
        </w:trPr>
        <w:tc>
          <w:tcPr>
            <w:tcW w:w="2151" w:type="dxa"/>
            <w:tcBorders>
              <w:top w:val="nil"/>
              <w:left w:val="nil"/>
              <w:bottom w:val="single" w:sz="4" w:space="0" w:color="000000"/>
              <w:right w:val="nil"/>
            </w:tcBorders>
            <w:noWrap/>
            <w:vAlign w:val="bottom"/>
          </w:tcPr>
          <w:p w:rsidR="0059194F" w:rsidRDefault="0059194F">
            <w:pPr>
              <w:ind w:left="122" w:right="-1"/>
              <w:rPr>
                <w:rFonts w:ascii="Times New Roman" w:eastAsia="Calibri" w:hAnsi="Times New Roman" w:cs="Times New Roman"/>
                <w:noProof/>
                <w:color w:val="000000"/>
                <w:sz w:val="20"/>
                <w:szCs w:val="20"/>
              </w:rPr>
            </w:pPr>
          </w:p>
        </w:tc>
        <w:tc>
          <w:tcPr>
            <w:tcW w:w="3567" w:type="dxa"/>
            <w:tcBorders>
              <w:top w:val="nil"/>
              <w:left w:val="nil"/>
              <w:bottom w:val="single" w:sz="4" w:space="0" w:color="000000"/>
              <w:right w:val="nil"/>
            </w:tcBorders>
            <w:noWrap/>
            <w:vAlign w:val="bottom"/>
          </w:tcPr>
          <w:p w:rsidR="0059194F" w:rsidRDefault="0059194F">
            <w:pPr>
              <w:ind w:left="-5" w:right="-1" w:firstLine="5"/>
              <w:jc w:val="center"/>
              <w:rPr>
                <w:rFonts w:ascii="Times New Roman" w:eastAsia="Calibri" w:hAnsi="Times New Roman" w:cs="Times New Roman"/>
                <w:i/>
                <w:noProof/>
                <w:color w:val="000000"/>
                <w:sz w:val="20"/>
                <w:szCs w:val="20"/>
                <w:highlight w:val="yellow"/>
              </w:rPr>
            </w:pPr>
          </w:p>
        </w:tc>
        <w:tc>
          <w:tcPr>
            <w:tcW w:w="3728" w:type="dxa"/>
            <w:tcBorders>
              <w:top w:val="nil"/>
              <w:left w:val="nil"/>
              <w:bottom w:val="single" w:sz="4" w:space="0" w:color="000000"/>
              <w:right w:val="nil"/>
            </w:tcBorders>
            <w:noWrap/>
            <w:vAlign w:val="bottom"/>
          </w:tcPr>
          <w:p w:rsidR="0059194F" w:rsidRDefault="0059194F">
            <w:pPr>
              <w:ind w:right="-1"/>
              <w:jc w:val="center"/>
              <w:rPr>
                <w:rFonts w:ascii="Times New Roman" w:eastAsia="Calibri" w:hAnsi="Times New Roman" w:cs="Times New Roman"/>
                <w:noProof/>
                <w:color w:val="000000"/>
                <w:sz w:val="20"/>
                <w:szCs w:val="20"/>
                <w:highlight w:val="yellow"/>
              </w:rPr>
            </w:pPr>
          </w:p>
        </w:tc>
      </w:tr>
    </w:tbl>
    <w:p w:rsidR="0059194F" w:rsidRDefault="00F458DE">
      <w:pPr>
        <w:rPr>
          <w:rFonts w:ascii="Times New Roman" w:hAnsi="Times New Roman"/>
          <w:noProof/>
          <w:sz w:val="24"/>
          <w:szCs w:val="24"/>
        </w:rPr>
      </w:pPr>
      <w:r>
        <w:rPr>
          <w:noProof/>
        </w:rPr>
        <w:tab/>
      </w:r>
    </w:p>
    <w:p w:rsidR="0059194F" w:rsidRDefault="0059194F">
      <w:pPr>
        <w:autoSpaceDE w:val="0"/>
        <w:autoSpaceDN w:val="0"/>
        <w:adjustRightInd w:val="0"/>
        <w:rPr>
          <w:rFonts w:ascii="Times New Roman" w:hAnsi="Times New Roman"/>
          <w:noProof/>
          <w:sz w:val="24"/>
          <w:szCs w:val="24"/>
        </w:rPr>
      </w:pPr>
    </w:p>
    <w:p w:rsidR="0059194F" w:rsidRDefault="00F458DE">
      <w:pPr>
        <w:rPr>
          <w:rFonts w:ascii="Times New Roman" w:hAnsi="Times New Roman"/>
          <w:i/>
          <w:noProof/>
          <w:sz w:val="24"/>
          <w:szCs w:val="24"/>
        </w:rPr>
      </w:pPr>
      <w:r>
        <w:rPr>
          <w:noProof/>
        </w:rPr>
        <w:br w:type="page"/>
      </w:r>
    </w:p>
    <w:p w:rsidR="0059194F" w:rsidRDefault="00F458DE">
      <w:pPr>
        <w:pStyle w:val="Heading1"/>
        <w:rPr>
          <w:noProof/>
          <w:sz w:val="24"/>
          <w:szCs w:val="24"/>
        </w:rPr>
      </w:pPr>
      <w:r>
        <w:rPr>
          <w:noProof/>
        </w:rPr>
        <w:t>Politike držav članic</w:t>
      </w:r>
    </w:p>
    <w:p w:rsidR="0059194F" w:rsidRDefault="00F458DE">
      <w:pPr>
        <w:rPr>
          <w:rFonts w:ascii="Times New Roman" w:hAnsi="Times New Roman"/>
          <w:noProof/>
          <w:sz w:val="24"/>
          <w:szCs w:val="24"/>
        </w:rPr>
      </w:pPr>
      <w:r>
        <w:rPr>
          <w:rFonts w:ascii="Times New Roman" w:hAnsi="Times New Roman"/>
          <w:b/>
          <w:noProof/>
          <w:sz w:val="24"/>
        </w:rPr>
        <w:t xml:space="preserve">V razmerah upočasnitve rasti bodo učinkovite reforme in dobro usmerjene prednostne naložbe državam članicam pomagale, da bodo odpornejše na prihodnje makroekonomske pretrese. </w:t>
      </w:r>
      <w:r>
        <w:rPr>
          <w:rFonts w:ascii="Times New Roman" w:hAnsi="Times New Roman"/>
          <w:noProof/>
          <w:sz w:val="24"/>
        </w:rPr>
        <w:t xml:space="preserve">Z boljšim delovanjem finančnih in proizvodnih trgov in trgov dela ter institucij </w:t>
      </w:r>
      <w:r>
        <w:rPr>
          <w:rFonts w:ascii="Times New Roman" w:hAnsi="Times New Roman"/>
          <w:noProof/>
          <w:sz w:val="24"/>
        </w:rPr>
        <w:t>ter z učinkovitejšimi državnimi upravami se lahko gospodarstva lažje prilagajajo in pri tem čim bolj znižajo gospodarske in socialne stroške. Dobro usmerjene naložbe ne glede na to, ali omogočajo potrebno infrastrukturo, zagotavljajo bolje usposobljeno del</w:t>
      </w:r>
      <w:r>
        <w:rPr>
          <w:rFonts w:ascii="Times New Roman" w:hAnsi="Times New Roman"/>
          <w:noProof/>
          <w:sz w:val="24"/>
        </w:rPr>
        <w:t>ovno silo ali podpirajo inovativne podjetniške ideje, dolgoročno krepijo potencialno rast, kar prispeva h konkurenčnosti in odpornosti gospodarstva. Prilagajanje trenutnim strukturnim spremembam bi pripomoglo h konvergenci gospodarstev z zmanjševanjem razl</w:t>
      </w:r>
      <w:r>
        <w:rPr>
          <w:rFonts w:ascii="Times New Roman" w:hAnsi="Times New Roman"/>
          <w:noProof/>
          <w:sz w:val="24"/>
        </w:rPr>
        <w:t xml:space="preserve">ik v produktivnosti in izboljšalo socialne rezultate.  </w:t>
      </w:r>
    </w:p>
    <w:p w:rsidR="0059194F" w:rsidRDefault="00F458DE">
      <w:pPr>
        <w:rPr>
          <w:rFonts w:ascii="Times New Roman" w:hAnsi="Times New Roman"/>
          <w:b/>
          <w:i/>
          <w:noProof/>
          <w:sz w:val="24"/>
          <w:szCs w:val="24"/>
        </w:rPr>
      </w:pPr>
      <w:r>
        <w:rPr>
          <w:rFonts w:ascii="Times New Roman" w:hAnsi="Times New Roman"/>
          <w:b/>
          <w:i/>
          <w:noProof/>
          <w:sz w:val="24"/>
        </w:rPr>
        <w:t>4.1 Zagotavljanje odgovornih fiskalnih politik in finančne stabilnosti</w:t>
      </w:r>
    </w:p>
    <w:p w:rsidR="0059194F" w:rsidRDefault="00F458DE">
      <w:pPr>
        <w:rPr>
          <w:rFonts w:ascii="Times New Roman" w:hAnsi="Times New Roman"/>
          <w:i/>
          <w:noProof/>
          <w:sz w:val="24"/>
          <w:szCs w:val="24"/>
        </w:rPr>
      </w:pPr>
      <w:r>
        <w:rPr>
          <w:rFonts w:ascii="Times New Roman" w:hAnsi="Times New Roman"/>
          <w:i/>
          <w:noProof/>
          <w:sz w:val="24"/>
        </w:rPr>
        <w:t>Odgovorne fiskalne politike, kakovost javnih financ in rasti prijazni davčni sistemi</w:t>
      </w:r>
    </w:p>
    <w:p w:rsidR="0059194F" w:rsidRDefault="00F458DE">
      <w:pPr>
        <w:rPr>
          <w:rFonts w:ascii="Times New Roman" w:hAnsi="Times New Roman"/>
          <w:bCs/>
          <w:noProof/>
          <w:color w:val="000000"/>
          <w:sz w:val="24"/>
          <w:szCs w:val="24"/>
          <w:bdr w:val="none" w:sz="0" w:space="0" w:color="auto" w:frame="1"/>
        </w:rPr>
      </w:pPr>
      <w:r>
        <w:rPr>
          <w:rFonts w:ascii="Times New Roman" w:hAnsi="Times New Roman"/>
          <w:b/>
          <w:noProof/>
          <w:color w:val="000000"/>
          <w:sz w:val="24"/>
          <w:bdr w:val="none" w:sz="0" w:space="0" w:color="auto" w:frame="1"/>
        </w:rPr>
        <w:t xml:space="preserve">Države članice z visokimi deleži dolga ne morejo vzpostaviti fiskalnih blažilnikov. </w:t>
      </w:r>
      <w:r>
        <w:rPr>
          <w:rFonts w:ascii="Times New Roman" w:hAnsi="Times New Roman"/>
          <w:noProof/>
          <w:color w:val="000000"/>
          <w:sz w:val="24"/>
          <w:bdr w:val="none" w:sz="0" w:space="0" w:color="auto" w:frame="1"/>
        </w:rPr>
        <w:t>Močna gospodarska rast in zgodovinsko nizke obrestne mere še naprej podpirajo zmanjšanje deleža javnega dolga. Leta 2018 so ugodni ciklični pogoji in zmanjšanje odhodkov za</w:t>
      </w:r>
      <w:r>
        <w:rPr>
          <w:rFonts w:ascii="Times New Roman" w:hAnsi="Times New Roman"/>
          <w:noProof/>
          <w:color w:val="000000"/>
          <w:sz w:val="24"/>
          <w:bdr w:val="none" w:sz="0" w:space="0" w:color="auto" w:frame="1"/>
        </w:rPr>
        <w:t xml:space="preserve"> obresti prispevali k nadaljnjemu zmanjšanju splošnega proračunskega primanjkljaja v EU, ki zdaj znaša manj kot 1 % BDP. Ta trend zmanjševanja naj bi se končal leta 2019, ko naj bi se skupni primanjkljaj prvič po letu 2009 nekoliko povečal. Javni dolg v ne</w:t>
      </w:r>
      <w:r>
        <w:rPr>
          <w:rFonts w:ascii="Times New Roman" w:hAnsi="Times New Roman"/>
          <w:noProof/>
          <w:color w:val="000000"/>
          <w:sz w:val="24"/>
          <w:bdr w:val="none" w:sz="0" w:space="0" w:color="auto" w:frame="1"/>
        </w:rPr>
        <w:t>katerih državah članicah ostaja blizu najvišjih preteklih vrednosti. Načrtovana fiskalna prilagoditev je v nekaterih močno zadolženih državah članicah razmeroma omejena ali celo negativna. Ponovna vzpostavitev fiskalnih blažilnikov je zlasti pomembna v drž</w:t>
      </w:r>
      <w:r>
        <w:rPr>
          <w:rFonts w:ascii="Times New Roman" w:hAnsi="Times New Roman"/>
          <w:noProof/>
          <w:color w:val="000000"/>
          <w:sz w:val="24"/>
          <w:bdr w:val="none" w:sz="0" w:space="0" w:color="auto" w:frame="1"/>
        </w:rPr>
        <w:t>avah članicah s še vedno visokimi ravnmi javnega dolga, da bi se zmanjšala njihova dovzetnost za pretrese in omogočilo popolno delovanje samodejnih stabilizatorjev ob naslednjem upadu gospodarske rasti. Skladnost s Paktom za stabilnost in rast ter določena</w:t>
      </w:r>
      <w:r>
        <w:rPr>
          <w:rFonts w:ascii="Times New Roman" w:hAnsi="Times New Roman"/>
          <w:noProof/>
          <w:color w:val="000000"/>
          <w:sz w:val="24"/>
          <w:bdr w:val="none" w:sz="0" w:space="0" w:color="auto" w:frame="1"/>
        </w:rPr>
        <w:t xml:space="preserve"> fiskalna ekspanzija v državah članicah s fiskalnim manevrskim prostorom bi prispevali k uravnoteženi kombinaciji politik glede na stalno podporo gospodarstvu s strani monetarne politike. Poleg tega bi se zmanjšala tveganja finančne nestabilnosti. </w:t>
      </w:r>
    </w:p>
    <w:p w:rsidR="0059194F" w:rsidRDefault="00F458DE">
      <w:pPr>
        <w:rPr>
          <w:noProof/>
        </w:rPr>
      </w:pPr>
      <w:r>
        <w:rPr>
          <w:rFonts w:ascii="Times New Roman" w:hAnsi="Times New Roman"/>
          <w:b/>
          <w:noProof/>
          <w:sz w:val="24"/>
        </w:rPr>
        <w:t xml:space="preserve">Veliko </w:t>
      </w:r>
      <w:r>
        <w:rPr>
          <w:rFonts w:ascii="Times New Roman" w:hAnsi="Times New Roman"/>
          <w:b/>
          <w:noProof/>
          <w:sz w:val="24"/>
        </w:rPr>
        <w:t>je tudi možnosti za izboljšanje kakovosti javnih financ, ključno orodje pri tem pa so pregledi porabe.</w:t>
      </w:r>
      <w:r>
        <w:rPr>
          <w:rFonts w:ascii="Times New Roman" w:hAnsi="Times New Roman"/>
          <w:noProof/>
          <w:sz w:val="24"/>
        </w:rPr>
        <w:t xml:space="preserve"> Številne države članice izvajajo preglede javne porabe, ki so namenjeni povečanju njene učinkovitosti, doseganju prihrankov in ustvarjanju možnosti za od</w:t>
      </w:r>
      <w:r>
        <w:rPr>
          <w:rFonts w:ascii="Times New Roman" w:hAnsi="Times New Roman"/>
          <w:noProof/>
          <w:sz w:val="24"/>
        </w:rPr>
        <w:t>hodke, ki povečujejo rast. Obsežna pregleda porabe sta načrtovana v Italiji in Franciji. V številnih drugih državah članicah so predvideni bolj ciljno usmerjeni pregledi, ki zajemajo specifična področja porabe, kot so zdravstvo, izobraževanje, podjetja v d</w:t>
      </w:r>
      <w:r>
        <w:rPr>
          <w:rFonts w:ascii="Times New Roman" w:hAnsi="Times New Roman"/>
          <w:noProof/>
          <w:sz w:val="24"/>
        </w:rPr>
        <w:t>ržavni lasti, nepremičnine, javne naložbe, promet in okolje. Leta 2019 bi se morala povečati učinkovitost na Portugalskem zaradi večje uporabe centraliziranega javnega naročanja in učinkovitejše uporabe javnih sredstev ter v Latviji zaradi stroškovno učink</w:t>
      </w:r>
      <w:r>
        <w:rPr>
          <w:rFonts w:ascii="Times New Roman" w:hAnsi="Times New Roman"/>
          <w:noProof/>
          <w:sz w:val="24"/>
        </w:rPr>
        <w:t>ovitejšega upravljanja podjetij v državni lasti v sektorju nepremičnin in konsolidacije infrastrukture informacijske tehnologije. V prihodnosti bi pregledom porabe koristila pogostejša in strožja vmesna ocenjevanja ter tesnejša povezanost s proračunskim po</w:t>
      </w:r>
      <w:r>
        <w:rPr>
          <w:rFonts w:ascii="Times New Roman" w:hAnsi="Times New Roman"/>
          <w:noProof/>
          <w:sz w:val="24"/>
        </w:rPr>
        <w:t>stopkom.</w:t>
      </w:r>
    </w:p>
    <w:p w:rsidR="0059194F" w:rsidRDefault="00F458DE">
      <w:pPr>
        <w:rPr>
          <w:rFonts w:ascii="Times New Roman" w:hAnsi="Times New Roman"/>
          <w:noProof/>
          <w:sz w:val="24"/>
          <w:szCs w:val="24"/>
        </w:rPr>
      </w:pPr>
      <w:r>
        <w:rPr>
          <w:rFonts w:ascii="Times New Roman" w:hAnsi="Times New Roman"/>
          <w:b/>
          <w:noProof/>
          <w:sz w:val="24"/>
        </w:rPr>
        <w:t>Države članice še naprej izboljšujejo svoje nacionalne fiskalne okvire, ki so ključni dejavnik oblikovanja fiskalne politike</w:t>
      </w:r>
      <w:r>
        <w:rPr>
          <w:rFonts w:ascii="Times New Roman" w:hAnsi="Times New Roman"/>
          <w:noProof/>
          <w:sz w:val="24"/>
        </w:rPr>
        <w:t>. Fiskalni okviri so bili v zadnjih nekaj letih močno reformirani, pri čemer so pozitivni učinki na javno porabo in obdavči</w:t>
      </w:r>
      <w:r>
        <w:rPr>
          <w:rFonts w:ascii="Times New Roman" w:hAnsi="Times New Roman"/>
          <w:noProof/>
          <w:sz w:val="24"/>
        </w:rPr>
        <w:t>tev že vidni. Reforme v tej smeri so se v zadnjem času nadaljevale v več državah članicah. V Nemčiji je dobila projektna skupina za gospodarsko napoved mandat za potrjevanje makroekonomskih napovedi. Madžarska in Litva sta dodatno izboljšali srednjeročno p</w:t>
      </w:r>
      <w:r>
        <w:rPr>
          <w:rFonts w:ascii="Times New Roman" w:hAnsi="Times New Roman"/>
          <w:noProof/>
          <w:sz w:val="24"/>
        </w:rPr>
        <w:t>erspektivo svojega okvira. Celo države članice, katerih fiskalni okviri so običajno primer dobre prakse, jih še naprej izboljšujejo. Švedska je uvedla novo okvirno referenčno vrednost za dolg, medtem ko je Nizozemska v svojem okviru izboljšala funkcijo sam</w:t>
      </w:r>
      <w:r>
        <w:rPr>
          <w:rFonts w:ascii="Times New Roman" w:hAnsi="Times New Roman"/>
          <w:noProof/>
          <w:sz w:val="24"/>
        </w:rPr>
        <w:t>odejne stabilizacije. Irska izvaja svoje načrte za vzpostavitev sklada za hude čase. Kljub temu pa še vedno obstajajo področja, na katerih je potrebnih več prizadevanj. To velja zlasti za ureditev usklajevanja med različnimi ravnmi upravljanja v državah čl</w:t>
      </w:r>
      <w:r>
        <w:rPr>
          <w:rFonts w:ascii="Times New Roman" w:hAnsi="Times New Roman"/>
          <w:noProof/>
          <w:sz w:val="24"/>
        </w:rPr>
        <w:t>anicah z zapletenimi federalnimi strukturami.</w:t>
      </w:r>
    </w:p>
    <w:p w:rsidR="0059194F" w:rsidRDefault="00F458DE">
      <w:pPr>
        <w:pBdr>
          <w:top w:val="nil"/>
          <w:left w:val="nil"/>
          <w:bottom w:val="nil"/>
          <w:right w:val="nil"/>
          <w:between w:val="nil"/>
          <w:bar w:val="nil"/>
        </w:pBdr>
        <w:rPr>
          <w:rFonts w:ascii="Times New Roman" w:hAnsi="Times New Roman"/>
          <w:noProof/>
          <w:sz w:val="24"/>
          <w:szCs w:val="24"/>
        </w:rPr>
      </w:pPr>
      <w:r>
        <w:rPr>
          <w:rFonts w:ascii="Times New Roman" w:hAnsi="Times New Roman"/>
          <w:b/>
          <w:noProof/>
          <w:sz w:val="24"/>
        </w:rPr>
        <w:t xml:space="preserve">Zaradi staranja prebivalstva se številne države članice soočajo z izzivom zagotavljanja vzdržnosti javnih financ. </w:t>
      </w:r>
      <w:r>
        <w:rPr>
          <w:rFonts w:ascii="Times New Roman" w:hAnsi="Times New Roman"/>
          <w:noProof/>
          <w:sz w:val="24"/>
        </w:rPr>
        <w:t>V zadnjem desetletju je bil dosežen znaten napredek pri obravnavanju načrtovanega zvišanja stroš</w:t>
      </w:r>
      <w:r>
        <w:rPr>
          <w:rFonts w:ascii="Times New Roman" w:hAnsi="Times New Roman"/>
          <w:noProof/>
          <w:sz w:val="24"/>
        </w:rPr>
        <w:t>kov pokojnin. Vendar se zaradi vse daljše življenjske dobe in upokojevanja generacije „baby boom“ v 21 državah članicah, ki se soočajo s srednje visokimi ali visokimi tveganji za fiskalno vzdržnost, še vedno pričakujejo znatna povečanja odhodkov, povezanih</w:t>
      </w:r>
      <w:r>
        <w:rPr>
          <w:rFonts w:ascii="Times New Roman" w:hAnsi="Times New Roman"/>
          <w:noProof/>
          <w:sz w:val="24"/>
        </w:rPr>
        <w:t xml:space="preserve"> s staranjem prebivalstva. To lahko vpliva na prihodnjo ustreznost pokojnin. Leta 2018 je Hrvaška sprejela pokojninsko reformo za izboljšanje ustreznosti pokojnin, ki naj ne bi ogrozila dolgoročne vzdržnosti, Francija pa je predložila celovite načrte refor</w:t>
      </w:r>
      <w:r>
        <w:rPr>
          <w:rFonts w:ascii="Times New Roman" w:hAnsi="Times New Roman"/>
          <w:noProof/>
          <w:sz w:val="24"/>
        </w:rPr>
        <w:t>m. Primeri delnega nazadovanja prinašajo tveganje, da bo izničen del napredka, ki je bil v zadnjem desetletju dosežen v Italiji in Romuniji. Ukrepi, ki povečujejo odhodke za pokojnine, so bili uvedeni ali so načrtovani tudi v Nemčiji, Španiji in na Portuga</w:t>
      </w:r>
      <w:r>
        <w:rPr>
          <w:rFonts w:ascii="Times New Roman" w:hAnsi="Times New Roman"/>
          <w:noProof/>
          <w:sz w:val="24"/>
        </w:rPr>
        <w:t>lskem. Napredek pri zagotavljanju dolgoročne fiskalne vzdržnosti se zdi počasen na področju zdravstva in dolgotrajne oskrbe. Trenutna prizadevanja za reforme v nekaterih državah članicah se zdijo delna in bi morala bolje združevati cilje fiskalne vzdržnost</w:t>
      </w:r>
      <w:r>
        <w:rPr>
          <w:rFonts w:ascii="Times New Roman" w:hAnsi="Times New Roman"/>
          <w:noProof/>
          <w:sz w:val="24"/>
        </w:rPr>
        <w:t xml:space="preserve">i z dostopnostjo in učinkovitostjo oskrbe. </w:t>
      </w:r>
    </w:p>
    <w:p w:rsidR="0059194F" w:rsidRDefault="00F458DE">
      <w:pPr>
        <w:pBdr>
          <w:top w:val="nil"/>
          <w:left w:val="nil"/>
          <w:bottom w:val="nil"/>
          <w:right w:val="nil"/>
          <w:between w:val="nil"/>
          <w:bar w:val="nil"/>
        </w:pBdr>
        <w:rPr>
          <w:rFonts w:ascii="Times New Roman" w:hAnsi="Times New Roman"/>
          <w:noProof/>
          <w:sz w:val="24"/>
          <w:szCs w:val="24"/>
        </w:rPr>
      </w:pPr>
      <w:r w:rsidRPr="00F458DE">
        <w:rPr>
          <w:rFonts w:ascii="Times New Roman" w:hAnsi="Times New Roman"/>
          <w:b/>
          <w:noProof/>
          <w:sz w:val="24"/>
        </w:rPr>
        <w:t>Reforme zdravstvenih sistemov so usmerjene v večjo učinkovitost, dostopnost in odpornost</w:t>
      </w:r>
      <w:r w:rsidRPr="00F458DE">
        <w:rPr>
          <w:noProof/>
        </w:rPr>
        <w:t>.</w:t>
      </w:r>
      <w:r w:rsidRPr="00F458DE">
        <w:rPr>
          <w:rFonts w:ascii="Times New Roman" w:hAnsi="Times New Roman"/>
          <w:noProof/>
          <w:sz w:val="24"/>
        </w:rPr>
        <w:t xml:space="preserve"> </w:t>
      </w:r>
      <w:r>
        <w:rPr>
          <w:rFonts w:ascii="Times New Roman" w:hAnsi="Times New Roman"/>
          <w:noProof/>
          <w:sz w:val="24"/>
        </w:rPr>
        <w:t>Številne države članice si prizadevajo, da bi preusmerile zdravstvene sisteme v preventivno oskrbo, hkrati pa okrepile osn</w:t>
      </w:r>
      <w:r>
        <w:rPr>
          <w:rFonts w:ascii="Times New Roman" w:hAnsi="Times New Roman"/>
          <w:noProof/>
          <w:sz w:val="24"/>
        </w:rPr>
        <w:t>ovno oskrbo in boljše usklajevanje v ustanovah za oskrbo. Ciper uvaja nov sistem zdravstvenih prispevkov, ki bo omogočil splošno zdravstveno zavarovanje in omejil visoka neposredna plačila. Poljska je začela pilotne projekte za okrepitev primarne in ambula</w:t>
      </w:r>
      <w:r>
        <w:rPr>
          <w:rFonts w:ascii="Times New Roman" w:hAnsi="Times New Roman"/>
          <w:noProof/>
          <w:sz w:val="24"/>
        </w:rPr>
        <w:t>ntne oskrbe ter izboljšanje usklajevanja.</w:t>
      </w:r>
    </w:p>
    <w:p w:rsidR="0059194F" w:rsidRDefault="00F458DE">
      <w:pPr>
        <w:rPr>
          <w:rFonts w:ascii="Times New Roman" w:hAnsi="Times New Roman"/>
          <w:noProof/>
          <w:sz w:val="24"/>
          <w:szCs w:val="24"/>
        </w:rPr>
      </w:pPr>
      <w:r>
        <w:rPr>
          <w:rFonts w:ascii="Times New Roman" w:hAnsi="Times New Roman"/>
          <w:b/>
          <w:noProof/>
          <w:sz w:val="24"/>
        </w:rPr>
        <w:t xml:space="preserve">Davčni sistemi lahko pomagajo podpirati vključujočo rast. </w:t>
      </w:r>
      <w:r>
        <w:rPr>
          <w:rFonts w:ascii="Times New Roman" w:hAnsi="Times New Roman"/>
          <w:noProof/>
          <w:sz w:val="24"/>
        </w:rPr>
        <w:t xml:space="preserve">Rasti prijazni davčni sistemi lahko podpirajo zasebne naložbe, izboljšajo poslovno okolje, spodbujajo zaposlovanje in udeležbo na trgu dela, zmanjšajo </w:t>
      </w:r>
      <w:r>
        <w:rPr>
          <w:rFonts w:ascii="Times New Roman" w:hAnsi="Times New Roman"/>
          <w:noProof/>
          <w:sz w:val="24"/>
        </w:rPr>
        <w:t>neenakosti in prispevajo k okoljsko trajnostnemu gospodarstvu. Zato več držav članic nadaljuje reformo svojega davčnega sistema in zlasti zmanjšuje obdavčitev dela. Latvija in Litva uvajata progresivno dohodninsko stopnjo. Nizozemska preusmerja davčno obre</w:t>
      </w:r>
      <w:r>
        <w:rPr>
          <w:rFonts w:ascii="Times New Roman" w:hAnsi="Times New Roman"/>
          <w:noProof/>
          <w:sz w:val="24"/>
        </w:rPr>
        <w:t>menitev z dela na potrošnjo z zmanjšanjem dohodnine in zvišanjem stopenj davka na dodano vrednost. Nemčija in Irska še naprej zmanjšujeta obdavčitev dela za osebe z nizkimi in srednjimi dohodki. Danska, Grčija in Slovenija zagotavljajo visok delež prihodko</w:t>
      </w:r>
      <w:r>
        <w:rPr>
          <w:rFonts w:ascii="Times New Roman" w:hAnsi="Times New Roman"/>
          <w:noProof/>
          <w:sz w:val="24"/>
        </w:rPr>
        <w:t>v od okoljskih davkov, kar spodbuja učinkovitejšo rabo virov ter spodbuja naložbe in zaposlovanje.</w:t>
      </w:r>
    </w:p>
    <w:p w:rsidR="0059194F" w:rsidRDefault="00F458DE">
      <w:pPr>
        <w:rPr>
          <w:rFonts w:ascii="Times New Roman" w:hAnsi="Times New Roman"/>
          <w:noProof/>
          <w:sz w:val="24"/>
          <w:szCs w:val="24"/>
        </w:rPr>
      </w:pPr>
      <w:r>
        <w:rPr>
          <w:rFonts w:ascii="Times New Roman" w:hAnsi="Times New Roman"/>
          <w:b/>
          <w:noProof/>
          <w:sz w:val="24"/>
        </w:rPr>
        <w:t xml:space="preserve">Boj proti agresivnemu davčnemu načrtovanju je prednostna naloga za zagotovitev pravilnega delovanja enotnega trga. </w:t>
      </w:r>
      <w:r>
        <w:rPr>
          <w:rFonts w:ascii="Times New Roman" w:hAnsi="Times New Roman"/>
          <w:noProof/>
          <w:sz w:val="24"/>
        </w:rPr>
        <w:t>Komisija je predstavila zakonodajne predlo</w:t>
      </w:r>
      <w:r>
        <w:rPr>
          <w:rFonts w:ascii="Times New Roman" w:hAnsi="Times New Roman"/>
          <w:noProof/>
          <w:sz w:val="24"/>
        </w:rPr>
        <w:t>ge, s katerimi bi postal davčni sistem preglednejši, učinkovitejši, skladnejši in manj dovzeten za prakse agresivnega davčnega načrtovanja. Agresivno davčno načrtovanje lahko vpliva na proračune drugih držav članic, izkrivlja konkurenčne pogoje med podjetj</w:t>
      </w:r>
      <w:r>
        <w:rPr>
          <w:rFonts w:ascii="Times New Roman" w:hAnsi="Times New Roman"/>
          <w:noProof/>
          <w:sz w:val="24"/>
        </w:rPr>
        <w:t>i in neupravičeno preusmerja vire stran od vladnih ciljev za porabo. Države članice, katerih davčna osnova se znižuje, morajo povečati prihodke od drugih davkov ali imeti na voljo manj prihodkov za reforme, ki spodbujajo rast, in za prerazdelitve zaradi od</w:t>
      </w:r>
      <w:r>
        <w:rPr>
          <w:rFonts w:ascii="Times New Roman" w:hAnsi="Times New Roman"/>
          <w:noProof/>
          <w:sz w:val="24"/>
        </w:rPr>
        <w:t>pravljanja neenakosti. Prenos zakonodaje EU in mednarodno dogovorjenih pobud bo pripomogel k omejevanju praks agresivnega davčnega načrtovanja</w:t>
      </w:r>
      <w:r>
        <w:rPr>
          <w:rFonts w:ascii="Times New Roman" w:hAnsi="Times New Roman"/>
          <w:noProof/>
          <w:sz w:val="24"/>
          <w:vertAlign w:val="superscript"/>
        </w:rPr>
        <w:footnoteReference w:id="8"/>
      </w:r>
      <w:r>
        <w:rPr>
          <w:rFonts w:ascii="Times New Roman" w:hAnsi="Times New Roman"/>
          <w:noProof/>
          <w:sz w:val="24"/>
        </w:rPr>
        <w:t xml:space="preserve">. Agresivno davčno načrtovanje se lahko nadalje obravnava s krepitvijo nacionalne davčne zakonodaje, povečanjem </w:t>
      </w:r>
      <w:r>
        <w:rPr>
          <w:rFonts w:ascii="Times New Roman" w:hAnsi="Times New Roman"/>
          <w:noProof/>
          <w:sz w:val="24"/>
        </w:rPr>
        <w:t>preglednosti in upravnim sodelovanjem.</w:t>
      </w:r>
    </w:p>
    <w:p w:rsidR="0059194F" w:rsidRDefault="0059194F">
      <w:pPr>
        <w:rPr>
          <w:rFonts w:ascii="Times New Roman" w:hAnsi="Times New Roman"/>
          <w:noProof/>
          <w:sz w:val="24"/>
          <w:szCs w:val="24"/>
        </w:rPr>
      </w:pPr>
    </w:p>
    <w:p w:rsidR="0059194F" w:rsidRDefault="00F458DE">
      <w:pPr>
        <w:pBdr>
          <w:top w:val="nil"/>
          <w:left w:val="nil"/>
          <w:bottom w:val="nil"/>
          <w:right w:val="nil"/>
          <w:between w:val="nil"/>
          <w:bar w:val="nil"/>
        </w:pBdr>
        <w:rPr>
          <w:rFonts w:ascii="Times New Roman" w:cs="Calibri"/>
          <w:i/>
          <w:noProof/>
          <w:color w:val="000000"/>
          <w:sz w:val="24"/>
          <w:szCs w:val="24"/>
          <w:u w:color="000000"/>
          <w:bdr w:val="nil"/>
        </w:rPr>
      </w:pPr>
      <w:r>
        <w:rPr>
          <w:rFonts w:ascii="Times New Roman"/>
          <w:i/>
          <w:noProof/>
          <w:color w:val="000000"/>
          <w:sz w:val="24"/>
          <w:u w:color="000000"/>
          <w:bdr w:val="nil"/>
        </w:rPr>
        <w:t>Ban</w:t>
      </w:r>
      <w:r>
        <w:rPr>
          <w:rFonts w:ascii="Times New Roman"/>
          <w:i/>
          <w:noProof/>
          <w:color w:val="000000"/>
          <w:sz w:val="24"/>
          <w:u w:color="000000"/>
          <w:bdr w:val="nil"/>
        </w:rPr>
        <w:t>č</w:t>
      </w:r>
      <w:r>
        <w:rPr>
          <w:rFonts w:ascii="Times New Roman"/>
          <w:i/>
          <w:noProof/>
          <w:color w:val="000000"/>
          <w:sz w:val="24"/>
          <w:u w:color="000000"/>
          <w:bdr w:val="nil"/>
        </w:rPr>
        <w:t>ni sektor, nizka donosnost in nedonosna posojila</w:t>
      </w:r>
    </w:p>
    <w:p w:rsidR="0059194F" w:rsidRDefault="00F458DE">
      <w:pPr>
        <w:pStyle w:val="Default"/>
        <w:spacing w:after="120"/>
        <w:jc w:val="both"/>
        <w:rPr>
          <w:rFonts w:ascii="Times New Roman" w:hAnsi="Times New Roman" w:cstheme="minorBidi"/>
          <w:noProof/>
          <w:color w:val="auto"/>
        </w:rPr>
      </w:pPr>
      <w:r>
        <w:rPr>
          <w:rFonts w:ascii="Times New Roman" w:hAnsi="Times New Roman" w:cstheme="minorBidi"/>
          <w:b/>
          <w:noProof/>
          <w:color w:val="auto"/>
        </w:rPr>
        <w:t>Na splošno sta ste kapitalski in likvidnostni položaj bank leta 2018 še naprej izboljševala, in sicer na podlagi gospodarskega okolja ter zakonodajnih in nadzornih</w:t>
      </w:r>
      <w:r>
        <w:rPr>
          <w:rFonts w:ascii="Times New Roman" w:hAnsi="Times New Roman" w:cstheme="minorBidi"/>
          <w:b/>
          <w:noProof/>
          <w:color w:val="auto"/>
        </w:rPr>
        <w:t xml:space="preserve"> ukrepov.</w:t>
      </w:r>
      <w:r>
        <w:rPr>
          <w:rFonts w:ascii="Times New Roman" w:hAnsi="Times New Roman" w:cstheme="minorBidi"/>
          <w:noProof/>
          <w:color w:val="auto"/>
        </w:rPr>
        <w:t xml:space="preserve"> Hkrati se je zmanjšal finančni vzvod bank, sposobnost pokrivanja izgub pa se je povečala. Nedonosna posojila v bilancah stanja bank so se še naprej zmanjševala. Najnovejši podatki kažejo, da se je delež bruto vrednosti nedonosnih posojil v vseh b</w:t>
      </w:r>
      <w:r>
        <w:rPr>
          <w:rFonts w:ascii="Times New Roman" w:hAnsi="Times New Roman" w:cstheme="minorBidi"/>
          <w:noProof/>
          <w:color w:val="auto"/>
        </w:rPr>
        <w:t>ankah v EU dodatno zmanjšal na 3,3 % (tretje četrtletje leta 2018), kar je več kot za eno odstotno točko manj kot v enakem obdobju leto pred tem. V 14 državah članicah je delež nedonosnih posojil nižji od 3 %. Do občutnega zmanjšanja je prišlo zlasti na Ci</w:t>
      </w:r>
      <w:r>
        <w:rPr>
          <w:rFonts w:ascii="Times New Roman" w:hAnsi="Times New Roman" w:cstheme="minorBidi"/>
          <w:noProof/>
          <w:color w:val="auto"/>
        </w:rPr>
        <w:t>pru, Irskem, v Italiji, Španiji, na Portugalskem, Madžarskem, v Sloveniji, Romuniji, Avstriji in Nemčiji, kjer se je prodaja nedonosnih posojil od leta 2017 znatno pospešila zaradi stalnega nadzornega pritiska in/ali nadaljnjega razvoja sekundarnih trgov n</w:t>
      </w:r>
      <w:r>
        <w:rPr>
          <w:rFonts w:ascii="Times New Roman" w:hAnsi="Times New Roman" w:cstheme="minorBidi"/>
          <w:noProof/>
          <w:color w:val="auto"/>
        </w:rPr>
        <w:t>edonosnih posojil.</w:t>
      </w:r>
    </w:p>
    <w:p w:rsidR="0059194F" w:rsidRDefault="00F458DE">
      <w:pPr>
        <w:pStyle w:val="Default"/>
        <w:spacing w:after="120"/>
        <w:jc w:val="both"/>
        <w:rPr>
          <w:rFonts w:ascii="Times New Roman" w:hAnsi="Times New Roman" w:cstheme="minorBidi"/>
          <w:noProof/>
          <w:color w:val="auto"/>
        </w:rPr>
      </w:pPr>
      <w:r>
        <w:rPr>
          <w:rFonts w:ascii="Times New Roman" w:hAnsi="Times New Roman" w:cstheme="minorBidi"/>
          <w:b/>
          <w:noProof/>
          <w:color w:val="auto"/>
        </w:rPr>
        <w:t>Poleg tega so se nadaljevali zakonodajni postopki za več ukrepov za zmanjšanje tveganja na ravni EU in nacionalni ravni, kar je privedlo do konkretnega napredka.</w:t>
      </w:r>
      <w:r>
        <w:rPr>
          <w:rFonts w:ascii="Times New Roman" w:hAnsi="Times New Roman" w:cstheme="minorBidi"/>
          <w:noProof/>
          <w:color w:val="auto"/>
        </w:rPr>
        <w:t xml:space="preserve"> Dogovor v zvezi s svežnjem za zmanjšanje tveganja, ki sta ga Svet in Parlam</w:t>
      </w:r>
      <w:r>
        <w:rPr>
          <w:rFonts w:ascii="Times New Roman" w:hAnsi="Times New Roman" w:cstheme="minorBidi"/>
          <w:noProof/>
          <w:color w:val="auto"/>
        </w:rPr>
        <w:t>ent dosegla decembra 2018, naj bi nadalje okrepil kapital bank in likvidnost, zlasti v morebitnih scenarijih reševanja, ter prispeval k zmanjšanju in delitvi tveganja v bančnem sektorju EU. To vključuje zagotavljanje celovitega izvajanja pravil EU za boj p</w:t>
      </w:r>
      <w:r>
        <w:rPr>
          <w:rFonts w:ascii="Times New Roman" w:hAnsi="Times New Roman" w:cstheme="minorBidi"/>
          <w:noProof/>
          <w:color w:val="auto"/>
        </w:rPr>
        <w:t>roti pranju denarja ter zagotavljanje ustreznega preprečevanja in upravljanja tveganj s strani bank.</w:t>
      </w:r>
    </w:p>
    <w:p w:rsidR="0059194F" w:rsidRDefault="00F458DE">
      <w:pPr>
        <w:rPr>
          <w:rFonts w:ascii="Times New Roman" w:hAnsi="Times New Roman"/>
          <w:noProof/>
          <w:sz w:val="24"/>
          <w:szCs w:val="24"/>
        </w:rPr>
      </w:pPr>
      <w:r>
        <w:rPr>
          <w:rFonts w:ascii="Times New Roman" w:hAnsi="Times New Roman"/>
          <w:b/>
          <w:noProof/>
          <w:sz w:val="24"/>
        </w:rPr>
        <w:t>Obremenitveni test, ki ga je leta 2018 izvedel Evropski bančni organ, je potrdil, da banke v EU postajajo odpornejše</w:t>
      </w:r>
      <w:r>
        <w:rPr>
          <w:rFonts w:ascii="Times New Roman" w:hAnsi="Times New Roman"/>
          <w:noProof/>
          <w:sz w:val="24"/>
        </w:rPr>
        <w:t>. Vendar način, kako vlagatelji dojemaj</w:t>
      </w:r>
      <w:r>
        <w:rPr>
          <w:rFonts w:ascii="Times New Roman" w:hAnsi="Times New Roman"/>
          <w:noProof/>
          <w:sz w:val="24"/>
        </w:rPr>
        <w:t xml:space="preserve">o rezultate testa, morda ne bo privedel do bistvenih sprememb glede tega, kako trg obravnava kapitalsko odpornost bank v EU, katerih cene delnic bodo leta 2019 morda še naprej bolj pod vplivom makroekonomskih temeljev. Donosnost bank je še vedno šibka ter </w:t>
      </w:r>
      <w:r>
        <w:rPr>
          <w:rFonts w:ascii="Times New Roman" w:hAnsi="Times New Roman"/>
          <w:noProof/>
          <w:sz w:val="24"/>
        </w:rPr>
        <w:t xml:space="preserve">pod vplivom visokega deleža nedonosnih posojil, neustreznih poslovnih modelov (v več primerih), prevelikega števila bank in nestanovitnosti finančnih trgov (ki se je ponovno pojavila od prve polovice leta 2018). </w:t>
      </w:r>
    </w:p>
    <w:p w:rsidR="0059194F" w:rsidRDefault="00F458DE">
      <w:pPr>
        <w:rPr>
          <w:rFonts w:ascii="Times New Roman" w:hAnsi="Times New Roman"/>
          <w:noProof/>
          <w:sz w:val="24"/>
          <w:szCs w:val="24"/>
        </w:rPr>
      </w:pPr>
      <w:r>
        <w:rPr>
          <w:rFonts w:ascii="Times New Roman" w:hAnsi="Times New Roman"/>
          <w:b/>
          <w:noProof/>
          <w:sz w:val="24"/>
        </w:rPr>
        <w:t>Ob napovedanih potrebah po prestrukturiranj</w:t>
      </w:r>
      <w:r>
        <w:rPr>
          <w:rFonts w:ascii="Times New Roman" w:hAnsi="Times New Roman"/>
          <w:b/>
          <w:noProof/>
          <w:sz w:val="24"/>
        </w:rPr>
        <w:t>u nekaterih velikih evropskih skupin se bo čezmejno bančništvo v EU morda spet pospešilo.</w:t>
      </w:r>
      <w:r>
        <w:rPr>
          <w:rFonts w:ascii="Times New Roman" w:hAnsi="Times New Roman"/>
          <w:noProof/>
          <w:sz w:val="24"/>
        </w:rPr>
        <w:t xml:space="preserve"> Nekatere vodilne bančne skupine v ključnih državah članicah spreminjajo svoje strategije za zmanjšanje tveganj v zvezi z donosnostjo. To bi lahko bankam omogočilo, da</w:t>
      </w:r>
      <w:r>
        <w:rPr>
          <w:rFonts w:ascii="Times New Roman" w:hAnsi="Times New Roman"/>
          <w:noProof/>
          <w:sz w:val="24"/>
        </w:rPr>
        <w:t xml:space="preserve"> ublažijo nekatera tveganja v zvezi z donosnostjo.</w:t>
      </w:r>
    </w:p>
    <w:p w:rsidR="0059194F" w:rsidRDefault="0059194F">
      <w:pPr>
        <w:pBdr>
          <w:top w:val="nil"/>
          <w:left w:val="nil"/>
          <w:bottom w:val="nil"/>
          <w:right w:val="nil"/>
          <w:between w:val="nil"/>
          <w:bar w:val="nil"/>
        </w:pBdr>
        <w:rPr>
          <w:rFonts w:ascii="Times New Roman" w:cs="Calibri"/>
          <w:noProof/>
          <w:color w:val="000000"/>
          <w:sz w:val="24"/>
          <w:szCs w:val="24"/>
          <w:u w:color="000000"/>
          <w:bdr w:val="nil"/>
        </w:rPr>
      </w:pPr>
    </w:p>
    <w:p w:rsidR="0059194F" w:rsidRDefault="00F458DE">
      <w:pPr>
        <w:rPr>
          <w:rFonts w:ascii="Times New Roman" w:hAnsi="Times New Roman"/>
          <w:b/>
          <w:i/>
          <w:noProof/>
          <w:sz w:val="24"/>
          <w:szCs w:val="24"/>
        </w:rPr>
      </w:pPr>
      <w:r>
        <w:rPr>
          <w:noProof/>
        </w:rPr>
        <w:br w:type="page"/>
      </w:r>
    </w:p>
    <w:p w:rsidR="0059194F" w:rsidRDefault="00F458DE">
      <w:pPr>
        <w:rPr>
          <w:rFonts w:ascii="Times New Roman" w:hAnsi="Times New Roman"/>
          <w:b/>
          <w:i/>
          <w:noProof/>
          <w:sz w:val="24"/>
          <w:szCs w:val="24"/>
        </w:rPr>
      </w:pPr>
      <w:r>
        <w:rPr>
          <w:rFonts w:ascii="Times New Roman" w:hAnsi="Times New Roman"/>
          <w:b/>
          <w:i/>
          <w:noProof/>
          <w:sz w:val="24"/>
        </w:rPr>
        <w:t>4.2 Trg dela, izobraževanje in socialne politike</w:t>
      </w:r>
    </w:p>
    <w:p w:rsidR="0059194F" w:rsidRDefault="00F458DE">
      <w:pPr>
        <w:rPr>
          <w:rFonts w:ascii="Times New Roman" w:hAnsi="Times New Roman"/>
          <w:noProof/>
          <w:sz w:val="24"/>
          <w:szCs w:val="24"/>
        </w:rPr>
      </w:pPr>
      <w:r>
        <w:rPr>
          <w:rFonts w:ascii="Times New Roman" w:hAnsi="Times New Roman"/>
          <w:b/>
          <w:noProof/>
          <w:sz w:val="24"/>
        </w:rPr>
        <w:t xml:space="preserve">Razmere v zvezi z zaposlenostjo se še naprej izboljšujejo. </w:t>
      </w:r>
      <w:r>
        <w:rPr>
          <w:rFonts w:ascii="Times New Roman" w:hAnsi="Times New Roman"/>
          <w:noProof/>
          <w:sz w:val="24"/>
        </w:rPr>
        <w:t>Število zaposlenih je v četrtem četrtletju leta 2018 doseglo rekordnih 240 milijonov ljudi. Pri 6,6 % se stopnja brezposelnosti ni samo znižala na raven pred krizo, temveč je tudi na zgodovinsko najnižji ravni, odkar so se leta 2000 začeli zbirati ustrezni</w:t>
      </w:r>
      <w:r>
        <w:rPr>
          <w:rFonts w:ascii="Times New Roman" w:hAnsi="Times New Roman"/>
          <w:noProof/>
          <w:sz w:val="24"/>
        </w:rPr>
        <w:t xml:space="preserve"> podatki. Po letih gospodarske rasti in ustvarjanja delovnih mest se socialne razmere še naprej izboljšujejo. Samo leta 2017 je več kot pet milijonov ljudi izšlo iz revščine in socialne izključenosti. </w:t>
      </w:r>
    </w:p>
    <w:p w:rsidR="0059194F" w:rsidRDefault="00F458DE">
      <w:pPr>
        <w:rPr>
          <w:rFonts w:ascii="Times New Roman" w:hAnsi="Times New Roman"/>
          <w:noProof/>
          <w:sz w:val="24"/>
          <w:szCs w:val="24"/>
        </w:rPr>
      </w:pPr>
      <w:r>
        <w:rPr>
          <w:rFonts w:ascii="Times New Roman" w:hAnsi="Times New Roman"/>
          <w:b/>
          <w:noProof/>
          <w:sz w:val="24"/>
        </w:rPr>
        <w:t>Vendar razmere kažejo na znatne razlike med državami č</w:t>
      </w:r>
      <w:r>
        <w:rPr>
          <w:rFonts w:ascii="Times New Roman" w:hAnsi="Times New Roman"/>
          <w:b/>
          <w:noProof/>
          <w:sz w:val="24"/>
        </w:rPr>
        <w:t>lanicami</w:t>
      </w:r>
      <w:r>
        <w:rPr>
          <w:rFonts w:ascii="Times New Roman" w:hAnsi="Times New Roman"/>
          <w:noProof/>
          <w:sz w:val="24"/>
        </w:rPr>
        <w:t xml:space="preserve">. V nekaterih državah članicah stopnje brezposelnosti še niso popolnoma okrevale in so še vedno nad 10 %. V teh državah je položaj mladih še naprej izziv, pri čemer visok delež mladih, ki niso zaposleni, se ne izobražujejo ali usposabljajo, vzbuja </w:t>
      </w:r>
      <w:r>
        <w:rPr>
          <w:rFonts w:ascii="Times New Roman" w:hAnsi="Times New Roman"/>
          <w:noProof/>
          <w:sz w:val="24"/>
        </w:rPr>
        <w:t>zaskrbljenost za njihovo sedanjo in prihodnjo zaposljivost. V drugih državah pa vedno bolj primanjkuje delovne sile, kar ustvarja ozko grlo za nadaljnjo rast. Na splošno kljub višjim stopnjam zaposlenosti žensk še vedno obstajajo razlike v stopnjah zaposle</w:t>
      </w:r>
      <w:r>
        <w:rPr>
          <w:rFonts w:ascii="Times New Roman" w:hAnsi="Times New Roman"/>
          <w:noProof/>
          <w:sz w:val="24"/>
        </w:rPr>
        <w:t xml:space="preserve">nosti po spolu, kar povzroča razlike v plačah. Težave pri iskanju zaposlitve imajo zlasti nizko usposobljene osebe in osebe z migrantskim ozadjem, prikrajšani pa so tudi invalidi. Poleg tega v številnih državah članicah obstajajo velike regionalne razlike </w:t>
      </w:r>
      <w:r>
        <w:rPr>
          <w:rFonts w:ascii="Times New Roman" w:hAnsi="Times New Roman"/>
          <w:noProof/>
          <w:sz w:val="24"/>
        </w:rPr>
        <w:t>v rezultatih na trgu dela.</w:t>
      </w:r>
    </w:p>
    <w:p w:rsidR="0059194F" w:rsidRDefault="00F458DE">
      <w:pPr>
        <w:rPr>
          <w:rFonts w:ascii="Times New Roman" w:hAnsi="Times New Roman"/>
          <w:i/>
          <w:noProof/>
          <w:sz w:val="24"/>
          <w:szCs w:val="24"/>
        </w:rPr>
      </w:pPr>
      <w:r>
        <w:rPr>
          <w:rFonts w:ascii="Times New Roman" w:hAnsi="Times New Roman"/>
          <w:b/>
          <w:noProof/>
          <w:sz w:val="24"/>
        </w:rPr>
        <w:t xml:space="preserve">Demografske spremembe in tehnološki razvoj preoblikujejo evropske trge dela. </w:t>
      </w:r>
      <w:r>
        <w:rPr>
          <w:rFonts w:ascii="Times New Roman" w:hAnsi="Times New Roman"/>
          <w:noProof/>
          <w:sz w:val="24"/>
        </w:rPr>
        <w:t>Ker se prebivalstvo stara in število mladih upada, je za države članice ključno, da povečajo število ljudi, ki so aktivni na trgu dela, zagotovijo velik</w:t>
      </w:r>
      <w:r>
        <w:rPr>
          <w:rFonts w:ascii="Times New Roman" w:hAnsi="Times New Roman"/>
          <w:noProof/>
          <w:sz w:val="24"/>
        </w:rPr>
        <w:t xml:space="preserve"> potencial rasti in zagotovijo, da so sistemi socialne varnosti ustrezno in trajnostno financirani.</w:t>
      </w:r>
      <w:r>
        <w:rPr>
          <w:noProof/>
        </w:rPr>
        <w:t xml:space="preserve"> </w:t>
      </w:r>
      <w:r>
        <w:rPr>
          <w:rFonts w:ascii="Times New Roman" w:hAnsi="Times New Roman"/>
          <w:noProof/>
          <w:sz w:val="24"/>
        </w:rPr>
        <w:t>Nekatere države članice izvajajo ukrepe na tem področju. Na Hrvaškem je na primer januarja 2019 začela veljati pokojninska reforma, katere cilj je spodbujat</w:t>
      </w:r>
      <w:r>
        <w:rPr>
          <w:rFonts w:ascii="Times New Roman" w:hAnsi="Times New Roman"/>
          <w:noProof/>
          <w:sz w:val="24"/>
        </w:rPr>
        <w:t>i daljše delovno življenje in odpraviti strukturne nedoslednosti v sistemu.</w:t>
      </w:r>
      <w:r>
        <w:rPr>
          <w:rFonts w:ascii="Times New Roman" w:hAnsi="Times New Roman"/>
          <w:i/>
          <w:noProof/>
          <w:sz w:val="24"/>
        </w:rPr>
        <w:t xml:space="preserve"> </w:t>
      </w:r>
      <w:r>
        <w:rPr>
          <w:rFonts w:ascii="Times New Roman" w:hAnsi="Times New Roman"/>
          <w:noProof/>
          <w:sz w:val="24"/>
        </w:rPr>
        <w:t>Glede na spremembe, ki jih digitalizacija in širjenje platform prinašata za prihodnost dela, je ključnega pomena, da države članice posodobijo trge dela in sisteme socialne zaščite</w:t>
      </w:r>
      <w:r>
        <w:rPr>
          <w:rFonts w:ascii="Times New Roman" w:hAnsi="Times New Roman"/>
          <w:noProof/>
          <w:sz w:val="24"/>
        </w:rPr>
        <w:t>, med drugim tudi tako, da zagotavljajo ustrezno kritje socialne zaščite za nestandardne delavce in samozaposlene v skladu z razvojem na tem področju.</w:t>
      </w:r>
    </w:p>
    <w:p w:rsidR="0059194F" w:rsidRDefault="00F458DE">
      <w:pPr>
        <w:rPr>
          <w:rFonts w:ascii="Times New Roman" w:hAnsi="Times New Roman"/>
          <w:noProof/>
          <w:sz w:val="24"/>
          <w:szCs w:val="24"/>
        </w:rPr>
      </w:pPr>
      <w:r>
        <w:rPr>
          <w:rFonts w:ascii="Times New Roman" w:hAnsi="Times New Roman"/>
          <w:b/>
          <w:noProof/>
          <w:sz w:val="24"/>
        </w:rPr>
        <w:t xml:space="preserve">Spodbujanje ustreznih znanj in spretnosti je ključnega pomena. </w:t>
      </w:r>
      <w:r>
        <w:rPr>
          <w:rFonts w:ascii="Times New Roman" w:hAnsi="Times New Roman"/>
          <w:noProof/>
          <w:sz w:val="24"/>
        </w:rPr>
        <w:t>Enak dostop do visokokakovostnega izobraže</w:t>
      </w:r>
      <w:r>
        <w:rPr>
          <w:rFonts w:ascii="Times New Roman" w:hAnsi="Times New Roman"/>
          <w:noProof/>
          <w:sz w:val="24"/>
        </w:rPr>
        <w:t>vanja je bistvenega pomena, da vsi odrasli v celoti sodelujejo v družbah in čim bolj izkoristijo delovno življenje. Ustrezna znanja in spretnosti lahko povečajo produktivnost in potencial rasti, kar je ključno za rast plač ter izboljšanje socialnih in živl</w:t>
      </w:r>
      <w:r>
        <w:rPr>
          <w:rFonts w:ascii="Times New Roman" w:hAnsi="Times New Roman"/>
          <w:noProof/>
          <w:sz w:val="24"/>
        </w:rPr>
        <w:t>jenjskih razmer. Zaradi vse večjega pomanjkanja znanj in spretnosti ter neskladij med ponudbo znanj in spretnosti ter povpraševanjem po njih je treba okrepiti in posodobiti sisteme izobraževanja in usposabljanja. Hkrati so politike preusposabljanja in izpo</w:t>
      </w:r>
      <w:r>
        <w:rPr>
          <w:rFonts w:ascii="Times New Roman" w:hAnsi="Times New Roman"/>
          <w:noProof/>
          <w:sz w:val="24"/>
        </w:rPr>
        <w:t>polnjevanja pomembne za povečanje odpornosti in prilagodljivosti delovne sile ter za zagotovitev, da imajo nizko usposobljene osebe in osebe z migrantskim ozadjem čim boljše možnosti za zaposlitev. Francija izvaja reforme, da bi sistem izobraževanja in usp</w:t>
      </w:r>
      <w:r>
        <w:rPr>
          <w:rFonts w:ascii="Times New Roman" w:hAnsi="Times New Roman"/>
          <w:noProof/>
          <w:sz w:val="24"/>
        </w:rPr>
        <w:t>osabljanja bolje uskladila s potrebami na trgu dela. Latvija sprejema ukrepe za izboljšanje kakovosti, privlačnosti in ustreznosti poklicnega izobraževanja in usposabljanja za trg dela. Na Portugalskem je bil s prerazporeditvijo sredstev iz Evropskega soci</w:t>
      </w:r>
      <w:r>
        <w:rPr>
          <w:rFonts w:ascii="Times New Roman" w:hAnsi="Times New Roman"/>
          <w:noProof/>
          <w:sz w:val="24"/>
        </w:rPr>
        <w:t>alnega sklada nedavno okrepljen program Qualificas, katerega cilj je obravnavati izziv nizko usposobljene delovne sile. Številne države članice (Nemčija, Avstrija, Švedska, Finska, Belgija) so sprejele ukrepe za potrjevanje, priznavanje in izboljšanje obst</w:t>
      </w:r>
      <w:r>
        <w:rPr>
          <w:rFonts w:ascii="Times New Roman" w:hAnsi="Times New Roman"/>
          <w:noProof/>
          <w:sz w:val="24"/>
        </w:rPr>
        <w:t>oječih znanj in spretnosti migrantov, da bi olajšale njihovo vključitev na trg dela.</w:t>
      </w:r>
    </w:p>
    <w:p w:rsidR="0059194F" w:rsidRDefault="00F458DE">
      <w:pPr>
        <w:rPr>
          <w:rFonts w:ascii="Times New Roman" w:hAnsi="Times New Roman"/>
          <w:b/>
          <w:noProof/>
          <w:sz w:val="24"/>
          <w:szCs w:val="24"/>
        </w:rPr>
      </w:pPr>
      <w:r>
        <w:rPr>
          <w:rFonts w:ascii="Times New Roman" w:hAnsi="Times New Roman"/>
          <w:b/>
          <w:noProof/>
          <w:sz w:val="24"/>
        </w:rPr>
        <w:t>Segmentacija trga dela je še vedno izziv.</w:t>
      </w:r>
      <w:r>
        <w:rPr>
          <w:rFonts w:ascii="Times New Roman" w:hAnsi="Times New Roman"/>
          <w:noProof/>
          <w:sz w:val="24"/>
        </w:rPr>
        <w:t xml:space="preserve"> Čeprav se delež zaposlenih za določen čas v zadnjih letih v povprečju ni bistveno povečal, so stopnje v nekaterih državah članica</w:t>
      </w:r>
      <w:r>
        <w:rPr>
          <w:rFonts w:ascii="Times New Roman" w:hAnsi="Times New Roman"/>
          <w:noProof/>
          <w:sz w:val="24"/>
        </w:rPr>
        <w:t xml:space="preserve">h vztrajno nad 15 %. V državah, kot so Španija, Slovenija, Poljska, Portugalska, Italija in Hrvaška, je več kot 60 % oseb, zaposlenih za določen čas, mladih. Več kot polovica zaposlenih s pogodbo za določen čas ne more najti stalne zaposlitve in medtem ko </w:t>
      </w:r>
      <w:r>
        <w:rPr>
          <w:rFonts w:ascii="Times New Roman" w:hAnsi="Times New Roman"/>
          <w:noProof/>
          <w:sz w:val="24"/>
        </w:rPr>
        <w:t xml:space="preserve">se je skupno število opravljenih delovnih ur šele nedavno vrnilo na ravni pred krizo, delež neprostovoljno zaposlenih za krajši delovni čas v nekaterih državah članicah še vedno presega 50 %. Več držav članic sprejema ukrepe za spodbujanje zaposlovanja za </w:t>
      </w:r>
      <w:r>
        <w:rPr>
          <w:rFonts w:ascii="Times New Roman" w:hAnsi="Times New Roman"/>
          <w:noProof/>
          <w:sz w:val="24"/>
        </w:rPr>
        <w:t xml:space="preserve">nedoločen čas z reformo izvrševanja delovnega prava, med drugim tudi z večjim številom uslužbencev v inšpektoratih za delo, ki bi se borili proti zlorabi začasnega dela, in spodbujanjem boljše zasnove subvencij za zaposlovanje. V Španiji je bila leta 2018 </w:t>
      </w:r>
      <w:r>
        <w:rPr>
          <w:rFonts w:ascii="Times New Roman" w:hAnsi="Times New Roman"/>
          <w:noProof/>
          <w:sz w:val="24"/>
        </w:rPr>
        <w:t>dodatno okrepljena zmogljivost inšpektoratov za delo za boj proti zlorabam pogodb za določen čas in delu na črno. Ciper je z ustanovitvijo enotne inšpekcijske službe sprejel pomembne ukrepe v podporo rednemu zaposlovanju. Nov irski zakon med drugim zahteva</w:t>
      </w:r>
      <w:r>
        <w:rPr>
          <w:rFonts w:ascii="Times New Roman" w:hAnsi="Times New Roman"/>
          <w:noProof/>
          <w:sz w:val="24"/>
        </w:rPr>
        <w:t>, da delodajalci zagotavljajo boljše informacije o naravi zaposlitve.</w:t>
      </w:r>
    </w:p>
    <w:p w:rsidR="0059194F" w:rsidRDefault="00F458DE">
      <w:pPr>
        <w:rPr>
          <w:rFonts w:ascii="Times New Roman" w:hAnsi="Times New Roman"/>
          <w:noProof/>
          <w:sz w:val="24"/>
          <w:szCs w:val="24"/>
        </w:rPr>
      </w:pPr>
      <w:r>
        <w:rPr>
          <w:rFonts w:ascii="Times New Roman" w:hAnsi="Times New Roman"/>
          <w:b/>
          <w:noProof/>
          <w:sz w:val="24"/>
        </w:rPr>
        <w:t>Rast plač je zmerna, vendar hitrejša kot v prejšnjih letih</w:t>
      </w:r>
      <w:r>
        <w:rPr>
          <w:rFonts w:ascii="Times New Roman" w:hAnsi="Times New Roman"/>
          <w:noProof/>
          <w:sz w:val="24"/>
        </w:rPr>
        <w:t>. Nominalna sredstva za zaposlene na zaposlenega so se leta 2018 povečala za 2,7 %. Rast plač se je po večletnem zaostajanju usk</w:t>
      </w:r>
      <w:r>
        <w:rPr>
          <w:rFonts w:ascii="Times New Roman" w:hAnsi="Times New Roman"/>
          <w:noProof/>
          <w:sz w:val="24"/>
        </w:rPr>
        <w:t xml:space="preserve">ladila z razvojem produktivnosti. </w:t>
      </w:r>
    </w:p>
    <w:p w:rsidR="0059194F" w:rsidRDefault="00F458DE">
      <w:pPr>
        <w:rPr>
          <w:rFonts w:ascii="Times New Roman" w:hAnsi="Times New Roman"/>
          <w:noProof/>
          <w:sz w:val="24"/>
          <w:szCs w:val="24"/>
        </w:rPr>
      </w:pPr>
      <w:r>
        <w:rPr>
          <w:rFonts w:ascii="Times New Roman" w:hAnsi="Times New Roman"/>
          <w:b/>
          <w:noProof/>
          <w:sz w:val="24"/>
        </w:rPr>
        <w:t>Revščina in dohodkovna neenakost sta se leta 2017 zmanjšali, vendar revščina zaposlenih ostaja razlog za zaskrbljenost.</w:t>
      </w:r>
      <w:r>
        <w:rPr>
          <w:rFonts w:ascii="Times New Roman" w:hAnsi="Times New Roman"/>
          <w:noProof/>
          <w:sz w:val="24"/>
        </w:rPr>
        <w:t xml:space="preserve"> Delež ljudi, ki jim grozi revščina ali socialna izključenost, se je leta 2017 zmanjšal na 22,4 % in j</w:t>
      </w:r>
      <w:r>
        <w:rPr>
          <w:rFonts w:ascii="Times New Roman" w:hAnsi="Times New Roman"/>
          <w:noProof/>
          <w:sz w:val="24"/>
        </w:rPr>
        <w:t>e zdaj pod ravnmi pred krizo, vendar je za nekatere skupine še vedno značilno višje tveganje revščine. Poleg tega je revščina zaposlenih še naprej razlog za zaskrbljenost ter je še zlasti visoka za samozaposlene, delavce za določen čas in s skrajšanim delo</w:t>
      </w:r>
      <w:r>
        <w:rPr>
          <w:rFonts w:ascii="Times New Roman" w:hAnsi="Times New Roman"/>
          <w:noProof/>
          <w:sz w:val="24"/>
        </w:rPr>
        <w:t>vnim časom ter delavce, ki niso rojeni v EU.</w:t>
      </w:r>
      <w:r>
        <w:rPr>
          <w:rFonts w:ascii="Times New Roman" w:hAnsi="Times New Roman"/>
          <w:b/>
          <w:noProof/>
          <w:sz w:val="24"/>
        </w:rPr>
        <w:t xml:space="preserve"> </w:t>
      </w:r>
      <w:r>
        <w:rPr>
          <w:rFonts w:ascii="Times New Roman" w:hAnsi="Times New Roman"/>
          <w:noProof/>
          <w:sz w:val="24"/>
        </w:rPr>
        <w:t>Sistem davkov in socialnih prejemkov ima pomembno prerazporeditveno vlogo. Pomembno je, da so ukrepi za podporo zaradi revščine osredotočeni na tiste, ki najbolj potrebujejo pomoč, na primer s povečanjem natančn</w:t>
      </w:r>
      <w:r>
        <w:rPr>
          <w:rFonts w:ascii="Times New Roman" w:hAnsi="Times New Roman"/>
          <w:noProof/>
          <w:sz w:val="24"/>
        </w:rPr>
        <w:t>osti instrumentov za oceno materialnega položaja. Luksemburg je prejšnjo shemo zajamčenega minimalnega dohodka nadomestil z novo dohodkovno shemo socialnega vključevanja, da bi spodbujal socialno vključenost in aktivacijo ter odpravil revščino otrok in eno</w:t>
      </w:r>
      <w:r>
        <w:rPr>
          <w:rFonts w:ascii="Times New Roman" w:hAnsi="Times New Roman"/>
          <w:noProof/>
          <w:sz w:val="24"/>
        </w:rPr>
        <w:t>starševskih družin. Italija je sprejela novo shemo minimalnega dohodka (</w:t>
      </w:r>
      <w:r>
        <w:rPr>
          <w:rFonts w:ascii="Times New Roman" w:hAnsi="Times New Roman"/>
          <w:i/>
          <w:noProof/>
          <w:sz w:val="24"/>
        </w:rPr>
        <w:t>Reddito di Cittadinanza</w:t>
      </w:r>
      <w:r>
        <w:rPr>
          <w:rFonts w:ascii="Times New Roman" w:hAnsi="Times New Roman"/>
          <w:noProof/>
          <w:sz w:val="24"/>
        </w:rPr>
        <w:t xml:space="preserve">), ki bo nadomestila prejšnjo, da bi razvila model aktivne vključenosti. Uspeh sheme je v veliki meri odvisen od učinkovitosti njenega upravljanja.  </w:t>
      </w:r>
    </w:p>
    <w:p w:rsidR="0059194F" w:rsidRDefault="00F458DE">
      <w:pPr>
        <w:rPr>
          <w:rFonts w:ascii="Times New Roman" w:hAnsi="Times New Roman"/>
          <w:b/>
          <w:i/>
          <w:noProof/>
          <w:sz w:val="24"/>
          <w:szCs w:val="24"/>
        </w:rPr>
      </w:pPr>
      <w:r>
        <w:rPr>
          <w:rFonts w:ascii="Times New Roman" w:hAnsi="Times New Roman"/>
          <w:b/>
          <w:noProof/>
          <w:sz w:val="24"/>
        </w:rPr>
        <w:t>Dobro deluj</w:t>
      </w:r>
      <w:r>
        <w:rPr>
          <w:rFonts w:ascii="Times New Roman" w:hAnsi="Times New Roman"/>
          <w:b/>
          <w:noProof/>
          <w:sz w:val="24"/>
        </w:rPr>
        <w:t>oč socialni dialog je ključnega pomena za izboljšanje zasnove in izvajanja reform ter povečanje prevzemanja odgovornosti.</w:t>
      </w:r>
      <w:r>
        <w:rPr>
          <w:rFonts w:ascii="Times New Roman" w:hAnsi="Times New Roman"/>
          <w:noProof/>
          <w:sz w:val="24"/>
        </w:rPr>
        <w:t xml:space="preserve"> V preteklem letu so socialni partnerji v številnih državah članicah poročali o pozitivnem razvoju glede smiselnega in pravočasnega sod</w:t>
      </w:r>
      <w:r>
        <w:rPr>
          <w:rFonts w:ascii="Times New Roman" w:hAnsi="Times New Roman"/>
          <w:noProof/>
          <w:sz w:val="24"/>
        </w:rPr>
        <w:t xml:space="preserve">elovanja vlade pri gospodarskih in socialnih reformah. Portugalska je na primer na podlagi tristranskega dogovora predložila sklop ukrepov za odpravo segmentacije trga dela, ki ga je treba zdaj uzakoniti. Pozitiven razvoj v nekaterih državah članicah je v </w:t>
      </w:r>
      <w:r>
        <w:rPr>
          <w:rFonts w:ascii="Times New Roman" w:hAnsi="Times New Roman"/>
          <w:noProof/>
          <w:sz w:val="24"/>
        </w:rPr>
        <w:t>nasprotju z nazadovanjem drugih. V številnih državah članicah obstajajo možnosti za izboljšanje zmogljivosti in pravočasnega sodelovanja socialnih partnerjev v ključnih fazah oblikovanja reformnih ukrepov, med drugim tudi ob pomembnih mejnikih evropskega s</w:t>
      </w:r>
      <w:r>
        <w:rPr>
          <w:rFonts w:ascii="Times New Roman" w:hAnsi="Times New Roman"/>
          <w:noProof/>
          <w:sz w:val="24"/>
        </w:rPr>
        <w:t xml:space="preserve">emestra. </w:t>
      </w:r>
    </w:p>
    <w:p w:rsidR="0059194F" w:rsidRDefault="00F458DE">
      <w:pPr>
        <w:keepNext/>
        <w:rPr>
          <w:rFonts w:ascii="Times New Roman" w:hAnsi="Times New Roman"/>
          <w:b/>
          <w:i/>
          <w:noProof/>
          <w:sz w:val="24"/>
          <w:szCs w:val="24"/>
        </w:rPr>
      </w:pPr>
      <w:r>
        <w:rPr>
          <w:rFonts w:ascii="Times New Roman" w:hAnsi="Times New Roman"/>
          <w:b/>
          <w:i/>
          <w:noProof/>
          <w:sz w:val="24"/>
        </w:rPr>
        <w:t xml:space="preserve">4.3 Konkurenčnost in produktivnost </w:t>
      </w:r>
    </w:p>
    <w:p w:rsidR="0059194F" w:rsidRDefault="00F458DE">
      <w:pPr>
        <w:keepNext/>
        <w:rPr>
          <w:rFonts w:ascii="Times New Roman" w:hAnsi="Times New Roman"/>
          <w:i/>
          <w:noProof/>
          <w:sz w:val="24"/>
          <w:szCs w:val="24"/>
        </w:rPr>
      </w:pPr>
      <w:r>
        <w:rPr>
          <w:rFonts w:ascii="Times New Roman" w:hAnsi="Times New Roman"/>
          <w:i/>
          <w:noProof/>
          <w:sz w:val="24"/>
        </w:rPr>
        <w:t>Odprava vrzeli v produktivnosti</w:t>
      </w:r>
    </w:p>
    <w:p w:rsidR="0059194F" w:rsidRDefault="00F458DE">
      <w:pPr>
        <w:rPr>
          <w:rFonts w:ascii="Times New Roman" w:hAnsi="Times New Roman"/>
          <w:noProof/>
          <w:sz w:val="24"/>
          <w:szCs w:val="24"/>
        </w:rPr>
      </w:pPr>
      <w:r>
        <w:rPr>
          <w:rFonts w:ascii="Times New Roman" w:hAnsi="Times New Roman"/>
          <w:b/>
          <w:noProof/>
          <w:sz w:val="24"/>
        </w:rPr>
        <w:t>Glede na demografske trende je rast produktivnosti ključna, da se v prihodnosti zagotovi trajnostna rast v vseh državah članicah.</w:t>
      </w:r>
      <w:r>
        <w:rPr>
          <w:rFonts w:ascii="Times New Roman" w:hAnsi="Times New Roman"/>
          <w:noProof/>
          <w:sz w:val="24"/>
        </w:rPr>
        <w:t xml:space="preserve"> Rast produktivnosti v EU je počasna. Razlogi so </w:t>
      </w:r>
      <w:r>
        <w:rPr>
          <w:rFonts w:ascii="Times New Roman" w:hAnsi="Times New Roman"/>
          <w:noProof/>
          <w:sz w:val="24"/>
        </w:rPr>
        <w:t>različni in vključujejo med drugim nizke naložbe v raziskave, tehnologijo in inovacije ter strukturni prehod s predelovalnih dejavnosti na storitve. Obravnavanje počasne produktivnosti dela je bistveno za reševanje kratko- in dolgoročnih gospodarskih izziv</w:t>
      </w:r>
      <w:r>
        <w:rPr>
          <w:rFonts w:ascii="Times New Roman" w:hAnsi="Times New Roman"/>
          <w:noProof/>
          <w:sz w:val="24"/>
        </w:rPr>
        <w:t>ov EU.</w:t>
      </w:r>
      <w:r>
        <w:rPr>
          <w:rFonts w:ascii="Times New Roman" w:hAnsi="Times New Roman"/>
          <w:b/>
          <w:noProof/>
          <w:sz w:val="24"/>
        </w:rPr>
        <w:t xml:space="preserve"> </w:t>
      </w:r>
      <w:r>
        <w:rPr>
          <w:rFonts w:ascii="Times New Roman" w:hAnsi="Times New Roman"/>
          <w:noProof/>
          <w:sz w:val="24"/>
        </w:rPr>
        <w:t>Rast produktivnosti dela bo v prihodnjih letih verjetno ostala na nizki ravni, in sicer približno pri 1 % ali manj, pri čemer so na tem področju med državami članicami vidne razlike. Zlasti zrela gospodarstva, katerih stopnje produktivnosti so že vi</w:t>
      </w:r>
      <w:r>
        <w:rPr>
          <w:rFonts w:ascii="Times New Roman" w:hAnsi="Times New Roman"/>
          <w:noProof/>
          <w:sz w:val="24"/>
        </w:rPr>
        <w:t xml:space="preserve">soke, težko povečajo svoj potencial rasti. Naložbe, ki povečujejo okoljsko trajnost, lahko povečajo produktivnost celotnega gospodarstva z učinkovitejšo rabo virov in nižjimi vhodnimi stroški, hkrati pa lahko zmanjšajo zunanje stroške in učinke. </w:t>
      </w:r>
    </w:p>
    <w:p w:rsidR="0059194F" w:rsidRDefault="00F458DE">
      <w:pPr>
        <w:rPr>
          <w:rFonts w:ascii="Times New Roman" w:hAnsi="Times New Roman"/>
          <w:noProof/>
          <w:sz w:val="24"/>
          <w:szCs w:val="24"/>
          <w:u w:val="single"/>
        </w:rPr>
      </w:pPr>
      <w:r>
        <w:rPr>
          <w:rFonts w:ascii="Times New Roman" w:hAnsi="Times New Roman"/>
          <w:b/>
          <w:noProof/>
          <w:sz w:val="24"/>
        </w:rPr>
        <w:t xml:space="preserve">Produktivnost v storitvenem sektorju (ki predstavlja največji del gospodarske aktivnosti) ostaja razmeroma nizka kljub na splošno izboljšani gospodarski uspešnosti. </w:t>
      </w:r>
      <w:r>
        <w:rPr>
          <w:rFonts w:ascii="Times New Roman" w:hAnsi="Times New Roman"/>
          <w:noProof/>
          <w:sz w:val="24"/>
        </w:rPr>
        <w:t xml:space="preserve">Medtem ko je bila upočasnitev produktivnosti značilna tudi za druga napredna gospodarstva, </w:t>
      </w:r>
      <w:r>
        <w:rPr>
          <w:rFonts w:ascii="Times New Roman" w:hAnsi="Times New Roman"/>
          <w:noProof/>
          <w:sz w:val="24"/>
        </w:rPr>
        <w:t xml:space="preserve">je vrzel v produktivnosti pri storitvah še vedno velika in se še povečuje, zlasti v primerjavi z ZDA. Tako so podjetja v EU v slabšem položaju v smislu trgovine na splošno in vključevanja v svetovne vrednostne verige. </w:t>
      </w:r>
      <w:r>
        <w:rPr>
          <w:rFonts w:ascii="Times New Roman" w:hAnsi="Times New Roman"/>
          <w:noProof/>
          <w:color w:val="000000"/>
          <w:sz w:val="24"/>
          <w:bdr w:val="nil"/>
        </w:rPr>
        <w:t>Da bi se analizirali dejavniki, ki spo</w:t>
      </w:r>
      <w:r>
        <w:rPr>
          <w:rFonts w:ascii="Times New Roman" w:hAnsi="Times New Roman"/>
          <w:noProof/>
          <w:color w:val="000000"/>
          <w:sz w:val="24"/>
          <w:bdr w:val="nil"/>
        </w:rPr>
        <w:t>dbujajo produktivnost, in podprl ustrezen odziv politike, je Svet državam članicam euroobmočja priporočil, naj vzpostavijo nacionalne odbore za produktivnost</w:t>
      </w:r>
      <w:r>
        <w:rPr>
          <w:rFonts w:ascii="Times New Roman" w:hAnsi="Times New Roman"/>
          <w:noProof/>
          <w:color w:val="000000"/>
          <w:sz w:val="24"/>
          <w:bdr w:val="nil"/>
          <w:vertAlign w:val="superscript"/>
        </w:rPr>
        <w:footnoteReference w:id="9"/>
      </w:r>
      <w:r>
        <w:rPr>
          <w:rFonts w:ascii="Times New Roman" w:hAnsi="Times New Roman"/>
          <w:noProof/>
          <w:color w:val="000000"/>
          <w:sz w:val="24"/>
          <w:bdr w:val="nil"/>
        </w:rPr>
        <w:t>.</w:t>
      </w:r>
    </w:p>
    <w:p w:rsidR="0059194F" w:rsidRDefault="00F458DE">
      <w:pPr>
        <w:rPr>
          <w:rFonts w:ascii="Times New Roman" w:hAnsi="Times New Roman"/>
          <w:noProof/>
          <w:sz w:val="24"/>
          <w:szCs w:val="24"/>
        </w:rPr>
      </w:pPr>
      <w:r>
        <w:rPr>
          <w:rFonts w:ascii="Times New Roman" w:hAnsi="Times New Roman"/>
          <w:b/>
          <w:noProof/>
          <w:sz w:val="24"/>
        </w:rPr>
        <w:t xml:space="preserve">Višja produktivnost dela bo omogočila višje plače in potencialno proizvodnjo, vendar to samo po </w:t>
      </w:r>
      <w:r>
        <w:rPr>
          <w:rFonts w:ascii="Times New Roman" w:hAnsi="Times New Roman"/>
          <w:b/>
          <w:noProof/>
          <w:sz w:val="24"/>
        </w:rPr>
        <w:t>sebi ne zadostuje za dosego teh ciljev.</w:t>
      </w:r>
      <w:r>
        <w:rPr>
          <w:noProof/>
          <w:sz w:val="24"/>
        </w:rPr>
        <w:t xml:space="preserve"> </w:t>
      </w:r>
      <w:r>
        <w:rPr>
          <w:rFonts w:ascii="Times New Roman" w:hAnsi="Times New Roman"/>
          <w:noProof/>
          <w:sz w:val="24"/>
        </w:rPr>
        <w:t>Čeprav obstajajo dokazi, da višja produktivnost srednje- in dolgoročno prispeva k višjim plačam, obstajajo tudi primeri, v katerih plače ne odražajo sprememb produktivnosti skozi čas. Zato države članice sprejemajo d</w:t>
      </w:r>
      <w:r>
        <w:rPr>
          <w:rFonts w:ascii="Times New Roman" w:hAnsi="Times New Roman"/>
          <w:noProof/>
          <w:sz w:val="24"/>
        </w:rPr>
        <w:t>odatne ukrepe, s katerimi bi se višja produktivnost dela odražala tudi v višjih plačah.</w:t>
      </w:r>
    </w:p>
    <w:p w:rsidR="0059194F" w:rsidRDefault="00F458DE">
      <w:pPr>
        <w:keepNext/>
        <w:rPr>
          <w:rFonts w:ascii="Times New Roman" w:hAnsi="Times New Roman"/>
          <w:i/>
          <w:noProof/>
          <w:sz w:val="24"/>
          <w:szCs w:val="24"/>
        </w:rPr>
      </w:pPr>
      <w:r>
        <w:rPr>
          <w:rFonts w:ascii="Times New Roman" w:hAnsi="Times New Roman"/>
          <w:i/>
          <w:noProof/>
          <w:sz w:val="24"/>
        </w:rPr>
        <w:t>Kakovostne naložbe in učinkovitejša poraba sredstev EU</w:t>
      </w:r>
    </w:p>
    <w:p w:rsidR="0059194F" w:rsidRDefault="00F458DE">
      <w:pPr>
        <w:pBdr>
          <w:top w:val="nil"/>
          <w:left w:val="nil"/>
          <w:bottom w:val="nil"/>
          <w:right w:val="nil"/>
          <w:between w:val="nil"/>
          <w:bar w:val="nil"/>
        </w:pBdr>
        <w:rPr>
          <w:rFonts w:ascii="Times New Roman" w:hAnsi="Times New Roman"/>
          <w:noProof/>
          <w:color w:val="000000"/>
          <w:sz w:val="24"/>
          <w:szCs w:val="24"/>
          <w:u w:color="000000"/>
          <w:bdr w:val="nil"/>
        </w:rPr>
      </w:pPr>
      <w:r>
        <w:rPr>
          <w:rFonts w:ascii="Times New Roman" w:hAnsi="Times New Roman"/>
          <w:b/>
          <w:noProof/>
          <w:color w:val="000000"/>
          <w:sz w:val="24"/>
          <w:u w:color="000000"/>
          <w:bdr w:val="nil"/>
        </w:rPr>
        <w:t xml:space="preserve">Dobro usmerjene naložbe so še vedno bistvene za obravnavanje izziva rasti produktivnosti v EU. </w:t>
      </w:r>
      <w:r>
        <w:rPr>
          <w:rFonts w:ascii="Times New Roman" w:hAnsi="Times New Roman"/>
          <w:noProof/>
          <w:color w:val="000000"/>
          <w:sz w:val="24"/>
          <w:u w:color="000000"/>
          <w:bdr w:val="nil"/>
        </w:rPr>
        <w:t>So eden od treh kl</w:t>
      </w:r>
      <w:r>
        <w:rPr>
          <w:rFonts w:ascii="Times New Roman" w:hAnsi="Times New Roman"/>
          <w:noProof/>
          <w:color w:val="000000"/>
          <w:sz w:val="24"/>
          <w:u w:color="000000"/>
          <w:bdr w:val="nil"/>
        </w:rPr>
        <w:t>jučnih elementov „tvornega trikotnika“, ki ga je predlagala Komisija. Zato je obravnavanje potreb po naložbah dolgoročna prednostna naloga evropskega semestra. V trenutni fazi poslovnega cikla bi se bilo treba osredotočiti na javne in zasebne naložbe, ki p</w:t>
      </w:r>
      <w:r>
        <w:rPr>
          <w:rFonts w:ascii="Times New Roman" w:hAnsi="Times New Roman"/>
          <w:noProof/>
          <w:color w:val="000000"/>
          <w:sz w:val="24"/>
          <w:u w:color="000000"/>
          <w:bdr w:val="nil"/>
        </w:rPr>
        <w:t xml:space="preserve">ovečujejo produktivnost in potencial rasti, hkrati pa bo pomembno tudi zaščititi naložbe v primeru uresničitve gospodarskih tveganj. Poleg tega lahko dolgoročne naložbe, med drugim tudi v znanja, spretnosti in izobraževanje, pomagajo zagotoviti trajnostno </w:t>
      </w:r>
      <w:r>
        <w:rPr>
          <w:rFonts w:ascii="Times New Roman" w:hAnsi="Times New Roman"/>
          <w:noProof/>
          <w:color w:val="000000"/>
          <w:sz w:val="24"/>
          <w:u w:color="000000"/>
          <w:bdr w:val="nil"/>
        </w:rPr>
        <w:t>rast in odpornost gospodarstva EU ter izpolniti nujne socialne potrebe.</w:t>
      </w:r>
    </w:p>
    <w:p w:rsidR="0059194F" w:rsidRDefault="00F458DE">
      <w:pPr>
        <w:pBdr>
          <w:top w:val="nil"/>
          <w:left w:val="nil"/>
          <w:bottom w:val="nil"/>
          <w:right w:val="nil"/>
          <w:between w:val="nil"/>
          <w:bar w:val="nil"/>
        </w:pBdr>
        <w:rPr>
          <w:rFonts w:ascii="Times New Roman" w:hAnsi="Times New Roman"/>
          <w:noProof/>
          <w:color w:val="000000"/>
          <w:sz w:val="24"/>
          <w:szCs w:val="24"/>
          <w:u w:color="000000"/>
          <w:bdr w:val="nil"/>
        </w:rPr>
      </w:pPr>
      <w:r>
        <w:rPr>
          <w:rFonts w:ascii="Times New Roman" w:hAnsi="Times New Roman"/>
          <w:b/>
          <w:noProof/>
          <w:color w:val="000000"/>
          <w:sz w:val="24"/>
          <w:u w:color="000000"/>
          <w:bdr w:val="nil"/>
        </w:rPr>
        <w:t xml:space="preserve">V večini držav članic so potrebne naložbe v raziskave, razvoj in inovacije, da bi se povečala njihova rast produktivnosti in konkurenčnost. </w:t>
      </w:r>
      <w:r>
        <w:rPr>
          <w:rFonts w:ascii="Times New Roman" w:hAnsi="Times New Roman"/>
          <w:noProof/>
          <w:color w:val="000000"/>
          <w:sz w:val="24"/>
          <w:u w:color="000000"/>
          <w:bdr w:val="nil"/>
        </w:rPr>
        <w:t>V številnih državah članicah in regijah obst</w:t>
      </w:r>
      <w:r>
        <w:rPr>
          <w:rFonts w:ascii="Times New Roman" w:hAnsi="Times New Roman"/>
          <w:noProof/>
          <w:color w:val="000000"/>
          <w:sz w:val="24"/>
          <w:u w:color="000000"/>
          <w:bdr w:val="nil"/>
        </w:rPr>
        <w:t>aja veliko možnosti za okrepitev povezav med podjetji, akademskimi krogi, raziskovalnimi ustanovami in akterji iz javnega sektorja s sodelovanjem v vrednostnih verigah, med drugim tudi s pametno specializacijo. To velja na primer za Belgijo, Bolgarijo, Fra</w:t>
      </w:r>
      <w:r>
        <w:rPr>
          <w:rFonts w:ascii="Times New Roman" w:hAnsi="Times New Roman"/>
          <w:noProof/>
          <w:color w:val="000000"/>
          <w:sz w:val="24"/>
          <w:u w:color="000000"/>
          <w:bdr w:val="nil"/>
        </w:rPr>
        <w:t>ncijo, Ciper, Poljsko, Latvijo in Estonijo. Poleg tega so nadaljnje naložbe v digitalizacijo podjetij in digitalne javne storitve potrebne v Belgiji, na Cipru, v Avstriji, Sloveniji, Španiji, na Slovaškem, Poljskem, v Estoniji, Nemčiji in Bolgariji. Države</w:t>
      </w:r>
      <w:r>
        <w:rPr>
          <w:rFonts w:ascii="Times New Roman" w:hAnsi="Times New Roman"/>
          <w:noProof/>
          <w:color w:val="000000"/>
          <w:sz w:val="24"/>
          <w:u w:color="000000"/>
          <w:bdr w:val="nil"/>
        </w:rPr>
        <w:t xml:space="preserve"> članice z višjimi stopnjami produktivnosti, kot sta Nemčija in Nizozemska, in druge, v katerih je pred krizo in med okrevanjem prišlo do velikih strukturnih sprememb ob visokih stopnjah naložb, kot so Madžarska, Poljska in Češka, lahko dodatno napredujejo</w:t>
      </w:r>
      <w:r>
        <w:rPr>
          <w:rFonts w:ascii="Times New Roman" w:hAnsi="Times New Roman"/>
          <w:noProof/>
          <w:color w:val="000000"/>
          <w:sz w:val="24"/>
          <w:u w:color="000000"/>
          <w:bdr w:val="nil"/>
        </w:rPr>
        <w:t xml:space="preserve"> z vlaganjem v neopredmetena sredstva in inovacije. V državah članicah, ki so v zaostanku, lahko naložbe v stroje in opremo prispevajo k povečanju kapitala in produktivnosti dela. V Estoniji, Luksemburgu, na Slovaškem, Portugalskem, v Bolgariji, na Nizozem</w:t>
      </w:r>
      <w:r>
        <w:rPr>
          <w:rFonts w:ascii="Times New Roman" w:hAnsi="Times New Roman"/>
          <w:noProof/>
          <w:color w:val="000000"/>
          <w:sz w:val="24"/>
          <w:u w:color="000000"/>
          <w:bdr w:val="nil"/>
        </w:rPr>
        <w:t>skem, v Italiji, na Cipru in v Franciji so potrebne naložbe v zvezi z učinkovito rabo virov in preprečevanjem podnebnih tveganj, da bi se te države odzvale na izzive v zvezi s krožnim gospodarstvom in prilagajanjem podnebnim spremembam.</w:t>
      </w:r>
    </w:p>
    <w:p w:rsidR="0059194F" w:rsidRDefault="00F458DE">
      <w:pPr>
        <w:rPr>
          <w:rFonts w:ascii="Times New Roman" w:hAnsi="Times New Roman"/>
          <w:noProof/>
          <w:sz w:val="24"/>
          <w:szCs w:val="24"/>
        </w:rPr>
      </w:pPr>
      <w:r>
        <w:rPr>
          <w:rFonts w:ascii="Times New Roman" w:hAnsi="Times New Roman"/>
          <w:b/>
          <w:noProof/>
          <w:sz w:val="24"/>
        </w:rPr>
        <w:t>Z boljšo uskladitvi</w:t>
      </w:r>
      <w:r>
        <w:rPr>
          <w:rFonts w:ascii="Times New Roman" w:hAnsi="Times New Roman"/>
          <w:b/>
          <w:noProof/>
          <w:sz w:val="24"/>
        </w:rPr>
        <w:t xml:space="preserve">jo sredstev EU z analizo in priporočili v okviru evropskega semestra bi se morali izboljšati rezultati in povečati učinki financiranja kohezijske politike. </w:t>
      </w:r>
      <w:r>
        <w:rPr>
          <w:rFonts w:ascii="Times New Roman" w:hAnsi="Times New Roman"/>
          <w:noProof/>
          <w:sz w:val="24"/>
        </w:rPr>
        <w:t>Uskladitev sredstev EU z evropskim semestrom je ključni element predlogov o večletnem finančnem okvi</w:t>
      </w:r>
      <w:r>
        <w:rPr>
          <w:rFonts w:ascii="Times New Roman" w:hAnsi="Times New Roman"/>
          <w:noProof/>
          <w:sz w:val="24"/>
        </w:rPr>
        <w:t>ru za obdobje 2021–2027. Za nekatere države članice sredstva EU celo predstavljajo pomemben del javnih naložb. Kot je navedeno v predlogih Komisije o večletnem finančnem okviru, bi Evropski sklad za regionalni razvoj, Evropski socialni sklad plus in Kohezi</w:t>
      </w:r>
      <w:r>
        <w:rPr>
          <w:rFonts w:ascii="Times New Roman" w:hAnsi="Times New Roman"/>
          <w:noProof/>
          <w:sz w:val="24"/>
        </w:rPr>
        <w:t>jski sklad v naslednjem programskem obdobju skupaj z nacionalnim sofinanciranjem zagotovili približno 600 milijard EUR (kar ustreza 0,5 % BDP EU), v glavnih državah članicah prejemnicah pa še veliko več. Poleg tega predlogi Komisije o večletnem finančnem o</w:t>
      </w:r>
      <w:r>
        <w:rPr>
          <w:rFonts w:ascii="Times New Roman" w:hAnsi="Times New Roman"/>
          <w:noProof/>
          <w:sz w:val="24"/>
        </w:rPr>
        <w:t>kviru omogočajo združevanje teh sredstev z drugimi viri financiranja EU, kot je prihodnji program InvestEU v vrednosti 650 milijard EUR, ki je naslednik Junckerjevega naložbenega načrta. To lahko pritegne druge javne in zasebne vlagatelje ter še bolj poveč</w:t>
      </w:r>
      <w:r>
        <w:rPr>
          <w:rFonts w:ascii="Times New Roman" w:hAnsi="Times New Roman"/>
          <w:noProof/>
          <w:sz w:val="24"/>
        </w:rPr>
        <w:t xml:space="preserve">a učinek naložb na strateških področjih gospodarstva EU.  </w:t>
      </w:r>
    </w:p>
    <w:p w:rsidR="0059194F" w:rsidRDefault="00F458DE">
      <w:pPr>
        <w:rPr>
          <w:rFonts w:ascii="Times New Roman" w:hAnsi="Times New Roman"/>
          <w:noProof/>
          <w:sz w:val="24"/>
          <w:szCs w:val="24"/>
        </w:rPr>
      </w:pPr>
      <w:r>
        <w:rPr>
          <w:rFonts w:ascii="Times New Roman" w:hAnsi="Times New Roman"/>
          <w:b/>
          <w:noProof/>
          <w:sz w:val="24"/>
        </w:rPr>
        <w:t>Na podlagi analize v poročilih o državah je v novi prilogi opredeljeno, kako bi lahko ta sredstva EU bolje pomagala obravnavati posebne potrebe v državah članicah.</w:t>
      </w:r>
      <w:r>
        <w:rPr>
          <w:rFonts w:ascii="Times New Roman" w:hAnsi="Times New Roman"/>
          <w:noProof/>
          <w:sz w:val="24"/>
        </w:rPr>
        <w:t xml:space="preserve"> Poleg večjega poudarka na prednos</w:t>
      </w:r>
      <w:r>
        <w:rPr>
          <w:rFonts w:ascii="Times New Roman" w:hAnsi="Times New Roman"/>
          <w:noProof/>
          <w:sz w:val="24"/>
        </w:rPr>
        <w:t>tnih naložbah letošnja poročila o državah vključujejo tudi bolj razčlenjeno analizo regionalnih razlik in ozkih grl za naložbe. Posebna priloga prispeva k dialogu s posameznimi državami članicami o opredelitvi prednostnih nalog za financiranje v okviru pri</w:t>
      </w:r>
      <w:r>
        <w:rPr>
          <w:rFonts w:ascii="Times New Roman" w:hAnsi="Times New Roman"/>
          <w:noProof/>
          <w:sz w:val="24"/>
        </w:rPr>
        <w:t>hodnjih programov, s katerimi se izvršujejo ta sredstva. V poročilih o državah so predstavljena stališča Komisije na podlagi analize v okviru semestra. To je izhodišče za pogajanja z državami članicami o programih in omogoča prožnost v razpravah z njimi. O</w:t>
      </w:r>
      <w:r>
        <w:rPr>
          <w:rFonts w:ascii="Times New Roman" w:hAnsi="Times New Roman"/>
          <w:noProof/>
          <w:sz w:val="24"/>
        </w:rPr>
        <w:t>predelitev potreb po naložbah temelji na skupnem razumevanju, da bi morale naložbe čim bolj vplivati na ekonomsko, socialno in teritorialno kohezijo.</w:t>
      </w:r>
    </w:p>
    <w:p w:rsidR="0059194F" w:rsidRDefault="00F458DE">
      <w:pPr>
        <w:rPr>
          <w:b/>
          <w:i/>
          <w:noProof/>
          <w:color w:val="1F497D"/>
        </w:rPr>
      </w:pPr>
      <w:r>
        <w:rPr>
          <w:rFonts w:ascii="Times New Roman" w:hAnsi="Times New Roman"/>
          <w:b/>
          <w:noProof/>
          <w:sz w:val="24"/>
        </w:rPr>
        <w:t>Zasebne naložbe, ki izvirajo z dobro delujočih in povezanih kapitalskih trgov, je treba bolje izkoristiti.</w:t>
      </w:r>
      <w:r>
        <w:rPr>
          <w:rFonts w:ascii="Times New Roman" w:hAnsi="Times New Roman"/>
          <w:noProof/>
          <w:sz w:val="24"/>
        </w:rPr>
        <w:t xml:space="preserve"> Medtem ko EU zaključuje izvajanje svojega akcijskega načrta o oblikovanju unije kapitalskih trgov, bi bilo treba še naprej razvijati raznovrstnost kapitalskih trgov, tj. od globalnih vozlišč do regionalno povezanih mrež in lokalnih pobud, da bi se lahko f</w:t>
      </w:r>
      <w:r>
        <w:rPr>
          <w:rFonts w:ascii="Times New Roman" w:hAnsi="Times New Roman"/>
          <w:noProof/>
          <w:sz w:val="24"/>
        </w:rPr>
        <w:t>inancirala podjetja ter spodbujala razogljičenje in prehod na bolj trajnostno gospodarstvo. Na nacionalni ravni na primer Estonija, Latvija in Litva vzpostavljajo trg za krite obveznice in listinjenje za celotno baltsko regijo. To bo prispevalo k dobro del</w:t>
      </w:r>
      <w:r>
        <w:rPr>
          <w:rFonts w:ascii="Times New Roman" w:hAnsi="Times New Roman"/>
          <w:noProof/>
          <w:sz w:val="24"/>
        </w:rPr>
        <w:t>ujočim in globljim kapitalskim trgom v regiji ter bo zagotovilo tudi dolgoročne možnosti financiranja za banke, da bodo lahko sprostile svoje bilance stanja in okrepile posojanje.</w:t>
      </w:r>
    </w:p>
    <w:p w:rsidR="0059194F" w:rsidRDefault="00F458DE">
      <w:pPr>
        <w:rPr>
          <w:rFonts w:ascii="Times New Roman" w:hAnsi="Times New Roman"/>
          <w:i/>
          <w:noProof/>
          <w:sz w:val="24"/>
          <w:szCs w:val="24"/>
        </w:rPr>
      </w:pPr>
      <w:r>
        <w:rPr>
          <w:rFonts w:ascii="Times New Roman" w:hAnsi="Times New Roman"/>
          <w:i/>
          <w:noProof/>
          <w:sz w:val="24"/>
        </w:rPr>
        <w:t xml:space="preserve">Institucionalna kakovost kot ključni dejavnik za reformo </w:t>
      </w:r>
    </w:p>
    <w:p w:rsidR="0059194F" w:rsidRDefault="00F458DE">
      <w:pPr>
        <w:pBdr>
          <w:top w:val="nil"/>
          <w:left w:val="nil"/>
          <w:bottom w:val="nil"/>
          <w:right w:val="nil"/>
          <w:between w:val="nil"/>
          <w:bar w:val="nil"/>
        </w:pBdr>
        <w:rPr>
          <w:rFonts w:ascii="Times New Roman" w:hAnsi="Times New Roman"/>
          <w:bCs/>
          <w:noProof/>
          <w:sz w:val="24"/>
          <w:szCs w:val="24"/>
        </w:rPr>
      </w:pPr>
      <w:r>
        <w:rPr>
          <w:rFonts w:ascii="Times New Roman" w:hAnsi="Times New Roman"/>
          <w:b/>
          <w:noProof/>
          <w:color w:val="000000"/>
          <w:sz w:val="24"/>
          <w:u w:color="000000"/>
          <w:bdr w:val="nil"/>
        </w:rPr>
        <w:t xml:space="preserve">Izpolnitev potreb </w:t>
      </w:r>
      <w:r>
        <w:rPr>
          <w:rFonts w:ascii="Times New Roman" w:hAnsi="Times New Roman"/>
          <w:b/>
          <w:noProof/>
          <w:color w:val="000000"/>
          <w:sz w:val="24"/>
          <w:u w:color="000000"/>
          <w:bdr w:val="nil"/>
        </w:rPr>
        <w:t xml:space="preserve">po naložbah zahteva ugodno naložbeno okolje. </w:t>
      </w:r>
      <w:r>
        <w:rPr>
          <w:rFonts w:ascii="Times New Roman" w:hAnsi="Times New Roman"/>
          <w:noProof/>
          <w:color w:val="000000"/>
          <w:sz w:val="24"/>
          <w:u w:color="000000"/>
          <w:bdr w:val="nil"/>
        </w:rPr>
        <w:t>Oblikovalci politik morajo posebno pozornost nameniti ustvarjanju naložbam prijaznega okolja, izogibanju nepotrebnim tržnim in regulativnim oviram ter izboljšanju delovanja javnih institucij in uprav.</w:t>
      </w:r>
      <w:r>
        <w:rPr>
          <w:rFonts w:ascii="Times New Roman" w:hAnsi="Times New Roman"/>
          <w:noProof/>
          <w:sz w:val="24"/>
        </w:rPr>
        <w:t xml:space="preserve"> Vidiki, po</w:t>
      </w:r>
      <w:r>
        <w:rPr>
          <w:rFonts w:ascii="Times New Roman" w:hAnsi="Times New Roman"/>
          <w:noProof/>
          <w:sz w:val="24"/>
        </w:rPr>
        <w:t>vezani z učinkovitostjo javne uprave, stopnjo digitalizacije javnih storitev, kakovostjo in stabilnostjo regulativnega okolja, bojem proti korupciji in spoštovanjem pravne države, vključno z neodvisnostjo pravosodnih sistemov in bojem proti korupciji, lahk</w:t>
      </w:r>
      <w:r>
        <w:rPr>
          <w:rFonts w:ascii="Times New Roman" w:hAnsi="Times New Roman"/>
          <w:noProof/>
          <w:sz w:val="24"/>
        </w:rPr>
        <w:t>o pomembno vplivajo na odločitve o naložbah.</w:t>
      </w:r>
      <w:r>
        <w:rPr>
          <w:noProof/>
        </w:rPr>
        <w:t xml:space="preserve"> </w:t>
      </w:r>
      <w:r>
        <w:rPr>
          <w:rFonts w:ascii="Times New Roman" w:hAnsi="Times New Roman"/>
          <w:noProof/>
          <w:sz w:val="24"/>
        </w:rPr>
        <w:t>Leta 2019 je v smislu ravni zaznavanja korupcije približno polovica od 25 najuspešnejših držav na svetu držav članic EU, vendar še vedno obstajajo velike razlike</w:t>
      </w:r>
      <w:r>
        <w:rPr>
          <w:rStyle w:val="FootnoteReference"/>
          <w:rFonts w:ascii="Times New Roman" w:hAnsi="Times New Roman"/>
          <w:noProof/>
          <w:sz w:val="24"/>
        </w:rPr>
        <w:footnoteReference w:id="10"/>
      </w:r>
      <w:r>
        <w:rPr>
          <w:rFonts w:ascii="Times New Roman" w:hAnsi="Times New Roman"/>
          <w:noProof/>
          <w:sz w:val="24"/>
        </w:rPr>
        <w:t xml:space="preserve">, zaradi česar je treba okrepiti prizadevanja za </w:t>
      </w:r>
      <w:r>
        <w:rPr>
          <w:rFonts w:ascii="Times New Roman" w:hAnsi="Times New Roman"/>
          <w:noProof/>
          <w:sz w:val="24"/>
        </w:rPr>
        <w:t>preprečevanje korupcije, zaščito prijaviteljev nepravilnosti, da bi se izboljšalo odkrivanje, ter odpravo ovir za učinkovit pregon in sankcije. Za obravnavo teh izzivov so Italija, Slovaška in Latvija spremenile svoje programe za zaščito prijaviteljev nepr</w:t>
      </w:r>
      <w:r>
        <w:rPr>
          <w:rFonts w:ascii="Times New Roman" w:hAnsi="Times New Roman"/>
          <w:noProof/>
          <w:sz w:val="24"/>
        </w:rPr>
        <w:t xml:space="preserve">avilnosti, medtem ko Litva, Španija, Ciper in Grčija načrtujejo reforme na tem področju. </w:t>
      </w:r>
    </w:p>
    <w:p w:rsidR="0059194F" w:rsidRDefault="00F458DE">
      <w:pPr>
        <w:pBdr>
          <w:top w:val="nil"/>
          <w:left w:val="nil"/>
          <w:bottom w:val="nil"/>
          <w:right w:val="nil"/>
          <w:between w:val="nil"/>
          <w:bar w:val="nil"/>
        </w:pBdr>
        <w:rPr>
          <w:rFonts w:ascii="Times New Roman" w:hAnsi="Times New Roman"/>
          <w:bCs/>
          <w:noProof/>
          <w:sz w:val="24"/>
          <w:szCs w:val="24"/>
        </w:rPr>
      </w:pPr>
      <w:r>
        <w:rPr>
          <w:rFonts w:ascii="Times New Roman" w:hAnsi="Times New Roman"/>
          <w:b/>
          <w:noProof/>
          <w:sz w:val="24"/>
        </w:rPr>
        <w:t xml:space="preserve">Kot je navedeno v poročilih o državah za leto 2019, se vse države članice srečujejo z ovirami za naložbe na različnih področjih politike </w:t>
      </w:r>
      <w:r>
        <w:rPr>
          <w:rFonts w:ascii="Times New Roman" w:hAnsi="Times New Roman"/>
          <w:noProof/>
          <w:sz w:val="24"/>
        </w:rPr>
        <w:t>(glej Dodatek 4).</w:t>
      </w:r>
      <w:r>
        <w:rPr>
          <w:rFonts w:ascii="Times New Roman" w:hAnsi="Times New Roman"/>
          <w:b/>
          <w:noProof/>
          <w:sz w:val="24"/>
        </w:rPr>
        <w:t xml:space="preserve"> </w:t>
      </w:r>
      <w:r>
        <w:rPr>
          <w:rFonts w:ascii="Times New Roman" w:hAnsi="Times New Roman"/>
          <w:noProof/>
          <w:sz w:val="24"/>
        </w:rPr>
        <w:t xml:space="preserve">Na splošno </w:t>
      </w:r>
      <w:r>
        <w:rPr>
          <w:rFonts w:ascii="Times New Roman" w:hAnsi="Times New Roman"/>
          <w:noProof/>
          <w:sz w:val="24"/>
        </w:rPr>
        <w:t xml:space="preserve">so ovire za naložbe najpogosteje povezane s pomanjkljivostmi v javni upravi in poslovnem okolju. Primeri vključujejo veliko regulativno in upravno breme, pomanjkanje predvidljivosti v regulativnih okvirih, učinkovitost pravosodnih sistemov in neučinkovito </w:t>
      </w:r>
      <w:r>
        <w:rPr>
          <w:rFonts w:ascii="Times New Roman" w:hAnsi="Times New Roman"/>
          <w:noProof/>
          <w:sz w:val="24"/>
        </w:rPr>
        <w:t>javno upravo. Številne ovire so povezane tudi z zapletenimi in dolgotrajnimi postopki odobritve ter pomanjkanjem znanj in spretnosti zaradi pomanjkljivosti v sistemih izobraževanja in usposabljanja. Zaradi ovir pri ustanavljanju podjetij v maloprodajnem se</w:t>
      </w:r>
      <w:r>
        <w:rPr>
          <w:rFonts w:ascii="Times New Roman" w:hAnsi="Times New Roman"/>
          <w:noProof/>
          <w:sz w:val="24"/>
        </w:rPr>
        <w:t>ktorju je v slednjem prišlo do zamud pri čezmejnih naložbah. V več poročilih o državah je bilo pomanjkanje znanj in spretnosti navedeno kot ovira, ki preprečuje in zavira naložbe v sektorjih, ki jih poganjajo digitalizacija in nove tehnologije (npr. teleko</w:t>
      </w:r>
      <w:r>
        <w:rPr>
          <w:rFonts w:ascii="Times New Roman" w:hAnsi="Times New Roman"/>
          <w:noProof/>
          <w:sz w:val="24"/>
        </w:rPr>
        <w:t xml:space="preserve">munikacije, povezljivost ali krožno gospodarstvo), ter tudi v bolj tradicionalnih sektorjih, ki se soočajo z vedno večjim povpraševanjem (npr. gradbeništvo). </w:t>
      </w:r>
    </w:p>
    <w:p w:rsidR="0059194F" w:rsidRDefault="00F458DE">
      <w:pPr>
        <w:rPr>
          <w:rFonts w:ascii="Times New Roman" w:cs="Calibri"/>
          <w:noProof/>
          <w:color w:val="000000"/>
          <w:sz w:val="24"/>
          <w:szCs w:val="24"/>
          <w:u w:color="000000"/>
          <w:bdr w:val="nil"/>
        </w:rPr>
      </w:pPr>
      <w:r>
        <w:rPr>
          <w:rFonts w:ascii="Times New Roman"/>
          <w:b/>
          <w:noProof/>
          <w:color w:val="000000"/>
          <w:sz w:val="24"/>
          <w:u w:color="000000"/>
          <w:bdr w:val="nil"/>
        </w:rPr>
        <w:t>Reforme za izbolj</w:t>
      </w:r>
      <w:r>
        <w:rPr>
          <w:rFonts w:ascii="Times New Roman"/>
          <w:b/>
          <w:noProof/>
          <w:color w:val="000000"/>
          <w:sz w:val="24"/>
          <w:u w:color="000000"/>
          <w:bdr w:val="nil"/>
        </w:rPr>
        <w:t>š</w:t>
      </w:r>
      <w:r>
        <w:rPr>
          <w:rFonts w:ascii="Times New Roman"/>
          <w:b/>
          <w:noProof/>
          <w:color w:val="000000"/>
          <w:sz w:val="24"/>
          <w:u w:color="000000"/>
          <w:bdr w:val="nil"/>
        </w:rPr>
        <w:t xml:space="preserve">anje kakovosti upravljanja, institucij, </w:t>
      </w:r>
      <w:r>
        <w:rPr>
          <w:rFonts w:ascii="Times New Roman" w:hAnsi="Times New Roman"/>
          <w:b/>
          <w:noProof/>
          <w:color w:val="000000"/>
          <w:sz w:val="24"/>
          <w:bdr w:val="none" w:sz="0" w:space="0" w:color="auto" w:frame="1"/>
        </w:rPr>
        <w:t xml:space="preserve">učinkovitosti pravosodnih sistemov </w:t>
      </w:r>
      <w:r>
        <w:rPr>
          <w:rFonts w:ascii="Times New Roman"/>
          <w:b/>
          <w:noProof/>
          <w:color w:val="000000"/>
          <w:sz w:val="24"/>
          <w:u w:color="000000"/>
          <w:bdr w:val="nil"/>
        </w:rPr>
        <w:t xml:space="preserve">in </w:t>
      </w:r>
      <w:r>
        <w:rPr>
          <w:rFonts w:ascii="Times New Roman"/>
          <w:b/>
          <w:noProof/>
          <w:color w:val="000000"/>
          <w:sz w:val="24"/>
          <w:u w:color="000000"/>
          <w:bdr w:val="nil"/>
        </w:rPr>
        <w:t>javne uprave so podlaga za delovanje naprednih demokrati</w:t>
      </w:r>
      <w:r>
        <w:rPr>
          <w:rFonts w:ascii="Times New Roman"/>
          <w:b/>
          <w:noProof/>
          <w:color w:val="000000"/>
          <w:sz w:val="24"/>
          <w:u w:color="000000"/>
          <w:bdr w:val="nil"/>
        </w:rPr>
        <w:t>č</w:t>
      </w:r>
      <w:r>
        <w:rPr>
          <w:rFonts w:ascii="Times New Roman"/>
          <w:b/>
          <w:noProof/>
          <w:color w:val="000000"/>
          <w:sz w:val="24"/>
          <w:u w:color="000000"/>
          <w:bdr w:val="nil"/>
        </w:rPr>
        <w:t>nih dru</w:t>
      </w:r>
      <w:r>
        <w:rPr>
          <w:rFonts w:ascii="Times New Roman"/>
          <w:b/>
          <w:noProof/>
          <w:color w:val="000000"/>
          <w:sz w:val="24"/>
          <w:u w:color="000000"/>
          <w:bdr w:val="nil"/>
        </w:rPr>
        <w:t>ž</w:t>
      </w:r>
      <w:r>
        <w:rPr>
          <w:rFonts w:ascii="Times New Roman"/>
          <w:b/>
          <w:noProof/>
          <w:color w:val="000000"/>
          <w:sz w:val="24"/>
          <w:u w:color="000000"/>
          <w:bdr w:val="nil"/>
        </w:rPr>
        <w:t>b in imajo velik gospodarski pomen.</w:t>
      </w:r>
      <w:r>
        <w:rPr>
          <w:rFonts w:ascii="Times New Roman"/>
          <w:noProof/>
          <w:color w:val="000000"/>
          <w:sz w:val="24"/>
          <w:u w:color="000000"/>
          <w:bdr w:val="nil"/>
        </w:rPr>
        <w:t xml:space="preserve"> Take reforme lahko prispevajo k izbolj</w:t>
      </w:r>
      <w:r>
        <w:rPr>
          <w:rFonts w:ascii="Times New Roman"/>
          <w:noProof/>
          <w:color w:val="000000"/>
          <w:sz w:val="24"/>
          <w:u w:color="000000"/>
          <w:bdr w:val="nil"/>
        </w:rPr>
        <w:t>š</w:t>
      </w:r>
      <w:r>
        <w:rPr>
          <w:rFonts w:ascii="Times New Roman"/>
          <w:noProof/>
          <w:color w:val="000000"/>
          <w:sz w:val="24"/>
          <w:u w:color="000000"/>
          <w:bdr w:val="nil"/>
        </w:rPr>
        <w:t>anju okolja, v katerem delujejo podjetja in dele</w:t>
      </w:r>
      <w:r>
        <w:rPr>
          <w:rFonts w:ascii="Times New Roman"/>
          <w:noProof/>
          <w:color w:val="000000"/>
          <w:sz w:val="24"/>
          <w:u w:color="000000"/>
          <w:bdr w:val="nil"/>
        </w:rPr>
        <w:t>ž</w:t>
      </w:r>
      <w:r>
        <w:rPr>
          <w:rFonts w:ascii="Times New Roman"/>
          <w:noProof/>
          <w:color w:val="000000"/>
          <w:sz w:val="24"/>
          <w:u w:color="000000"/>
          <w:bdr w:val="nil"/>
        </w:rPr>
        <w:t>niki, ter spodbujajo poslovno dejavnost, zmanj</w:t>
      </w:r>
      <w:r>
        <w:rPr>
          <w:rFonts w:ascii="Times New Roman"/>
          <w:noProof/>
          <w:color w:val="000000"/>
          <w:sz w:val="24"/>
          <w:u w:color="000000"/>
          <w:bdr w:val="nil"/>
        </w:rPr>
        <w:t>š</w:t>
      </w:r>
      <w:r>
        <w:rPr>
          <w:rFonts w:ascii="Times New Roman"/>
          <w:noProof/>
          <w:color w:val="000000"/>
          <w:sz w:val="24"/>
          <w:u w:color="000000"/>
          <w:bdr w:val="nil"/>
        </w:rPr>
        <w:t>ujejo korupcijo in k</w:t>
      </w:r>
      <w:r>
        <w:rPr>
          <w:rFonts w:ascii="Times New Roman"/>
          <w:noProof/>
          <w:color w:val="000000"/>
          <w:sz w:val="24"/>
          <w:u w:color="000000"/>
          <w:bdr w:val="nil"/>
        </w:rPr>
        <w:t>repijo spo</w:t>
      </w:r>
      <w:r>
        <w:rPr>
          <w:rFonts w:ascii="Times New Roman"/>
          <w:noProof/>
          <w:color w:val="000000"/>
          <w:sz w:val="24"/>
          <w:u w:color="000000"/>
          <w:bdr w:val="nil"/>
        </w:rPr>
        <w:t>š</w:t>
      </w:r>
      <w:r>
        <w:rPr>
          <w:rFonts w:ascii="Times New Roman"/>
          <w:noProof/>
          <w:color w:val="000000"/>
          <w:sz w:val="24"/>
          <w:u w:color="000000"/>
          <w:bdr w:val="nil"/>
        </w:rPr>
        <w:t>tovanje pravne dr</w:t>
      </w:r>
      <w:r>
        <w:rPr>
          <w:rFonts w:ascii="Times New Roman"/>
          <w:noProof/>
          <w:color w:val="000000"/>
          <w:sz w:val="24"/>
          <w:u w:color="000000"/>
          <w:bdr w:val="nil"/>
        </w:rPr>
        <w:t>ž</w:t>
      </w:r>
      <w:r>
        <w:rPr>
          <w:rFonts w:ascii="Times New Roman"/>
          <w:noProof/>
          <w:color w:val="000000"/>
          <w:sz w:val="24"/>
          <w:u w:color="000000"/>
          <w:bdr w:val="nil"/>
        </w:rPr>
        <w:t>ave. Med najpogosteje navedenimi ovirami za nalo</w:t>
      </w:r>
      <w:r>
        <w:rPr>
          <w:rFonts w:ascii="Times New Roman"/>
          <w:noProof/>
          <w:color w:val="000000"/>
          <w:sz w:val="24"/>
          <w:u w:color="000000"/>
          <w:bdr w:val="nil"/>
        </w:rPr>
        <w:t>ž</w:t>
      </w:r>
      <w:r>
        <w:rPr>
          <w:rFonts w:ascii="Times New Roman"/>
          <w:noProof/>
          <w:color w:val="000000"/>
          <w:sz w:val="24"/>
          <w:u w:color="000000"/>
          <w:bdr w:val="nil"/>
        </w:rPr>
        <w:t>be v EU so neu</w:t>
      </w:r>
      <w:r>
        <w:rPr>
          <w:rFonts w:ascii="Times New Roman"/>
          <w:noProof/>
          <w:color w:val="000000"/>
          <w:sz w:val="24"/>
          <w:u w:color="000000"/>
          <w:bdr w:val="nil"/>
        </w:rPr>
        <w:t>č</w:t>
      </w:r>
      <w:r>
        <w:rPr>
          <w:rFonts w:ascii="Times New Roman"/>
          <w:noProof/>
          <w:color w:val="000000"/>
          <w:sz w:val="24"/>
          <w:u w:color="000000"/>
          <w:bdr w:val="nil"/>
        </w:rPr>
        <w:t>inkovitost javne uprave, neugodni pogoji za poslovanje ter veliko upravno in regulativno breme za posamezne sektorje. V nekaterih dr</w:t>
      </w:r>
      <w:r>
        <w:rPr>
          <w:rFonts w:ascii="Times New Roman"/>
          <w:noProof/>
          <w:color w:val="000000"/>
          <w:sz w:val="24"/>
          <w:u w:color="000000"/>
          <w:bdr w:val="nil"/>
        </w:rPr>
        <w:t>ž</w:t>
      </w:r>
      <w:r>
        <w:rPr>
          <w:rFonts w:ascii="Times New Roman"/>
          <w:noProof/>
          <w:color w:val="000000"/>
          <w:sz w:val="24"/>
          <w:u w:color="000000"/>
          <w:bdr w:val="nil"/>
        </w:rPr>
        <w:t xml:space="preserve">avah </w:t>
      </w:r>
      <w:r>
        <w:rPr>
          <w:rFonts w:ascii="Times New Roman"/>
          <w:noProof/>
          <w:color w:val="000000"/>
          <w:sz w:val="24"/>
          <w:u w:color="000000"/>
          <w:bdr w:val="nil"/>
        </w:rPr>
        <w:t>č</w:t>
      </w:r>
      <w:r>
        <w:rPr>
          <w:rFonts w:ascii="Times New Roman"/>
          <w:noProof/>
          <w:color w:val="000000"/>
          <w:sz w:val="24"/>
          <w:u w:color="000000"/>
          <w:bdr w:val="nil"/>
        </w:rPr>
        <w:t>lanicah nalo</w:t>
      </w:r>
      <w:r>
        <w:rPr>
          <w:rFonts w:ascii="Times New Roman"/>
          <w:noProof/>
          <w:color w:val="000000"/>
          <w:sz w:val="24"/>
          <w:u w:color="000000"/>
          <w:bdr w:val="nil"/>
        </w:rPr>
        <w:t>ž</w:t>
      </w:r>
      <w:r>
        <w:rPr>
          <w:rFonts w:ascii="Times New Roman"/>
          <w:noProof/>
          <w:color w:val="000000"/>
          <w:sz w:val="24"/>
          <w:u w:color="000000"/>
          <w:bdr w:val="nil"/>
        </w:rPr>
        <w:t>be zavirajo</w:t>
      </w:r>
      <w:r>
        <w:rPr>
          <w:rFonts w:ascii="Times New Roman"/>
          <w:noProof/>
          <w:color w:val="000000"/>
          <w:sz w:val="24"/>
          <w:u w:color="000000"/>
          <w:bdr w:val="nil"/>
        </w:rPr>
        <w:t xml:space="preserve"> tudi pomanjkanje preglednosti v javnem sektorju, zapleteni dav</w:t>
      </w:r>
      <w:r>
        <w:rPr>
          <w:rFonts w:ascii="Times New Roman"/>
          <w:noProof/>
          <w:color w:val="000000"/>
          <w:sz w:val="24"/>
          <w:u w:color="000000"/>
          <w:bdr w:val="nil"/>
        </w:rPr>
        <w:t>č</w:t>
      </w:r>
      <w:r>
        <w:rPr>
          <w:rFonts w:ascii="Times New Roman"/>
          <w:noProof/>
          <w:color w:val="000000"/>
          <w:sz w:val="24"/>
          <w:u w:color="000000"/>
          <w:bdr w:val="nil"/>
        </w:rPr>
        <w:t>ni sistemi, izkrivljeni proizvodni trgi ali trgi dela ter pomanjkljivosti v okvirih za raziskave in inovacije ter v institucijah. Poljska je v odgovor na tak</w:t>
      </w:r>
      <w:r>
        <w:rPr>
          <w:rFonts w:ascii="Times New Roman"/>
          <w:noProof/>
          <w:color w:val="000000"/>
          <w:sz w:val="24"/>
          <w:u w:color="000000"/>
          <w:bdr w:val="nil"/>
        </w:rPr>
        <w:t>š</w:t>
      </w:r>
      <w:r>
        <w:rPr>
          <w:rFonts w:ascii="Times New Roman"/>
          <w:noProof/>
          <w:color w:val="000000"/>
          <w:sz w:val="24"/>
          <w:u w:color="000000"/>
          <w:bdr w:val="nil"/>
        </w:rPr>
        <w:t>ne te</w:t>
      </w:r>
      <w:r>
        <w:rPr>
          <w:rFonts w:ascii="Times New Roman"/>
          <w:noProof/>
          <w:color w:val="000000"/>
          <w:sz w:val="24"/>
          <w:u w:color="000000"/>
          <w:bdr w:val="nil"/>
        </w:rPr>
        <w:t>ž</w:t>
      </w:r>
      <w:r>
        <w:rPr>
          <w:rFonts w:ascii="Times New Roman"/>
          <w:noProof/>
          <w:color w:val="000000"/>
          <w:sz w:val="24"/>
          <w:u w:color="000000"/>
          <w:bdr w:val="nil"/>
        </w:rPr>
        <w:t xml:space="preserve">ave sprejela </w:t>
      </w:r>
      <w:r>
        <w:rPr>
          <w:rFonts w:ascii="Times New Roman"/>
          <w:noProof/>
          <w:color w:val="000000"/>
          <w:sz w:val="24"/>
          <w:u w:color="000000"/>
          <w:bdr w:val="nil"/>
        </w:rPr>
        <w:t>„</w:t>
      </w:r>
      <w:r>
        <w:rPr>
          <w:rFonts w:ascii="Times New Roman"/>
          <w:noProof/>
          <w:color w:val="000000"/>
          <w:sz w:val="24"/>
          <w:u w:color="000000"/>
          <w:bdr w:val="nil"/>
        </w:rPr>
        <w:t>ustavo za podj</w:t>
      </w:r>
      <w:r>
        <w:rPr>
          <w:rFonts w:ascii="Times New Roman"/>
          <w:noProof/>
          <w:color w:val="000000"/>
          <w:sz w:val="24"/>
          <w:u w:color="000000"/>
          <w:bdr w:val="nil"/>
        </w:rPr>
        <w:t>etja</w:t>
      </w:r>
      <w:r>
        <w:rPr>
          <w:rFonts w:ascii="Times New Roman"/>
          <w:noProof/>
          <w:color w:val="000000"/>
          <w:sz w:val="24"/>
          <w:u w:color="000000"/>
          <w:bdr w:val="nil"/>
        </w:rPr>
        <w:t>“</w:t>
      </w:r>
      <w:r>
        <w:rPr>
          <w:rFonts w:ascii="Times New Roman"/>
          <w:noProof/>
          <w:color w:val="000000"/>
          <w:sz w:val="24"/>
          <w:u w:color="000000"/>
          <w:bdr w:val="nil"/>
        </w:rPr>
        <w:t>, ki je celovit sklop petih zakonov za izbolj</w:t>
      </w:r>
      <w:r>
        <w:rPr>
          <w:rFonts w:ascii="Times New Roman"/>
          <w:noProof/>
          <w:color w:val="000000"/>
          <w:sz w:val="24"/>
          <w:u w:color="000000"/>
          <w:bdr w:val="nil"/>
        </w:rPr>
        <w:t>š</w:t>
      </w:r>
      <w:r>
        <w:rPr>
          <w:rFonts w:ascii="Times New Roman"/>
          <w:noProof/>
          <w:color w:val="000000"/>
          <w:sz w:val="24"/>
          <w:u w:color="000000"/>
          <w:bdr w:val="nil"/>
        </w:rPr>
        <w:t>anje poslovnega okolja. Francija izvaja obse</w:t>
      </w:r>
      <w:r>
        <w:rPr>
          <w:rFonts w:ascii="Times New Roman"/>
          <w:noProof/>
          <w:color w:val="000000"/>
          <w:sz w:val="24"/>
          <w:u w:color="000000"/>
          <w:bdr w:val="nil"/>
        </w:rPr>
        <w:t>ž</w:t>
      </w:r>
      <w:r>
        <w:rPr>
          <w:rFonts w:ascii="Times New Roman"/>
          <w:noProof/>
          <w:color w:val="000000"/>
          <w:sz w:val="24"/>
          <w:u w:color="000000"/>
          <w:bdr w:val="nil"/>
        </w:rPr>
        <w:t>en program reform za izbolj</w:t>
      </w:r>
      <w:r>
        <w:rPr>
          <w:rFonts w:ascii="Times New Roman"/>
          <w:noProof/>
          <w:color w:val="000000"/>
          <w:sz w:val="24"/>
          <w:u w:color="000000"/>
          <w:bdr w:val="nil"/>
        </w:rPr>
        <w:t>š</w:t>
      </w:r>
      <w:r>
        <w:rPr>
          <w:rFonts w:ascii="Times New Roman"/>
          <w:noProof/>
          <w:color w:val="000000"/>
          <w:sz w:val="24"/>
          <w:u w:color="000000"/>
          <w:bdr w:val="nil"/>
        </w:rPr>
        <w:t>anje poslovnega okolja in konkuren</w:t>
      </w:r>
      <w:r>
        <w:rPr>
          <w:rFonts w:ascii="Times New Roman"/>
          <w:noProof/>
          <w:color w:val="000000"/>
          <w:sz w:val="24"/>
          <w:u w:color="000000"/>
          <w:bdr w:val="nil"/>
        </w:rPr>
        <w:t>č</w:t>
      </w:r>
      <w:r>
        <w:rPr>
          <w:rFonts w:ascii="Times New Roman"/>
          <w:noProof/>
          <w:color w:val="000000"/>
          <w:sz w:val="24"/>
          <w:u w:color="000000"/>
          <w:bdr w:val="nil"/>
        </w:rPr>
        <w:t>nosti francoskih podjetij. Ve</w:t>
      </w:r>
      <w:r>
        <w:rPr>
          <w:rFonts w:ascii="Times New Roman"/>
          <w:noProof/>
          <w:color w:val="000000"/>
          <w:sz w:val="24"/>
          <w:u w:color="000000"/>
          <w:bdr w:val="nil"/>
        </w:rPr>
        <w:t>č</w:t>
      </w:r>
      <w:r>
        <w:rPr>
          <w:rFonts w:ascii="Times New Roman"/>
          <w:noProof/>
          <w:color w:val="000000"/>
          <w:sz w:val="24"/>
          <w:u w:color="000000"/>
          <w:bdr w:val="nil"/>
        </w:rPr>
        <w:t xml:space="preserve"> dr</w:t>
      </w:r>
      <w:r>
        <w:rPr>
          <w:rFonts w:ascii="Times New Roman"/>
          <w:noProof/>
          <w:color w:val="000000"/>
          <w:sz w:val="24"/>
          <w:u w:color="000000"/>
          <w:bdr w:val="nil"/>
        </w:rPr>
        <w:t>ž</w:t>
      </w:r>
      <w:r>
        <w:rPr>
          <w:rFonts w:ascii="Times New Roman"/>
          <w:noProof/>
          <w:color w:val="000000"/>
          <w:sz w:val="24"/>
          <w:u w:color="000000"/>
          <w:bdr w:val="nil"/>
        </w:rPr>
        <w:t xml:space="preserve">av </w:t>
      </w:r>
      <w:r>
        <w:rPr>
          <w:rFonts w:ascii="Times New Roman"/>
          <w:noProof/>
          <w:color w:val="000000"/>
          <w:sz w:val="24"/>
          <w:u w:color="000000"/>
          <w:bdr w:val="nil"/>
        </w:rPr>
        <w:t>č</w:t>
      </w:r>
      <w:r>
        <w:rPr>
          <w:rFonts w:ascii="Times New Roman"/>
          <w:noProof/>
          <w:color w:val="000000"/>
          <w:sz w:val="24"/>
          <w:u w:color="000000"/>
          <w:bdr w:val="nil"/>
        </w:rPr>
        <w:t>lanic, kot sta Finska in Estonija, si prizadeva zmanj</w:t>
      </w:r>
      <w:r>
        <w:rPr>
          <w:rFonts w:ascii="Times New Roman"/>
          <w:noProof/>
          <w:color w:val="000000"/>
          <w:sz w:val="24"/>
          <w:u w:color="000000"/>
          <w:bdr w:val="nil"/>
        </w:rPr>
        <w:t>š</w:t>
      </w:r>
      <w:r>
        <w:rPr>
          <w:rFonts w:ascii="Times New Roman"/>
          <w:noProof/>
          <w:color w:val="000000"/>
          <w:sz w:val="24"/>
          <w:u w:color="000000"/>
          <w:bdr w:val="nil"/>
        </w:rPr>
        <w:t>ati u</w:t>
      </w:r>
      <w:r>
        <w:rPr>
          <w:rFonts w:ascii="Times New Roman"/>
          <w:noProof/>
          <w:color w:val="000000"/>
          <w:sz w:val="24"/>
          <w:u w:color="000000"/>
          <w:bdr w:val="nil"/>
        </w:rPr>
        <w:t>pravno breme. Bolgarija, Slova</w:t>
      </w:r>
      <w:r>
        <w:rPr>
          <w:rFonts w:ascii="Times New Roman"/>
          <w:noProof/>
          <w:color w:val="000000"/>
          <w:sz w:val="24"/>
          <w:u w:color="000000"/>
          <w:bdr w:val="nil"/>
        </w:rPr>
        <w:t>š</w:t>
      </w:r>
      <w:r>
        <w:rPr>
          <w:rFonts w:ascii="Times New Roman"/>
          <w:noProof/>
          <w:color w:val="000000"/>
          <w:sz w:val="24"/>
          <w:u w:color="000000"/>
          <w:bdr w:val="nil"/>
        </w:rPr>
        <w:t xml:space="preserve">ka, </w:t>
      </w:r>
      <w:r>
        <w:rPr>
          <w:rFonts w:ascii="Times New Roman"/>
          <w:noProof/>
          <w:color w:val="000000"/>
          <w:sz w:val="24"/>
          <w:u w:color="000000"/>
          <w:bdr w:val="nil"/>
        </w:rPr>
        <w:t>Č</w:t>
      </w:r>
      <w:r>
        <w:rPr>
          <w:rFonts w:ascii="Times New Roman"/>
          <w:noProof/>
          <w:color w:val="000000"/>
          <w:sz w:val="24"/>
          <w:u w:color="000000"/>
          <w:bdr w:val="nil"/>
        </w:rPr>
        <w:t>e</w:t>
      </w:r>
      <w:r>
        <w:rPr>
          <w:rFonts w:ascii="Times New Roman"/>
          <w:noProof/>
          <w:color w:val="000000"/>
          <w:sz w:val="24"/>
          <w:u w:color="000000"/>
          <w:bdr w:val="nil"/>
        </w:rPr>
        <w:t>š</w:t>
      </w:r>
      <w:r>
        <w:rPr>
          <w:rFonts w:ascii="Times New Roman"/>
          <w:noProof/>
          <w:color w:val="000000"/>
          <w:sz w:val="24"/>
          <w:u w:color="000000"/>
          <w:bdr w:val="nil"/>
        </w:rPr>
        <w:t>ka, Slovenija in Romunija trenutno reformirajo svoje sisteme javnih naro</w:t>
      </w:r>
      <w:r>
        <w:rPr>
          <w:rFonts w:ascii="Times New Roman"/>
          <w:noProof/>
          <w:color w:val="000000"/>
          <w:sz w:val="24"/>
          <w:u w:color="000000"/>
          <w:bdr w:val="nil"/>
        </w:rPr>
        <w:t>č</w:t>
      </w:r>
      <w:r>
        <w:rPr>
          <w:rFonts w:ascii="Times New Roman"/>
          <w:noProof/>
          <w:color w:val="000000"/>
          <w:sz w:val="24"/>
          <w:u w:color="000000"/>
          <w:bdr w:val="nil"/>
        </w:rPr>
        <w:t>il. Nem</w:t>
      </w:r>
      <w:r>
        <w:rPr>
          <w:rFonts w:ascii="Times New Roman"/>
          <w:noProof/>
          <w:color w:val="000000"/>
          <w:sz w:val="24"/>
          <w:u w:color="000000"/>
          <w:bdr w:val="nil"/>
        </w:rPr>
        <w:t>š</w:t>
      </w:r>
      <w:r>
        <w:rPr>
          <w:rFonts w:ascii="Times New Roman"/>
          <w:noProof/>
          <w:color w:val="000000"/>
          <w:sz w:val="24"/>
          <w:u w:color="000000"/>
          <w:bdr w:val="nil"/>
        </w:rPr>
        <w:t>ka zvezna vlada je leta 2018 naznanila, da bo ustanovila agencijo za spodbujanje prelomnih inovacij.</w:t>
      </w:r>
    </w:p>
    <w:p w:rsidR="0059194F" w:rsidRDefault="0059194F">
      <w:pPr>
        <w:rPr>
          <w:rFonts w:ascii="Times New Roman" w:cs="Calibri"/>
          <w:noProof/>
          <w:color w:val="000000"/>
          <w:sz w:val="24"/>
          <w:szCs w:val="24"/>
          <w:u w:color="000000"/>
          <w:bdr w:val="nil"/>
        </w:rPr>
      </w:pPr>
    </w:p>
    <w:p w:rsidR="0059194F" w:rsidRDefault="00F458DE">
      <w:pPr>
        <w:pBdr>
          <w:top w:val="single" w:sz="4" w:space="1" w:color="auto"/>
          <w:left w:val="single" w:sz="4" w:space="4" w:color="auto"/>
          <w:bottom w:val="single" w:sz="4" w:space="1" w:color="auto"/>
          <w:right w:val="single" w:sz="4" w:space="4" w:color="auto"/>
        </w:pBdr>
        <w:rPr>
          <w:rFonts w:ascii="Times New Roman" w:cs="Calibri"/>
          <w:b/>
          <w:noProof/>
          <w:color w:val="000000"/>
          <w:sz w:val="24"/>
          <w:szCs w:val="24"/>
          <w:u w:color="000000"/>
          <w:bdr w:val="nil"/>
        </w:rPr>
      </w:pPr>
      <w:r>
        <w:rPr>
          <w:rFonts w:ascii="Times New Roman"/>
          <w:b/>
          <w:noProof/>
          <w:color w:val="000000"/>
          <w:sz w:val="24"/>
          <w:u w:color="000000"/>
          <w:bdr w:val="nil"/>
        </w:rPr>
        <w:t>Sporazum o izstopu med EU in Zdru</w:t>
      </w:r>
      <w:r>
        <w:rPr>
          <w:rFonts w:ascii="Times New Roman"/>
          <w:b/>
          <w:noProof/>
          <w:color w:val="000000"/>
          <w:sz w:val="24"/>
          <w:u w:color="000000"/>
          <w:bdr w:val="nil"/>
        </w:rPr>
        <w:t>ž</w:t>
      </w:r>
      <w:r>
        <w:rPr>
          <w:rFonts w:ascii="Times New Roman"/>
          <w:b/>
          <w:noProof/>
          <w:color w:val="000000"/>
          <w:sz w:val="24"/>
          <w:u w:color="000000"/>
          <w:bdr w:val="nil"/>
        </w:rPr>
        <w:t>e</w:t>
      </w:r>
      <w:r>
        <w:rPr>
          <w:rFonts w:ascii="Times New Roman"/>
          <w:b/>
          <w:noProof/>
          <w:color w:val="000000"/>
          <w:sz w:val="24"/>
          <w:u w:color="000000"/>
          <w:bdr w:val="nil"/>
        </w:rPr>
        <w:t>nim kraljestvom</w:t>
      </w:r>
    </w:p>
    <w:p w:rsidR="0059194F" w:rsidRDefault="00F458DE">
      <w:pPr>
        <w:pBdr>
          <w:top w:val="single" w:sz="4" w:space="1" w:color="auto"/>
          <w:left w:val="single" w:sz="4" w:space="4" w:color="auto"/>
          <w:bottom w:val="single" w:sz="4" w:space="1" w:color="auto"/>
          <w:right w:val="single" w:sz="4" w:space="4" w:color="auto"/>
        </w:pBdr>
        <w:rPr>
          <w:rFonts w:ascii="Times New Roman" w:cs="Calibri"/>
          <w:i/>
          <w:noProof/>
          <w:color w:val="000000"/>
          <w:sz w:val="24"/>
          <w:szCs w:val="24"/>
          <w:u w:color="000000"/>
          <w:bdr w:val="nil"/>
        </w:rPr>
      </w:pPr>
      <w:r>
        <w:rPr>
          <w:rFonts w:ascii="Times New Roman"/>
          <w:i/>
          <w:noProof/>
          <w:color w:val="000000"/>
          <w:sz w:val="24"/>
          <w:u w:color="000000"/>
          <w:bdr w:val="nil"/>
        </w:rPr>
        <w:t>Ta sve</w:t>
      </w:r>
      <w:r>
        <w:rPr>
          <w:rFonts w:ascii="Times New Roman"/>
          <w:i/>
          <w:noProof/>
          <w:color w:val="000000"/>
          <w:sz w:val="24"/>
          <w:u w:color="000000"/>
          <w:bdr w:val="nil"/>
        </w:rPr>
        <w:t>ž</w:t>
      </w:r>
      <w:r>
        <w:rPr>
          <w:rFonts w:ascii="Times New Roman"/>
          <w:i/>
          <w:noProof/>
          <w:color w:val="000000"/>
          <w:sz w:val="24"/>
          <w:u w:color="000000"/>
          <w:bdr w:val="nil"/>
        </w:rPr>
        <w:t xml:space="preserve">enj ne </w:t>
      </w:r>
      <w:r>
        <w:rPr>
          <w:rFonts w:ascii="Times New Roman"/>
          <w:i/>
          <w:noProof/>
          <w:color w:val="000000"/>
          <w:sz w:val="24"/>
          <w:u w:color="000000"/>
          <w:bdr w:val="nil"/>
        </w:rPr>
        <w:t>š</w:t>
      </w:r>
      <w:r>
        <w:rPr>
          <w:rFonts w:ascii="Times New Roman"/>
          <w:i/>
          <w:noProof/>
          <w:color w:val="000000"/>
          <w:sz w:val="24"/>
          <w:u w:color="000000"/>
          <w:bdr w:val="nil"/>
        </w:rPr>
        <w:t>pekulira o gospodarskih tveganjih, povezanih z razli</w:t>
      </w:r>
      <w:r>
        <w:rPr>
          <w:rFonts w:ascii="Times New Roman"/>
          <w:i/>
          <w:noProof/>
          <w:color w:val="000000"/>
          <w:sz w:val="24"/>
          <w:u w:color="000000"/>
          <w:bdr w:val="nil"/>
        </w:rPr>
        <w:t>č</w:t>
      </w:r>
      <w:r>
        <w:rPr>
          <w:rFonts w:ascii="Times New Roman"/>
          <w:i/>
          <w:noProof/>
          <w:color w:val="000000"/>
          <w:sz w:val="24"/>
          <w:u w:color="000000"/>
          <w:bdr w:val="nil"/>
        </w:rPr>
        <w:t xml:space="preserve">nimi scenariji brexita. </w:t>
      </w:r>
    </w:p>
    <w:p w:rsidR="0059194F" w:rsidRDefault="00F458DE">
      <w:pPr>
        <w:pBdr>
          <w:top w:val="single" w:sz="4" w:space="1" w:color="auto"/>
          <w:left w:val="single" w:sz="4" w:space="4" w:color="auto"/>
          <w:bottom w:val="single" w:sz="4" w:space="1" w:color="auto"/>
          <w:right w:val="single" w:sz="4" w:space="4" w:color="auto"/>
        </w:pBdr>
        <w:rPr>
          <w:rFonts w:ascii="Times New Roman" w:cs="Calibri"/>
          <w:i/>
          <w:noProof/>
          <w:color w:val="000000"/>
          <w:sz w:val="24"/>
          <w:szCs w:val="24"/>
          <w:u w:color="000000"/>
          <w:bdr w:val="nil"/>
        </w:rPr>
      </w:pPr>
      <w:r>
        <w:rPr>
          <w:rFonts w:ascii="Times New Roman"/>
          <w:i/>
          <w:noProof/>
          <w:color w:val="000000"/>
          <w:sz w:val="24"/>
          <w:u w:color="000000"/>
          <w:bdr w:val="nil"/>
        </w:rPr>
        <w:t>Glede na trenutni postopek ratifikacije Sporazuma o izstopu s strani EU in Zdru</w:t>
      </w:r>
      <w:r>
        <w:rPr>
          <w:rFonts w:ascii="Times New Roman"/>
          <w:i/>
          <w:noProof/>
          <w:color w:val="000000"/>
          <w:sz w:val="24"/>
          <w:u w:color="000000"/>
          <w:bdr w:val="nil"/>
        </w:rPr>
        <w:t>ž</w:t>
      </w:r>
      <w:r>
        <w:rPr>
          <w:rFonts w:ascii="Times New Roman"/>
          <w:i/>
          <w:noProof/>
          <w:color w:val="000000"/>
          <w:sz w:val="24"/>
          <w:u w:color="000000"/>
          <w:bdr w:val="nil"/>
        </w:rPr>
        <w:t>enega kraljestva projekcije za leti 2019 in 2020 temeljijo na izklj</w:t>
      </w:r>
      <w:r>
        <w:rPr>
          <w:rFonts w:ascii="Times New Roman"/>
          <w:i/>
          <w:noProof/>
          <w:color w:val="000000"/>
          <w:sz w:val="24"/>
          <w:u w:color="000000"/>
          <w:bdr w:val="nil"/>
        </w:rPr>
        <w:t>u</w:t>
      </w:r>
      <w:r>
        <w:rPr>
          <w:rFonts w:ascii="Times New Roman"/>
          <w:i/>
          <w:noProof/>
          <w:color w:val="000000"/>
          <w:sz w:val="24"/>
          <w:u w:color="000000"/>
          <w:bdr w:val="nil"/>
        </w:rPr>
        <w:t>č</w:t>
      </w:r>
      <w:r>
        <w:rPr>
          <w:rFonts w:ascii="Times New Roman"/>
          <w:i/>
          <w:noProof/>
          <w:color w:val="000000"/>
          <w:sz w:val="24"/>
          <w:u w:color="000000"/>
          <w:bdr w:val="nil"/>
        </w:rPr>
        <w:t>no tehni</w:t>
      </w:r>
      <w:r>
        <w:rPr>
          <w:rFonts w:ascii="Times New Roman"/>
          <w:i/>
          <w:noProof/>
          <w:color w:val="000000"/>
          <w:sz w:val="24"/>
          <w:u w:color="000000"/>
          <w:bdr w:val="nil"/>
        </w:rPr>
        <w:t>č</w:t>
      </w:r>
      <w:r>
        <w:rPr>
          <w:rFonts w:ascii="Times New Roman"/>
          <w:i/>
          <w:noProof/>
          <w:color w:val="000000"/>
          <w:sz w:val="24"/>
          <w:u w:color="000000"/>
          <w:bdr w:val="nil"/>
        </w:rPr>
        <w:t>ni predpostavki nespremenjenega stanja trgovinskih odnosov med EU-27 in Zdru</w:t>
      </w:r>
      <w:r>
        <w:rPr>
          <w:rFonts w:ascii="Times New Roman"/>
          <w:i/>
          <w:noProof/>
          <w:color w:val="000000"/>
          <w:sz w:val="24"/>
          <w:u w:color="000000"/>
          <w:bdr w:val="nil"/>
        </w:rPr>
        <w:t>ž</w:t>
      </w:r>
      <w:r>
        <w:rPr>
          <w:rFonts w:ascii="Times New Roman"/>
          <w:i/>
          <w:noProof/>
          <w:color w:val="000000"/>
          <w:sz w:val="24"/>
          <w:u w:color="000000"/>
          <w:bdr w:val="nil"/>
        </w:rPr>
        <w:t xml:space="preserve">enim kraljestvom. V primeru </w:t>
      </w:r>
      <w:r>
        <w:rPr>
          <w:rFonts w:ascii="Times New Roman"/>
          <w:i/>
          <w:noProof/>
          <w:color w:val="000000"/>
          <w:sz w:val="24"/>
          <w:u w:color="000000"/>
          <w:bdr w:val="nil"/>
        </w:rPr>
        <w:t>„</w:t>
      </w:r>
      <w:r>
        <w:rPr>
          <w:rFonts w:ascii="Times New Roman"/>
          <w:i/>
          <w:noProof/>
          <w:color w:val="000000"/>
          <w:sz w:val="24"/>
          <w:u w:color="000000"/>
          <w:bdr w:val="nil"/>
        </w:rPr>
        <w:t>trdega brexita</w:t>
      </w:r>
      <w:r>
        <w:rPr>
          <w:rFonts w:ascii="Times New Roman"/>
          <w:i/>
          <w:noProof/>
          <w:color w:val="000000"/>
          <w:sz w:val="24"/>
          <w:u w:color="000000"/>
          <w:bdr w:val="nil"/>
        </w:rPr>
        <w:t>“</w:t>
      </w:r>
      <w:r>
        <w:rPr>
          <w:rFonts w:ascii="Times New Roman"/>
          <w:i/>
          <w:noProof/>
          <w:color w:val="000000"/>
          <w:sz w:val="24"/>
          <w:u w:color="000000"/>
          <w:bdr w:val="nil"/>
        </w:rPr>
        <w:t>, ki je po mnenju Komisije neza</w:t>
      </w:r>
      <w:r>
        <w:rPr>
          <w:rFonts w:ascii="Times New Roman"/>
          <w:i/>
          <w:noProof/>
          <w:color w:val="000000"/>
          <w:sz w:val="24"/>
          <w:u w:color="000000"/>
          <w:bdr w:val="nil"/>
        </w:rPr>
        <w:t>ž</w:t>
      </w:r>
      <w:r>
        <w:rPr>
          <w:rFonts w:ascii="Times New Roman"/>
          <w:i/>
          <w:noProof/>
          <w:color w:val="000000"/>
          <w:sz w:val="24"/>
          <w:u w:color="000000"/>
          <w:bdr w:val="nil"/>
        </w:rPr>
        <w:t>elen, vendar so dr</w:t>
      </w:r>
      <w:r>
        <w:rPr>
          <w:rFonts w:ascii="Times New Roman"/>
          <w:i/>
          <w:noProof/>
          <w:color w:val="000000"/>
          <w:sz w:val="24"/>
          <w:u w:color="000000"/>
          <w:bdr w:val="nil"/>
        </w:rPr>
        <w:t>ž</w:t>
      </w:r>
      <w:r>
        <w:rPr>
          <w:rFonts w:ascii="Times New Roman"/>
          <w:i/>
          <w:noProof/>
          <w:color w:val="000000"/>
          <w:sz w:val="24"/>
          <w:u w:color="000000"/>
          <w:bdr w:val="nil"/>
        </w:rPr>
        <w:t xml:space="preserve">ave </w:t>
      </w:r>
      <w:r>
        <w:rPr>
          <w:rFonts w:ascii="Times New Roman"/>
          <w:i/>
          <w:noProof/>
          <w:color w:val="000000"/>
          <w:sz w:val="24"/>
          <w:u w:color="000000"/>
          <w:bdr w:val="nil"/>
        </w:rPr>
        <w:t>č</w:t>
      </w:r>
      <w:r>
        <w:rPr>
          <w:rFonts w:ascii="Times New Roman"/>
          <w:i/>
          <w:noProof/>
          <w:color w:val="000000"/>
          <w:sz w:val="24"/>
          <w:u w:color="000000"/>
          <w:bdr w:val="nil"/>
        </w:rPr>
        <w:t>lanice EU-27 nanj dobro pripravljene</w:t>
      </w:r>
      <w:r>
        <w:rPr>
          <w:rStyle w:val="FootnoteReference"/>
          <w:rFonts w:ascii="Times New Roman"/>
          <w:i/>
          <w:noProof/>
          <w:color w:val="000000"/>
          <w:sz w:val="24"/>
          <w:u w:color="000000"/>
          <w:bdr w:val="nil"/>
        </w:rPr>
        <w:footnoteReference w:id="11"/>
      </w:r>
      <w:r>
        <w:rPr>
          <w:rFonts w:ascii="Times New Roman"/>
          <w:i/>
          <w:noProof/>
          <w:color w:val="000000"/>
          <w:sz w:val="24"/>
          <w:u w:color="000000"/>
          <w:bdr w:val="nil"/>
        </w:rPr>
        <w:t>, bi bilo treba te predpostavke</w:t>
      </w:r>
      <w:r>
        <w:rPr>
          <w:rFonts w:ascii="Times New Roman"/>
          <w:i/>
          <w:noProof/>
          <w:color w:val="000000"/>
          <w:sz w:val="24"/>
          <w:u w:color="000000"/>
          <w:bdr w:val="nil"/>
        </w:rPr>
        <w:t xml:space="preserve"> popraviti navzdol.</w:t>
      </w:r>
    </w:p>
    <w:p w:rsidR="0059194F" w:rsidRDefault="00F458DE">
      <w:pPr>
        <w:rPr>
          <w:rFonts w:ascii="Times New Roman" w:cs="Calibri"/>
          <w:noProof/>
          <w:color w:val="000000"/>
          <w:sz w:val="24"/>
          <w:szCs w:val="24"/>
          <w:u w:color="000000"/>
          <w:bdr w:val="nil"/>
        </w:rPr>
      </w:pPr>
      <w:r>
        <w:rPr>
          <w:noProof/>
        </w:rPr>
        <w:br w:type="page"/>
      </w:r>
    </w:p>
    <w:p w:rsidR="0059194F" w:rsidRDefault="00F458DE">
      <w:pPr>
        <w:pStyle w:val="Heading1"/>
        <w:rPr>
          <w:noProof/>
        </w:rPr>
      </w:pPr>
      <w:r>
        <w:rPr>
          <w:noProof/>
        </w:rPr>
        <w:t>Naslednji koraki</w:t>
      </w:r>
    </w:p>
    <w:p w:rsidR="0059194F" w:rsidRDefault="00F458DE">
      <w:pPr>
        <w:rPr>
          <w:rFonts w:ascii="Times New Roman" w:cs="Calibri"/>
          <w:b/>
          <w:noProof/>
          <w:color w:val="000000"/>
          <w:sz w:val="24"/>
          <w:szCs w:val="24"/>
          <w:u w:color="000000"/>
          <w:bdr w:val="nil"/>
        </w:rPr>
      </w:pPr>
      <w:r>
        <w:rPr>
          <w:rFonts w:ascii="Times New Roman"/>
          <w:b/>
          <w:noProof/>
          <w:color w:val="000000"/>
          <w:sz w:val="24"/>
          <w:u w:color="000000"/>
          <w:bdr w:val="nil"/>
        </w:rPr>
        <w:t>Evropska unija je v zadnjih letih pre</w:t>
      </w:r>
      <w:r>
        <w:rPr>
          <w:rFonts w:ascii="Times New Roman"/>
          <w:b/>
          <w:noProof/>
          <w:color w:val="000000"/>
          <w:sz w:val="24"/>
          <w:u w:color="000000"/>
          <w:bdr w:val="nil"/>
        </w:rPr>
        <w:t>š</w:t>
      </w:r>
      <w:r>
        <w:rPr>
          <w:rFonts w:ascii="Times New Roman"/>
          <w:b/>
          <w:noProof/>
          <w:color w:val="000000"/>
          <w:sz w:val="24"/>
          <w:u w:color="000000"/>
          <w:bdr w:val="nil"/>
        </w:rPr>
        <w:t xml:space="preserve">la z gospodarskega okrevanja na trdno rast, leta 2019 pa naj bi evropsko gospodarstvo </w:t>
      </w:r>
      <w:r>
        <w:rPr>
          <w:rFonts w:ascii="Times New Roman"/>
          <w:b/>
          <w:noProof/>
          <w:color w:val="000000"/>
          <w:sz w:val="24"/>
          <w:u w:color="000000"/>
          <w:bdr w:val="nil"/>
        </w:rPr>
        <w:t>š</w:t>
      </w:r>
      <w:r>
        <w:rPr>
          <w:rFonts w:ascii="Times New Roman"/>
          <w:b/>
          <w:noProof/>
          <w:color w:val="000000"/>
          <w:sz w:val="24"/>
          <w:u w:color="000000"/>
          <w:bdr w:val="nil"/>
        </w:rPr>
        <w:t xml:space="preserve">e naprej raslo kljub bolj negotovim napovedim. </w:t>
      </w:r>
      <w:r>
        <w:rPr>
          <w:rFonts w:ascii="Times New Roman"/>
          <w:noProof/>
          <w:color w:val="000000"/>
          <w:sz w:val="24"/>
          <w:u w:color="000000"/>
          <w:bdr w:val="nil"/>
        </w:rPr>
        <w:t xml:space="preserve">Za zagotovitev nadaljnje gospodarske rasti </w:t>
      </w:r>
      <w:r>
        <w:rPr>
          <w:rFonts w:ascii="Times New Roman"/>
          <w:noProof/>
          <w:color w:val="000000"/>
          <w:sz w:val="24"/>
          <w:u w:color="000000"/>
          <w:bdr w:val="nil"/>
        </w:rPr>
        <w:t>bodo morale dr</w:t>
      </w:r>
      <w:r>
        <w:rPr>
          <w:rFonts w:ascii="Times New Roman"/>
          <w:noProof/>
          <w:color w:val="000000"/>
          <w:sz w:val="24"/>
          <w:u w:color="000000"/>
          <w:bdr w:val="nil"/>
        </w:rPr>
        <w:t>ž</w:t>
      </w:r>
      <w:r>
        <w:rPr>
          <w:rFonts w:ascii="Times New Roman"/>
          <w:noProof/>
          <w:color w:val="000000"/>
          <w:sz w:val="24"/>
          <w:u w:color="000000"/>
          <w:bdr w:val="nil"/>
        </w:rPr>
        <w:t xml:space="preserve">ave </w:t>
      </w:r>
      <w:r>
        <w:rPr>
          <w:rFonts w:ascii="Times New Roman"/>
          <w:noProof/>
          <w:color w:val="000000"/>
          <w:sz w:val="24"/>
          <w:u w:color="000000"/>
          <w:bdr w:val="nil"/>
        </w:rPr>
        <w:t>č</w:t>
      </w:r>
      <w:r>
        <w:rPr>
          <w:rFonts w:ascii="Times New Roman"/>
          <w:noProof/>
          <w:color w:val="000000"/>
          <w:sz w:val="24"/>
          <w:u w:color="000000"/>
          <w:bdr w:val="nil"/>
        </w:rPr>
        <w:t>lanice uvesti u</w:t>
      </w:r>
      <w:r>
        <w:rPr>
          <w:rFonts w:ascii="Times New Roman"/>
          <w:noProof/>
          <w:color w:val="000000"/>
          <w:sz w:val="24"/>
          <w:u w:color="000000"/>
          <w:bdr w:val="nil"/>
        </w:rPr>
        <w:t>č</w:t>
      </w:r>
      <w:r>
        <w:rPr>
          <w:rFonts w:ascii="Times New Roman"/>
          <w:noProof/>
          <w:color w:val="000000"/>
          <w:sz w:val="24"/>
          <w:u w:color="000000"/>
          <w:bdr w:val="nil"/>
        </w:rPr>
        <w:t>inkovite strukturne reforme, izvajati odgovorne fiskalne politike in dolo</w:t>
      </w:r>
      <w:r>
        <w:rPr>
          <w:rFonts w:ascii="Times New Roman"/>
          <w:noProof/>
          <w:color w:val="000000"/>
          <w:sz w:val="24"/>
          <w:u w:color="000000"/>
          <w:bdr w:val="nil"/>
        </w:rPr>
        <w:t>č</w:t>
      </w:r>
      <w:r>
        <w:rPr>
          <w:rFonts w:ascii="Times New Roman"/>
          <w:noProof/>
          <w:color w:val="000000"/>
          <w:sz w:val="24"/>
          <w:u w:color="000000"/>
          <w:bdr w:val="nil"/>
        </w:rPr>
        <w:t>iti ciljne nalo</w:t>
      </w:r>
      <w:r>
        <w:rPr>
          <w:rFonts w:ascii="Times New Roman"/>
          <w:noProof/>
          <w:color w:val="000000"/>
          <w:sz w:val="24"/>
          <w:u w:color="000000"/>
          <w:bdr w:val="nil"/>
        </w:rPr>
        <w:t>ž</w:t>
      </w:r>
      <w:r>
        <w:rPr>
          <w:rFonts w:ascii="Times New Roman"/>
          <w:noProof/>
          <w:color w:val="000000"/>
          <w:sz w:val="24"/>
          <w:u w:color="000000"/>
          <w:bdr w:val="nil"/>
        </w:rPr>
        <w:t>bene strategije. U</w:t>
      </w:r>
      <w:r>
        <w:rPr>
          <w:rFonts w:ascii="Times New Roman"/>
          <w:noProof/>
          <w:color w:val="000000"/>
          <w:sz w:val="24"/>
          <w:u w:color="000000"/>
          <w:bdr w:val="nil"/>
        </w:rPr>
        <w:t>č</w:t>
      </w:r>
      <w:r>
        <w:rPr>
          <w:rFonts w:ascii="Times New Roman"/>
          <w:noProof/>
          <w:color w:val="000000"/>
          <w:sz w:val="24"/>
          <w:u w:color="000000"/>
          <w:bdr w:val="nil"/>
        </w:rPr>
        <w:t>inkovitej</w:t>
      </w:r>
      <w:r>
        <w:rPr>
          <w:rFonts w:ascii="Times New Roman"/>
          <w:noProof/>
          <w:color w:val="000000"/>
          <w:sz w:val="24"/>
          <w:u w:color="000000"/>
          <w:bdr w:val="nil"/>
        </w:rPr>
        <w:t>š</w:t>
      </w:r>
      <w:r>
        <w:rPr>
          <w:rFonts w:ascii="Times New Roman"/>
          <w:noProof/>
          <w:color w:val="000000"/>
          <w:sz w:val="24"/>
          <w:u w:color="000000"/>
          <w:bdr w:val="nil"/>
        </w:rPr>
        <w:t>a povezava med evropskim semestrom in financiranjem EU za obdobje 2021</w:t>
      </w:r>
      <w:r>
        <w:rPr>
          <w:rFonts w:ascii="Times New Roman"/>
          <w:noProof/>
          <w:color w:val="000000"/>
          <w:sz w:val="24"/>
          <w:u w:color="000000"/>
          <w:bdr w:val="nil"/>
        </w:rPr>
        <w:t>–</w:t>
      </w:r>
      <w:r>
        <w:rPr>
          <w:rFonts w:ascii="Times New Roman"/>
          <w:noProof/>
          <w:color w:val="000000"/>
          <w:sz w:val="24"/>
          <w:u w:color="000000"/>
          <w:bdr w:val="nil"/>
        </w:rPr>
        <w:t>2027, kot je bila predstavljen</w:t>
      </w:r>
      <w:r>
        <w:rPr>
          <w:rFonts w:ascii="Times New Roman"/>
          <w:noProof/>
          <w:color w:val="000000"/>
          <w:sz w:val="24"/>
          <w:u w:color="000000"/>
          <w:bdr w:val="nil"/>
        </w:rPr>
        <w:t>a v leto</w:t>
      </w:r>
      <w:r>
        <w:rPr>
          <w:rFonts w:ascii="Times New Roman"/>
          <w:noProof/>
          <w:color w:val="000000"/>
          <w:sz w:val="24"/>
          <w:u w:color="000000"/>
          <w:bdr w:val="nil"/>
        </w:rPr>
        <w:t>š</w:t>
      </w:r>
      <w:r>
        <w:rPr>
          <w:rFonts w:ascii="Times New Roman"/>
          <w:noProof/>
          <w:color w:val="000000"/>
          <w:sz w:val="24"/>
          <w:u w:color="000000"/>
          <w:bdr w:val="nil"/>
        </w:rPr>
        <w:t>njem semestrskem sve</w:t>
      </w:r>
      <w:r>
        <w:rPr>
          <w:rFonts w:ascii="Times New Roman"/>
          <w:noProof/>
          <w:color w:val="000000"/>
          <w:sz w:val="24"/>
          <w:u w:color="000000"/>
          <w:bdr w:val="nil"/>
        </w:rPr>
        <w:t>ž</w:t>
      </w:r>
      <w:r>
        <w:rPr>
          <w:rFonts w:ascii="Times New Roman"/>
          <w:noProof/>
          <w:color w:val="000000"/>
          <w:sz w:val="24"/>
          <w:u w:color="000000"/>
          <w:bdr w:val="nil"/>
        </w:rPr>
        <w:t>nju, bo omogo</w:t>
      </w:r>
      <w:r>
        <w:rPr>
          <w:rFonts w:ascii="Times New Roman"/>
          <w:noProof/>
          <w:color w:val="000000"/>
          <w:sz w:val="24"/>
          <w:u w:color="000000"/>
          <w:bdr w:val="nil"/>
        </w:rPr>
        <w:t>č</w:t>
      </w:r>
      <w:r>
        <w:rPr>
          <w:rFonts w:ascii="Times New Roman"/>
          <w:noProof/>
          <w:color w:val="000000"/>
          <w:sz w:val="24"/>
          <w:u w:color="000000"/>
          <w:bdr w:val="nil"/>
        </w:rPr>
        <w:t>ila potrebno strukturo za zagotovitev u</w:t>
      </w:r>
      <w:r>
        <w:rPr>
          <w:rFonts w:ascii="Times New Roman"/>
          <w:noProof/>
          <w:color w:val="000000"/>
          <w:sz w:val="24"/>
          <w:u w:color="000000"/>
          <w:bdr w:val="nil"/>
        </w:rPr>
        <w:t>č</w:t>
      </w:r>
      <w:r>
        <w:rPr>
          <w:rFonts w:ascii="Times New Roman"/>
          <w:noProof/>
          <w:color w:val="000000"/>
          <w:sz w:val="24"/>
          <w:u w:color="000000"/>
          <w:bdr w:val="nil"/>
        </w:rPr>
        <w:t>inkovitega izvajanja najbolj ciljno usmerjenih prednostnih nalo</w:t>
      </w:r>
      <w:r>
        <w:rPr>
          <w:rFonts w:ascii="Times New Roman"/>
          <w:noProof/>
          <w:color w:val="000000"/>
          <w:sz w:val="24"/>
          <w:u w:color="000000"/>
          <w:bdr w:val="nil"/>
        </w:rPr>
        <w:t>ž</w:t>
      </w:r>
      <w:r>
        <w:rPr>
          <w:rFonts w:ascii="Times New Roman"/>
          <w:noProof/>
          <w:color w:val="000000"/>
          <w:sz w:val="24"/>
          <w:u w:color="000000"/>
          <w:bdr w:val="nil"/>
        </w:rPr>
        <w:t xml:space="preserve">b. </w:t>
      </w:r>
    </w:p>
    <w:p w:rsidR="0059194F" w:rsidRDefault="00F458DE">
      <w:pPr>
        <w:rPr>
          <w:rFonts w:ascii="Times New Roman" w:cs="Calibri"/>
          <w:noProof/>
          <w:color w:val="000000"/>
          <w:sz w:val="24"/>
          <w:szCs w:val="24"/>
          <w:u w:color="000000"/>
          <w:bdr w:val="nil"/>
        </w:rPr>
      </w:pPr>
      <w:r>
        <w:rPr>
          <w:rFonts w:ascii="Times New Roman"/>
          <w:b/>
          <w:noProof/>
          <w:color w:val="000000"/>
          <w:sz w:val="24"/>
          <w:u w:color="000000"/>
          <w:bdr w:val="nil"/>
        </w:rPr>
        <w:t>Evropski semester omogo</w:t>
      </w:r>
      <w:r>
        <w:rPr>
          <w:rFonts w:ascii="Times New Roman"/>
          <w:b/>
          <w:noProof/>
          <w:color w:val="000000"/>
          <w:sz w:val="24"/>
          <w:u w:color="000000"/>
          <w:bdr w:val="nil"/>
        </w:rPr>
        <w:t>č</w:t>
      </w:r>
      <w:r>
        <w:rPr>
          <w:rFonts w:ascii="Times New Roman"/>
          <w:b/>
          <w:noProof/>
          <w:color w:val="000000"/>
          <w:sz w:val="24"/>
          <w:u w:color="000000"/>
          <w:bdr w:val="nil"/>
        </w:rPr>
        <w:t>a Komisiji, dr</w:t>
      </w:r>
      <w:r>
        <w:rPr>
          <w:rFonts w:ascii="Times New Roman"/>
          <w:b/>
          <w:noProof/>
          <w:color w:val="000000"/>
          <w:sz w:val="24"/>
          <w:u w:color="000000"/>
          <w:bdr w:val="nil"/>
        </w:rPr>
        <w:t>ž</w:t>
      </w:r>
      <w:r>
        <w:rPr>
          <w:rFonts w:ascii="Times New Roman"/>
          <w:b/>
          <w:noProof/>
          <w:color w:val="000000"/>
          <w:sz w:val="24"/>
          <w:u w:color="000000"/>
          <w:bdr w:val="nil"/>
        </w:rPr>
        <w:t xml:space="preserve">avam </w:t>
      </w:r>
      <w:r>
        <w:rPr>
          <w:rFonts w:ascii="Times New Roman"/>
          <w:b/>
          <w:noProof/>
          <w:color w:val="000000"/>
          <w:sz w:val="24"/>
          <w:u w:color="000000"/>
          <w:bdr w:val="nil"/>
        </w:rPr>
        <w:t>č</w:t>
      </w:r>
      <w:r>
        <w:rPr>
          <w:rFonts w:ascii="Times New Roman"/>
          <w:b/>
          <w:noProof/>
          <w:color w:val="000000"/>
          <w:sz w:val="24"/>
          <w:u w:color="000000"/>
          <w:bdr w:val="nil"/>
        </w:rPr>
        <w:t>lanicam, socialnim partnerjem in dele</w:t>
      </w:r>
      <w:r>
        <w:rPr>
          <w:rFonts w:ascii="Times New Roman"/>
          <w:b/>
          <w:noProof/>
          <w:color w:val="000000"/>
          <w:sz w:val="24"/>
          <w:u w:color="000000"/>
          <w:bdr w:val="nil"/>
        </w:rPr>
        <w:t>ž</w:t>
      </w:r>
      <w:r>
        <w:rPr>
          <w:rFonts w:ascii="Times New Roman"/>
          <w:b/>
          <w:noProof/>
          <w:color w:val="000000"/>
          <w:sz w:val="24"/>
          <w:u w:color="000000"/>
          <w:bdr w:val="nil"/>
        </w:rPr>
        <w:t>nikom na vseh ravneh,</w:t>
      </w:r>
      <w:r>
        <w:rPr>
          <w:rFonts w:ascii="Times New Roman"/>
          <w:b/>
          <w:noProof/>
          <w:color w:val="000000"/>
          <w:sz w:val="24"/>
          <w:u w:color="000000"/>
          <w:bdr w:val="nil"/>
        </w:rPr>
        <w:t xml:space="preserve"> da so v stalnem dialogu skozi celo leto. </w:t>
      </w:r>
      <w:r>
        <w:rPr>
          <w:rFonts w:ascii="Times New Roman"/>
          <w:noProof/>
          <w:color w:val="000000"/>
          <w:sz w:val="24"/>
          <w:u w:color="000000"/>
          <w:bdr w:val="nil"/>
        </w:rPr>
        <w:t>Poro</w:t>
      </w:r>
      <w:r>
        <w:rPr>
          <w:rFonts w:ascii="Times New Roman"/>
          <w:noProof/>
          <w:color w:val="000000"/>
          <w:sz w:val="24"/>
          <w:u w:color="000000"/>
          <w:bdr w:val="nil"/>
        </w:rPr>
        <w:t>č</w:t>
      </w:r>
      <w:r>
        <w:rPr>
          <w:rFonts w:ascii="Times New Roman"/>
          <w:noProof/>
          <w:color w:val="000000"/>
          <w:sz w:val="24"/>
          <w:u w:color="000000"/>
          <w:bdr w:val="nil"/>
        </w:rPr>
        <w:t>ila o dr</w:t>
      </w:r>
      <w:r>
        <w:rPr>
          <w:rFonts w:ascii="Times New Roman"/>
          <w:noProof/>
          <w:color w:val="000000"/>
          <w:sz w:val="24"/>
          <w:u w:color="000000"/>
          <w:bdr w:val="nil"/>
        </w:rPr>
        <w:t>ž</w:t>
      </w:r>
      <w:r>
        <w:rPr>
          <w:rFonts w:ascii="Times New Roman"/>
          <w:noProof/>
          <w:color w:val="000000"/>
          <w:sz w:val="24"/>
          <w:u w:color="000000"/>
          <w:bdr w:val="nil"/>
        </w:rPr>
        <w:t>avah, objavljena hkrati s tem sporo</w:t>
      </w:r>
      <w:r>
        <w:rPr>
          <w:rFonts w:ascii="Times New Roman"/>
          <w:noProof/>
          <w:color w:val="000000"/>
          <w:sz w:val="24"/>
          <w:u w:color="000000"/>
          <w:bdr w:val="nil"/>
        </w:rPr>
        <w:t>č</w:t>
      </w:r>
      <w:r>
        <w:rPr>
          <w:rFonts w:ascii="Times New Roman"/>
          <w:noProof/>
          <w:color w:val="000000"/>
          <w:sz w:val="24"/>
          <w:u w:color="000000"/>
          <w:bdr w:val="nil"/>
        </w:rPr>
        <w:t>ilom, temeljijo na iz</w:t>
      </w:r>
      <w:r>
        <w:rPr>
          <w:rFonts w:ascii="Times New Roman"/>
          <w:noProof/>
          <w:color w:val="000000"/>
          <w:sz w:val="24"/>
          <w:u w:color="000000"/>
          <w:bdr w:val="nil"/>
        </w:rPr>
        <w:t>č</w:t>
      </w:r>
      <w:r>
        <w:rPr>
          <w:rFonts w:ascii="Times New Roman"/>
          <w:noProof/>
          <w:color w:val="000000"/>
          <w:sz w:val="24"/>
          <w:u w:color="000000"/>
          <w:bdr w:val="nil"/>
        </w:rPr>
        <w:t>rpni izmenjavi informacij z vladami, nacionalnimi organi in dele</w:t>
      </w:r>
      <w:r>
        <w:rPr>
          <w:rFonts w:ascii="Times New Roman"/>
          <w:noProof/>
          <w:color w:val="000000"/>
          <w:sz w:val="24"/>
          <w:u w:color="000000"/>
          <w:bdr w:val="nil"/>
        </w:rPr>
        <w:t>ž</w:t>
      </w:r>
      <w:r>
        <w:rPr>
          <w:rFonts w:ascii="Times New Roman"/>
          <w:noProof/>
          <w:color w:val="000000"/>
          <w:sz w:val="24"/>
          <w:u w:color="000000"/>
          <w:bdr w:val="nil"/>
        </w:rPr>
        <w:t>niki na strokovni in politi</w:t>
      </w:r>
      <w:r>
        <w:rPr>
          <w:rFonts w:ascii="Times New Roman"/>
          <w:noProof/>
          <w:color w:val="000000"/>
          <w:sz w:val="24"/>
          <w:u w:color="000000"/>
          <w:bdr w:val="nil"/>
        </w:rPr>
        <w:t>č</w:t>
      </w:r>
      <w:r>
        <w:rPr>
          <w:rFonts w:ascii="Times New Roman"/>
          <w:noProof/>
          <w:color w:val="000000"/>
          <w:sz w:val="24"/>
          <w:u w:color="000000"/>
          <w:bdr w:val="nil"/>
        </w:rPr>
        <w:t>ni ravni, vklju</w:t>
      </w:r>
      <w:r>
        <w:rPr>
          <w:rFonts w:ascii="Times New Roman"/>
          <w:noProof/>
          <w:color w:val="000000"/>
          <w:sz w:val="24"/>
          <w:u w:color="000000"/>
          <w:bdr w:val="nil"/>
        </w:rPr>
        <w:t>č</w:t>
      </w:r>
      <w:r>
        <w:rPr>
          <w:rFonts w:ascii="Times New Roman"/>
          <w:noProof/>
          <w:color w:val="000000"/>
          <w:sz w:val="24"/>
          <w:u w:color="000000"/>
          <w:bdr w:val="nil"/>
        </w:rPr>
        <w:t>no z dvostranskimi sre</w:t>
      </w:r>
      <w:r>
        <w:rPr>
          <w:rFonts w:ascii="Times New Roman"/>
          <w:noProof/>
          <w:color w:val="000000"/>
          <w:sz w:val="24"/>
          <w:u w:color="000000"/>
          <w:bdr w:val="nil"/>
        </w:rPr>
        <w:t>č</w:t>
      </w:r>
      <w:r>
        <w:rPr>
          <w:rFonts w:ascii="Times New Roman"/>
          <w:noProof/>
          <w:color w:val="000000"/>
          <w:sz w:val="24"/>
          <w:u w:color="000000"/>
          <w:bdr w:val="nil"/>
        </w:rPr>
        <w:t>anji, ki s</w:t>
      </w:r>
      <w:r>
        <w:rPr>
          <w:rFonts w:ascii="Times New Roman"/>
          <w:noProof/>
          <w:color w:val="000000"/>
          <w:sz w:val="24"/>
          <w:u w:color="000000"/>
          <w:bdr w:val="nil"/>
        </w:rPr>
        <w:t>o potekala decembra 2018. Ugotovitve bodo predstavljene v predstavni</w:t>
      </w:r>
      <w:r>
        <w:rPr>
          <w:rFonts w:ascii="Times New Roman"/>
          <w:noProof/>
          <w:color w:val="000000"/>
          <w:sz w:val="24"/>
          <w:u w:color="000000"/>
          <w:bdr w:val="nil"/>
        </w:rPr>
        <w:t>š</w:t>
      </w:r>
      <w:r>
        <w:rPr>
          <w:rFonts w:ascii="Times New Roman"/>
          <w:noProof/>
          <w:color w:val="000000"/>
          <w:sz w:val="24"/>
          <w:u w:color="000000"/>
          <w:bdr w:val="nil"/>
        </w:rPr>
        <w:t>tvih Komisije v prestolnicah dr</w:t>
      </w:r>
      <w:r>
        <w:rPr>
          <w:rFonts w:ascii="Times New Roman"/>
          <w:noProof/>
          <w:color w:val="000000"/>
          <w:sz w:val="24"/>
          <w:u w:color="000000"/>
          <w:bdr w:val="nil"/>
        </w:rPr>
        <w:t>ž</w:t>
      </w:r>
      <w:r>
        <w:rPr>
          <w:rFonts w:ascii="Times New Roman"/>
          <w:noProof/>
          <w:color w:val="000000"/>
          <w:sz w:val="24"/>
          <w:u w:color="000000"/>
          <w:bdr w:val="nil"/>
        </w:rPr>
        <w:t xml:space="preserve">av </w:t>
      </w:r>
      <w:r>
        <w:rPr>
          <w:rFonts w:ascii="Times New Roman"/>
          <w:noProof/>
          <w:color w:val="000000"/>
          <w:sz w:val="24"/>
          <w:u w:color="000000"/>
          <w:bdr w:val="nil"/>
        </w:rPr>
        <w:t>č</w:t>
      </w:r>
      <w:r>
        <w:rPr>
          <w:rFonts w:ascii="Times New Roman"/>
          <w:noProof/>
          <w:color w:val="000000"/>
          <w:sz w:val="24"/>
          <w:u w:color="000000"/>
          <w:bdr w:val="nil"/>
        </w:rPr>
        <w:t>lanic in nadalje obravnavane na nadaljnjih dvo- in ve</w:t>
      </w:r>
      <w:r>
        <w:rPr>
          <w:rFonts w:ascii="Times New Roman"/>
          <w:noProof/>
          <w:color w:val="000000"/>
          <w:sz w:val="24"/>
          <w:u w:color="000000"/>
          <w:bdr w:val="nil"/>
        </w:rPr>
        <w:t>č</w:t>
      </w:r>
      <w:r>
        <w:rPr>
          <w:rFonts w:ascii="Times New Roman"/>
          <w:noProof/>
          <w:color w:val="000000"/>
          <w:sz w:val="24"/>
          <w:u w:color="000000"/>
          <w:bdr w:val="nil"/>
        </w:rPr>
        <w:t>stranskih sre</w:t>
      </w:r>
      <w:r>
        <w:rPr>
          <w:rFonts w:ascii="Times New Roman"/>
          <w:noProof/>
          <w:color w:val="000000"/>
          <w:sz w:val="24"/>
          <w:u w:color="000000"/>
          <w:bdr w:val="nil"/>
        </w:rPr>
        <w:t>č</w:t>
      </w:r>
      <w:r>
        <w:rPr>
          <w:rFonts w:ascii="Times New Roman"/>
          <w:noProof/>
          <w:color w:val="000000"/>
          <w:sz w:val="24"/>
          <w:u w:color="000000"/>
          <w:bdr w:val="nil"/>
        </w:rPr>
        <w:t xml:space="preserve">anjih. </w:t>
      </w:r>
    </w:p>
    <w:p w:rsidR="0059194F" w:rsidRDefault="00F458DE">
      <w:pPr>
        <w:rPr>
          <w:rFonts w:ascii="Times New Roman" w:cs="Calibri"/>
          <w:noProof/>
          <w:color w:val="000000"/>
          <w:sz w:val="24"/>
          <w:szCs w:val="24"/>
          <w:u w:color="000000"/>
          <w:bdr w:val="nil"/>
        </w:rPr>
      </w:pPr>
      <w:r>
        <w:rPr>
          <w:rFonts w:ascii="Times New Roman"/>
          <w:b/>
          <w:noProof/>
          <w:color w:val="000000"/>
          <w:sz w:val="24"/>
          <w:u w:color="000000"/>
          <w:bdr w:val="nil"/>
        </w:rPr>
        <w:t>Komisija bo kmalu za</w:t>
      </w:r>
      <w:r>
        <w:rPr>
          <w:rFonts w:ascii="Times New Roman"/>
          <w:b/>
          <w:noProof/>
          <w:color w:val="000000"/>
          <w:sz w:val="24"/>
          <w:u w:color="000000"/>
          <w:bdr w:val="nil"/>
        </w:rPr>
        <w:t>č</w:t>
      </w:r>
      <w:r>
        <w:rPr>
          <w:rFonts w:ascii="Times New Roman"/>
          <w:b/>
          <w:noProof/>
          <w:color w:val="000000"/>
          <w:sz w:val="24"/>
          <w:u w:color="000000"/>
          <w:bdr w:val="nil"/>
        </w:rPr>
        <w:t>ela dialog z dr</w:t>
      </w:r>
      <w:r>
        <w:rPr>
          <w:rFonts w:ascii="Times New Roman"/>
          <w:b/>
          <w:noProof/>
          <w:color w:val="000000"/>
          <w:sz w:val="24"/>
          <w:u w:color="000000"/>
          <w:bdr w:val="nil"/>
        </w:rPr>
        <w:t>ž</w:t>
      </w:r>
      <w:r>
        <w:rPr>
          <w:rFonts w:ascii="Times New Roman"/>
          <w:b/>
          <w:noProof/>
          <w:color w:val="000000"/>
          <w:sz w:val="24"/>
          <w:u w:color="000000"/>
          <w:bdr w:val="nil"/>
        </w:rPr>
        <w:t xml:space="preserve">avami </w:t>
      </w:r>
      <w:r>
        <w:rPr>
          <w:rFonts w:ascii="Times New Roman"/>
          <w:b/>
          <w:noProof/>
          <w:color w:val="000000"/>
          <w:sz w:val="24"/>
          <w:u w:color="000000"/>
          <w:bdr w:val="nil"/>
        </w:rPr>
        <w:t>č</w:t>
      </w:r>
      <w:r>
        <w:rPr>
          <w:rFonts w:ascii="Times New Roman"/>
          <w:b/>
          <w:noProof/>
          <w:color w:val="000000"/>
          <w:sz w:val="24"/>
          <w:u w:color="000000"/>
          <w:bdr w:val="nil"/>
        </w:rPr>
        <w:t>lanicami o programih za sredstv</w:t>
      </w:r>
      <w:r>
        <w:rPr>
          <w:rFonts w:ascii="Times New Roman"/>
          <w:b/>
          <w:noProof/>
          <w:color w:val="000000"/>
          <w:sz w:val="24"/>
          <w:u w:color="000000"/>
          <w:bdr w:val="nil"/>
        </w:rPr>
        <w:t>a kohezijske politike za obdobje 2021</w:t>
      </w:r>
      <w:r>
        <w:rPr>
          <w:rFonts w:ascii="Times New Roman"/>
          <w:b/>
          <w:noProof/>
          <w:color w:val="000000"/>
          <w:sz w:val="24"/>
          <w:u w:color="000000"/>
          <w:bdr w:val="nil"/>
        </w:rPr>
        <w:t>–</w:t>
      </w:r>
      <w:r>
        <w:rPr>
          <w:rFonts w:ascii="Times New Roman"/>
          <w:b/>
          <w:noProof/>
          <w:color w:val="000000"/>
          <w:sz w:val="24"/>
          <w:u w:color="000000"/>
          <w:bdr w:val="nil"/>
        </w:rPr>
        <w:t>2027, ki bo temeljil na z nalo</w:t>
      </w:r>
      <w:r>
        <w:rPr>
          <w:rFonts w:ascii="Times New Roman"/>
          <w:b/>
          <w:noProof/>
          <w:color w:val="000000"/>
          <w:sz w:val="24"/>
          <w:u w:color="000000"/>
          <w:bdr w:val="nil"/>
        </w:rPr>
        <w:t>ž</w:t>
      </w:r>
      <w:r>
        <w:rPr>
          <w:rFonts w:ascii="Times New Roman"/>
          <w:b/>
          <w:noProof/>
          <w:color w:val="000000"/>
          <w:sz w:val="24"/>
          <w:u w:color="000000"/>
          <w:bdr w:val="nil"/>
        </w:rPr>
        <w:t>bami povezanih ugotovitvah in sklepih iz poro</w:t>
      </w:r>
      <w:r>
        <w:rPr>
          <w:rFonts w:ascii="Times New Roman"/>
          <w:b/>
          <w:noProof/>
          <w:color w:val="000000"/>
          <w:sz w:val="24"/>
          <w:u w:color="000000"/>
          <w:bdr w:val="nil"/>
        </w:rPr>
        <w:t>č</w:t>
      </w:r>
      <w:r>
        <w:rPr>
          <w:rFonts w:ascii="Times New Roman"/>
          <w:b/>
          <w:noProof/>
          <w:color w:val="000000"/>
          <w:sz w:val="24"/>
          <w:u w:color="000000"/>
          <w:bdr w:val="nil"/>
        </w:rPr>
        <w:t>il o dr</w:t>
      </w:r>
      <w:r>
        <w:rPr>
          <w:rFonts w:ascii="Times New Roman"/>
          <w:b/>
          <w:noProof/>
          <w:color w:val="000000"/>
          <w:sz w:val="24"/>
          <w:u w:color="000000"/>
          <w:bdr w:val="nil"/>
        </w:rPr>
        <w:t>ž</w:t>
      </w:r>
      <w:r>
        <w:rPr>
          <w:rFonts w:ascii="Times New Roman"/>
          <w:b/>
          <w:noProof/>
          <w:color w:val="000000"/>
          <w:sz w:val="24"/>
          <w:u w:color="000000"/>
          <w:bdr w:val="nil"/>
        </w:rPr>
        <w:t>avah.</w:t>
      </w:r>
      <w:r>
        <w:rPr>
          <w:rFonts w:ascii="Times New Roman"/>
          <w:noProof/>
          <w:color w:val="000000"/>
          <w:sz w:val="24"/>
          <w:u w:color="000000"/>
          <w:bdr w:val="nil"/>
        </w:rPr>
        <w:t xml:space="preserve"> Podpredsedniki Komisije in komisarji bodo obiskali dr</w:t>
      </w:r>
      <w:r>
        <w:rPr>
          <w:rFonts w:ascii="Times New Roman"/>
          <w:noProof/>
          <w:color w:val="000000"/>
          <w:sz w:val="24"/>
          <w:u w:color="000000"/>
          <w:bdr w:val="nil"/>
        </w:rPr>
        <w:t>ž</w:t>
      </w:r>
      <w:r>
        <w:rPr>
          <w:rFonts w:ascii="Times New Roman"/>
          <w:noProof/>
          <w:color w:val="000000"/>
          <w:sz w:val="24"/>
          <w:u w:color="000000"/>
          <w:bdr w:val="nil"/>
        </w:rPr>
        <w:t xml:space="preserve">ave </w:t>
      </w:r>
      <w:r>
        <w:rPr>
          <w:rFonts w:ascii="Times New Roman"/>
          <w:noProof/>
          <w:color w:val="000000"/>
          <w:sz w:val="24"/>
          <w:u w:color="000000"/>
          <w:bdr w:val="nil"/>
        </w:rPr>
        <w:t>č</w:t>
      </w:r>
      <w:r>
        <w:rPr>
          <w:rFonts w:ascii="Times New Roman"/>
          <w:noProof/>
          <w:color w:val="000000"/>
          <w:sz w:val="24"/>
          <w:u w:color="000000"/>
          <w:bdr w:val="nil"/>
        </w:rPr>
        <w:t xml:space="preserve">lanice ter razpravljali s parlamenti, vladami, socialnimi partnerji </w:t>
      </w:r>
      <w:r>
        <w:rPr>
          <w:rFonts w:ascii="Times New Roman"/>
          <w:noProof/>
          <w:color w:val="000000"/>
          <w:sz w:val="24"/>
          <w:u w:color="000000"/>
          <w:bdr w:val="nil"/>
        </w:rPr>
        <w:t>in drugimi dele</w:t>
      </w:r>
      <w:r>
        <w:rPr>
          <w:rFonts w:ascii="Times New Roman"/>
          <w:noProof/>
          <w:color w:val="000000"/>
          <w:sz w:val="24"/>
          <w:u w:color="000000"/>
          <w:bdr w:val="nil"/>
        </w:rPr>
        <w:t>ž</w:t>
      </w:r>
      <w:r>
        <w:rPr>
          <w:rFonts w:ascii="Times New Roman"/>
          <w:noProof/>
          <w:color w:val="000000"/>
          <w:sz w:val="24"/>
          <w:u w:color="000000"/>
          <w:bdr w:val="nil"/>
        </w:rPr>
        <w:t>niki o analizah in sklepih iz poro</w:t>
      </w:r>
      <w:r>
        <w:rPr>
          <w:rFonts w:ascii="Times New Roman"/>
          <w:noProof/>
          <w:color w:val="000000"/>
          <w:sz w:val="24"/>
          <w:u w:color="000000"/>
          <w:bdr w:val="nil"/>
        </w:rPr>
        <w:t>č</w:t>
      </w:r>
      <w:r>
        <w:rPr>
          <w:rFonts w:ascii="Times New Roman"/>
          <w:noProof/>
          <w:color w:val="000000"/>
          <w:sz w:val="24"/>
          <w:u w:color="000000"/>
          <w:bdr w:val="nil"/>
        </w:rPr>
        <w:t>il o dr</w:t>
      </w:r>
      <w:r>
        <w:rPr>
          <w:rFonts w:ascii="Times New Roman"/>
          <w:noProof/>
          <w:color w:val="000000"/>
          <w:sz w:val="24"/>
          <w:u w:color="000000"/>
          <w:bdr w:val="nil"/>
        </w:rPr>
        <w:t>ž</w:t>
      </w:r>
      <w:r>
        <w:rPr>
          <w:rFonts w:ascii="Times New Roman"/>
          <w:noProof/>
          <w:color w:val="000000"/>
          <w:sz w:val="24"/>
          <w:u w:color="000000"/>
          <w:bdr w:val="nil"/>
        </w:rPr>
        <w:t>avah. Poleg tega bo Komisija o povzetkih ugotovitev iz poro</w:t>
      </w:r>
      <w:r>
        <w:rPr>
          <w:rFonts w:ascii="Times New Roman"/>
          <w:noProof/>
          <w:color w:val="000000"/>
          <w:sz w:val="24"/>
          <w:u w:color="000000"/>
          <w:bdr w:val="nil"/>
        </w:rPr>
        <w:t>č</w:t>
      </w:r>
      <w:r>
        <w:rPr>
          <w:rFonts w:ascii="Times New Roman"/>
          <w:noProof/>
          <w:color w:val="000000"/>
          <w:sz w:val="24"/>
          <w:u w:color="000000"/>
          <w:bdr w:val="nil"/>
        </w:rPr>
        <w:t>il o dr</w:t>
      </w:r>
      <w:r>
        <w:rPr>
          <w:rFonts w:ascii="Times New Roman"/>
          <w:noProof/>
          <w:color w:val="000000"/>
          <w:sz w:val="24"/>
          <w:u w:color="000000"/>
          <w:bdr w:val="nil"/>
        </w:rPr>
        <w:t>ž</w:t>
      </w:r>
      <w:r>
        <w:rPr>
          <w:rFonts w:ascii="Times New Roman"/>
          <w:noProof/>
          <w:color w:val="000000"/>
          <w:sz w:val="24"/>
          <w:u w:color="000000"/>
          <w:bdr w:val="nil"/>
        </w:rPr>
        <w:t>avah razpravljala z Evropskim parlamentom.</w:t>
      </w:r>
    </w:p>
    <w:p w:rsidR="0059194F" w:rsidRDefault="00F458DE">
      <w:pPr>
        <w:rPr>
          <w:rFonts w:ascii="Times New Roman" w:cs="Calibri"/>
          <w:noProof/>
          <w:color w:val="000000"/>
          <w:sz w:val="24"/>
          <w:szCs w:val="24"/>
          <w:u w:color="000000"/>
          <w:bdr w:val="nil"/>
        </w:rPr>
      </w:pPr>
      <w:r>
        <w:rPr>
          <w:rFonts w:ascii="Times New Roman"/>
          <w:b/>
          <w:noProof/>
          <w:color w:val="000000"/>
          <w:sz w:val="24"/>
          <w:u w:color="000000"/>
          <w:bdr w:val="nil"/>
        </w:rPr>
        <w:t>Glede na opredeljene izzive bodo dr</w:t>
      </w:r>
      <w:r>
        <w:rPr>
          <w:rFonts w:ascii="Times New Roman"/>
          <w:b/>
          <w:noProof/>
          <w:color w:val="000000"/>
          <w:sz w:val="24"/>
          <w:u w:color="000000"/>
          <w:bdr w:val="nil"/>
        </w:rPr>
        <w:t>ž</w:t>
      </w:r>
      <w:r>
        <w:rPr>
          <w:rFonts w:ascii="Times New Roman"/>
          <w:b/>
          <w:noProof/>
          <w:color w:val="000000"/>
          <w:sz w:val="24"/>
          <w:u w:color="000000"/>
          <w:bdr w:val="nil"/>
        </w:rPr>
        <w:t xml:space="preserve">ave </w:t>
      </w:r>
      <w:r>
        <w:rPr>
          <w:rFonts w:ascii="Times New Roman"/>
          <w:b/>
          <w:noProof/>
          <w:color w:val="000000"/>
          <w:sz w:val="24"/>
          <w:u w:color="000000"/>
          <w:bdr w:val="nil"/>
        </w:rPr>
        <w:t>č</w:t>
      </w:r>
      <w:r>
        <w:rPr>
          <w:rFonts w:ascii="Times New Roman"/>
          <w:b/>
          <w:noProof/>
          <w:color w:val="000000"/>
          <w:sz w:val="24"/>
          <w:u w:color="000000"/>
          <w:bdr w:val="nil"/>
        </w:rPr>
        <w:t>lanice do sredine aprila v nacionalnih progra</w:t>
      </w:r>
      <w:r>
        <w:rPr>
          <w:rFonts w:ascii="Times New Roman"/>
          <w:b/>
          <w:noProof/>
          <w:color w:val="000000"/>
          <w:sz w:val="24"/>
          <w:u w:color="000000"/>
          <w:bdr w:val="nil"/>
        </w:rPr>
        <w:t xml:space="preserve">mih reform predstavile svoje gospodarske in socialne prednostne naloge. </w:t>
      </w:r>
      <w:r>
        <w:rPr>
          <w:rFonts w:ascii="Times New Roman"/>
          <w:noProof/>
          <w:color w:val="000000"/>
          <w:sz w:val="24"/>
          <w:u w:color="000000"/>
          <w:bdr w:val="nil"/>
        </w:rPr>
        <w:t>Predstavile bodo tudi ve</w:t>
      </w:r>
      <w:r>
        <w:rPr>
          <w:rFonts w:ascii="Times New Roman"/>
          <w:noProof/>
          <w:color w:val="000000"/>
          <w:sz w:val="24"/>
          <w:u w:color="000000"/>
          <w:bdr w:val="nil"/>
        </w:rPr>
        <w:t>č</w:t>
      </w:r>
      <w:r>
        <w:rPr>
          <w:rFonts w:ascii="Times New Roman"/>
          <w:noProof/>
          <w:color w:val="000000"/>
          <w:sz w:val="24"/>
          <w:u w:color="000000"/>
          <w:bdr w:val="nil"/>
        </w:rPr>
        <w:t>letne strategije za zdrave javne finance, in sicer v obliki programov za stabilnost (za dr</w:t>
      </w:r>
      <w:r>
        <w:rPr>
          <w:rFonts w:ascii="Times New Roman"/>
          <w:noProof/>
          <w:color w:val="000000"/>
          <w:sz w:val="24"/>
          <w:u w:color="000000"/>
          <w:bdr w:val="nil"/>
        </w:rPr>
        <w:t>ž</w:t>
      </w:r>
      <w:r>
        <w:rPr>
          <w:rFonts w:ascii="Times New Roman"/>
          <w:noProof/>
          <w:color w:val="000000"/>
          <w:sz w:val="24"/>
          <w:u w:color="000000"/>
          <w:bdr w:val="nil"/>
        </w:rPr>
        <w:t xml:space="preserve">ave </w:t>
      </w:r>
      <w:r>
        <w:rPr>
          <w:rFonts w:ascii="Times New Roman"/>
          <w:noProof/>
          <w:color w:val="000000"/>
          <w:sz w:val="24"/>
          <w:u w:color="000000"/>
          <w:bdr w:val="nil"/>
        </w:rPr>
        <w:t>č</w:t>
      </w:r>
      <w:r>
        <w:rPr>
          <w:rFonts w:ascii="Times New Roman"/>
          <w:noProof/>
          <w:color w:val="000000"/>
          <w:sz w:val="24"/>
          <w:u w:color="000000"/>
          <w:bdr w:val="nil"/>
        </w:rPr>
        <w:t>lanice euroobmo</w:t>
      </w:r>
      <w:r>
        <w:rPr>
          <w:rFonts w:ascii="Times New Roman"/>
          <w:noProof/>
          <w:color w:val="000000"/>
          <w:sz w:val="24"/>
          <w:u w:color="000000"/>
          <w:bdr w:val="nil"/>
        </w:rPr>
        <w:t>č</w:t>
      </w:r>
      <w:r>
        <w:rPr>
          <w:rFonts w:ascii="Times New Roman"/>
          <w:noProof/>
          <w:color w:val="000000"/>
          <w:sz w:val="24"/>
          <w:u w:color="000000"/>
          <w:bdr w:val="nil"/>
        </w:rPr>
        <w:t>ja) in konvergenco (za dr</w:t>
      </w:r>
      <w:r>
        <w:rPr>
          <w:rFonts w:ascii="Times New Roman"/>
          <w:noProof/>
          <w:color w:val="000000"/>
          <w:sz w:val="24"/>
          <w:u w:color="000000"/>
          <w:bdr w:val="nil"/>
        </w:rPr>
        <w:t>ž</w:t>
      </w:r>
      <w:r>
        <w:rPr>
          <w:rFonts w:ascii="Times New Roman"/>
          <w:noProof/>
          <w:color w:val="000000"/>
          <w:sz w:val="24"/>
          <w:u w:color="000000"/>
          <w:bdr w:val="nil"/>
        </w:rPr>
        <w:t xml:space="preserve">ave </w:t>
      </w:r>
      <w:r>
        <w:rPr>
          <w:rFonts w:ascii="Times New Roman"/>
          <w:noProof/>
          <w:color w:val="000000"/>
          <w:sz w:val="24"/>
          <w:u w:color="000000"/>
          <w:bdr w:val="nil"/>
        </w:rPr>
        <w:t>č</w:t>
      </w:r>
      <w:r>
        <w:rPr>
          <w:rFonts w:ascii="Times New Roman"/>
          <w:noProof/>
          <w:color w:val="000000"/>
          <w:sz w:val="24"/>
          <w:u w:color="000000"/>
          <w:bdr w:val="nil"/>
        </w:rPr>
        <w:t>lanice zunaj eur</w:t>
      </w:r>
      <w:r>
        <w:rPr>
          <w:rFonts w:ascii="Times New Roman"/>
          <w:noProof/>
          <w:color w:val="000000"/>
          <w:sz w:val="24"/>
          <w:u w:color="000000"/>
          <w:bdr w:val="nil"/>
        </w:rPr>
        <w:t>oobmo</w:t>
      </w:r>
      <w:r>
        <w:rPr>
          <w:rFonts w:ascii="Times New Roman"/>
          <w:noProof/>
          <w:color w:val="000000"/>
          <w:sz w:val="24"/>
          <w:u w:color="000000"/>
          <w:bdr w:val="nil"/>
        </w:rPr>
        <w:t>č</w:t>
      </w:r>
      <w:r>
        <w:rPr>
          <w:rFonts w:ascii="Times New Roman"/>
          <w:noProof/>
          <w:color w:val="000000"/>
          <w:sz w:val="24"/>
          <w:u w:color="000000"/>
          <w:bdr w:val="nil"/>
        </w:rPr>
        <w:t>ja).</w:t>
      </w:r>
      <w:r>
        <w:rPr>
          <w:rFonts w:ascii="Times New Roman"/>
          <w:b/>
          <w:noProof/>
          <w:color w:val="000000"/>
          <w:sz w:val="24"/>
          <w:u w:color="000000"/>
          <w:bdr w:val="nil"/>
        </w:rPr>
        <w:t xml:space="preserve"> </w:t>
      </w:r>
      <w:r>
        <w:rPr>
          <w:rFonts w:ascii="Times New Roman"/>
          <w:noProof/>
          <w:color w:val="000000"/>
          <w:sz w:val="24"/>
          <w:u w:color="000000"/>
          <w:bdr w:val="nil"/>
        </w:rPr>
        <w:t>Komisija za zagotovitev ustreznega in trajnostnega odziva na te izzive priporo</w:t>
      </w:r>
      <w:r>
        <w:rPr>
          <w:rFonts w:ascii="Times New Roman"/>
          <w:noProof/>
          <w:color w:val="000000"/>
          <w:sz w:val="24"/>
          <w:u w:color="000000"/>
          <w:bdr w:val="nil"/>
        </w:rPr>
        <w:t>č</w:t>
      </w:r>
      <w:r>
        <w:rPr>
          <w:rFonts w:ascii="Times New Roman"/>
          <w:noProof/>
          <w:color w:val="000000"/>
          <w:sz w:val="24"/>
          <w:u w:color="000000"/>
          <w:bdr w:val="nil"/>
        </w:rPr>
        <w:t>a, da se ti programi pripravijo ob sodelovanju z vsemi klju</w:t>
      </w:r>
      <w:r>
        <w:rPr>
          <w:rFonts w:ascii="Times New Roman"/>
          <w:noProof/>
          <w:color w:val="000000"/>
          <w:sz w:val="24"/>
          <w:u w:color="000000"/>
          <w:bdr w:val="nil"/>
        </w:rPr>
        <w:t>č</w:t>
      </w:r>
      <w:r>
        <w:rPr>
          <w:rFonts w:ascii="Times New Roman"/>
          <w:noProof/>
          <w:color w:val="000000"/>
          <w:sz w:val="24"/>
          <w:u w:color="000000"/>
          <w:bdr w:val="nil"/>
        </w:rPr>
        <w:t>nimi dele</w:t>
      </w:r>
      <w:r>
        <w:rPr>
          <w:rFonts w:ascii="Times New Roman"/>
          <w:noProof/>
          <w:color w:val="000000"/>
          <w:sz w:val="24"/>
          <w:u w:color="000000"/>
          <w:bdr w:val="nil"/>
        </w:rPr>
        <w:t>ž</w:t>
      </w:r>
      <w:r>
        <w:rPr>
          <w:rFonts w:ascii="Times New Roman"/>
          <w:noProof/>
          <w:color w:val="000000"/>
          <w:sz w:val="24"/>
          <w:u w:color="000000"/>
          <w:bdr w:val="nil"/>
        </w:rPr>
        <w:t>niki, kot so socialni partnerji, lokalni in regionalni organi ter organizacije civilne dru</w:t>
      </w:r>
      <w:r>
        <w:rPr>
          <w:rFonts w:ascii="Times New Roman"/>
          <w:noProof/>
          <w:color w:val="000000"/>
          <w:sz w:val="24"/>
          <w:u w:color="000000"/>
          <w:bdr w:val="nil"/>
        </w:rPr>
        <w:t>ž</w:t>
      </w:r>
      <w:r>
        <w:rPr>
          <w:rFonts w:ascii="Times New Roman"/>
          <w:noProof/>
          <w:color w:val="000000"/>
          <w:sz w:val="24"/>
          <w:u w:color="000000"/>
          <w:bdr w:val="nil"/>
        </w:rPr>
        <w:t>be.</w:t>
      </w:r>
      <w:r>
        <w:rPr>
          <w:rFonts w:ascii="Times New Roman"/>
          <w:b/>
          <w:noProof/>
          <w:color w:val="000000"/>
          <w:sz w:val="24"/>
          <w:u w:color="000000"/>
          <w:bdr w:val="nil"/>
        </w:rPr>
        <w:t xml:space="preserve"> </w:t>
      </w:r>
      <w:r>
        <w:rPr>
          <w:rFonts w:ascii="Times New Roman"/>
          <w:noProof/>
          <w:color w:val="000000"/>
          <w:sz w:val="24"/>
          <w:u w:color="000000"/>
          <w:bdr w:val="nil"/>
        </w:rPr>
        <w:t xml:space="preserve"> </w:t>
      </w:r>
      <w:r>
        <w:rPr>
          <w:noProof/>
        </w:rPr>
        <w:br w:type="page"/>
      </w:r>
    </w:p>
    <w:p w:rsidR="0059194F" w:rsidRDefault="00F458DE">
      <w:pPr>
        <w:keepNext/>
        <w:pageBreakBefore/>
        <w:tabs>
          <w:tab w:val="left" w:pos="0"/>
        </w:tabs>
        <w:outlineLvl w:val="0"/>
        <w:rPr>
          <w:rFonts w:ascii="Times New Roman" w:eastAsia="Times New Roman" w:hAnsi="Times New Roman"/>
          <w:b/>
          <w:smallCaps/>
          <w:noProof/>
          <w:sz w:val="20"/>
          <w:szCs w:val="20"/>
        </w:rPr>
      </w:pPr>
      <w:r>
        <w:rPr>
          <w:rFonts w:ascii="Times New Roman" w:hAnsi="Times New Roman"/>
          <w:b/>
          <w:smallCaps/>
          <w:noProof/>
          <w:sz w:val="24"/>
        </w:rPr>
        <w:t>Dodatek 1 – Celosten nadzor nad makroekonomskimi in fiskalnimi neravnotežji</w:t>
      </w:r>
      <w:r>
        <w:rPr>
          <w:rFonts w:ascii="Times New Roman" w:hAnsi="Times New Roman"/>
          <w:b/>
          <w:smallCaps/>
          <w:noProof/>
          <w:sz w:val="20"/>
        </w:rPr>
        <w:t xml:space="preserve"> </w:t>
      </w:r>
      <w:r>
        <w:rPr>
          <w:rFonts w:ascii="Times New Roman" w:eastAsia="Times New Roman" w:hAnsi="Times New Roman"/>
          <w:b/>
          <w:smallCaps/>
          <w:noProof/>
          <w:sz w:val="20"/>
          <w:szCs w:val="20"/>
        </w:rPr>
        <w:br/>
      </w:r>
    </w:p>
    <w:tbl>
      <w:tblPr>
        <w:tblW w:w="897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6"/>
        <w:gridCol w:w="2853"/>
        <w:gridCol w:w="3399"/>
        <w:gridCol w:w="2221"/>
      </w:tblGrid>
      <w:tr w:rsidR="0059194F">
        <w:trPr>
          <w:trHeight w:hRule="exact" w:val="1134"/>
          <w:jc w:val="center"/>
        </w:trPr>
        <w:tc>
          <w:tcPr>
            <w:tcW w:w="506" w:type="dxa"/>
            <w:tcBorders>
              <w:top w:val="single" w:sz="12" w:space="0" w:color="auto"/>
              <w:left w:val="nil"/>
              <w:right w:val="single" w:sz="4" w:space="0" w:color="auto"/>
            </w:tcBorders>
            <w:vAlign w:val="center"/>
          </w:tcPr>
          <w:p w:rsidR="0059194F" w:rsidRDefault="0059194F">
            <w:pPr>
              <w:jc w:val="center"/>
              <w:rPr>
                <w:rFonts w:ascii="Times New Roman" w:eastAsia="Times New Roman" w:hAnsi="Times New Roman"/>
                <w:b/>
                <w:noProof/>
                <w:sz w:val="18"/>
                <w:szCs w:val="18"/>
              </w:rPr>
            </w:pPr>
          </w:p>
        </w:tc>
        <w:tc>
          <w:tcPr>
            <w:tcW w:w="2853" w:type="dxa"/>
            <w:tcBorders>
              <w:top w:val="single" w:sz="12" w:space="0" w:color="auto"/>
              <w:left w:val="single" w:sz="4" w:space="0" w:color="auto"/>
              <w:right w:val="single" w:sz="4" w:space="0" w:color="auto"/>
            </w:tcBorders>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Postopek v zvezi z makroekonomskimi neravnotežji(</w:t>
            </w:r>
            <w:r>
              <w:rPr>
                <w:rFonts w:ascii="Times New Roman" w:hAnsi="Times New Roman"/>
                <w:b/>
                <w:noProof/>
                <w:sz w:val="18"/>
              </w:rPr>
              <w:footnoteReference w:id="12"/>
            </w:r>
            <w:r>
              <w:rPr>
                <w:rFonts w:ascii="Times New Roman" w:hAnsi="Times New Roman"/>
                <w:b/>
                <w:noProof/>
                <w:sz w:val="18"/>
              </w:rPr>
              <w:t>)</w:t>
            </w:r>
          </w:p>
        </w:tc>
        <w:tc>
          <w:tcPr>
            <w:tcW w:w="3399" w:type="dxa"/>
            <w:tcBorders>
              <w:top w:val="single" w:sz="12" w:space="0" w:color="auto"/>
              <w:left w:val="single" w:sz="4" w:space="0" w:color="auto"/>
              <w:right w:val="nil"/>
            </w:tcBorders>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Pakt za stabilnost in rast</w:t>
            </w:r>
            <w:r>
              <w:rPr>
                <w:rFonts w:ascii="Times New Roman" w:hAnsi="Times New Roman"/>
                <w:b/>
                <w:noProof/>
                <w:sz w:val="18"/>
                <w:vertAlign w:val="superscript"/>
              </w:rPr>
              <w:footnoteReference w:id="13"/>
            </w:r>
          </w:p>
          <w:p w:rsidR="0059194F" w:rsidRDefault="00F458DE">
            <w:pPr>
              <w:jc w:val="center"/>
              <w:rPr>
                <w:rFonts w:ascii="Times New Roman" w:eastAsia="Times New Roman" w:hAnsi="Times New Roman"/>
                <w:b/>
                <w:noProof/>
                <w:sz w:val="18"/>
                <w:szCs w:val="18"/>
              </w:rPr>
            </w:pPr>
            <w:r>
              <w:rPr>
                <w:rFonts w:ascii="Times New Roman" w:hAnsi="Times New Roman"/>
                <w:b/>
                <w:noProof/>
                <w:sz w:val="18"/>
              </w:rPr>
              <w:t>(SC: srednjeročni cilj / PČP: postopek v zvezi s čezmernim primanjkljajem)</w:t>
            </w:r>
          </w:p>
        </w:tc>
        <w:tc>
          <w:tcPr>
            <w:tcW w:w="2221" w:type="dxa"/>
            <w:tcBorders>
              <w:top w:val="single" w:sz="12" w:space="0" w:color="auto"/>
              <w:left w:val="single" w:sz="4" w:space="0" w:color="auto"/>
              <w:right w:val="nil"/>
            </w:tcBorders>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Opombe</w:t>
            </w:r>
          </w:p>
        </w:tc>
      </w:tr>
      <w:tr w:rsidR="0059194F">
        <w:trPr>
          <w:trHeight w:hRule="exact" w:val="397"/>
          <w:jc w:val="center"/>
        </w:trPr>
        <w:tc>
          <w:tcPr>
            <w:tcW w:w="506" w:type="dxa"/>
            <w:tcBorders>
              <w:top w:val="single" w:sz="12"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AT</w:t>
            </w:r>
          </w:p>
        </w:tc>
        <w:tc>
          <w:tcPr>
            <w:tcW w:w="2853" w:type="dxa"/>
            <w:tcBorders>
              <w:top w:val="single" w:sz="12"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8"/>
                <w:szCs w:val="18"/>
              </w:rPr>
            </w:pPr>
          </w:p>
        </w:tc>
        <w:tc>
          <w:tcPr>
            <w:tcW w:w="3399" w:type="dxa"/>
            <w:tcBorders>
              <w:top w:val="single" w:sz="12"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2894"/>
            </w:tblGrid>
            <w:tr w:rsidR="0059194F">
              <w:trPr>
                <w:trHeight w:val="225"/>
              </w:trPr>
              <w:tc>
                <w:tcPr>
                  <w:tcW w:w="0" w:type="auto"/>
                </w:tcPr>
                <w:p w:rsidR="0059194F" w:rsidRDefault="00F458DE">
                  <w:pPr>
                    <w:spacing w:after="0"/>
                    <w:ind w:left="780"/>
                    <w:jc w:val="center"/>
                    <w:rPr>
                      <w:rFonts w:ascii="Times New Roman" w:hAnsi="Times New Roman" w:cs="Times New Roman"/>
                      <w:noProof/>
                      <w:sz w:val="16"/>
                      <w:szCs w:val="16"/>
                    </w:rPr>
                  </w:pPr>
                  <w:r>
                    <w:rPr>
                      <w:rFonts w:ascii="Times New Roman" w:hAnsi="Times New Roman"/>
                      <w:noProof/>
                      <w:sz w:val="16"/>
                    </w:rPr>
                    <w:t>Preventivni del</w:t>
                  </w:r>
                </w:p>
                <w:p w:rsidR="0059194F" w:rsidRDefault="00F458DE">
                  <w:pPr>
                    <w:spacing w:after="0"/>
                    <w:jc w:val="center"/>
                    <w:rPr>
                      <w:rFonts w:ascii="Times New Roman" w:hAnsi="Times New Roman" w:cs="Times New Roman"/>
                      <w:noProof/>
                      <w:sz w:val="16"/>
                      <w:szCs w:val="16"/>
                    </w:rPr>
                  </w:pPr>
                  <w:r>
                    <w:rPr>
                      <w:rFonts w:ascii="Times New Roman" w:hAnsi="Times New Roman"/>
                      <w:noProof/>
                      <w:sz w:val="16"/>
                    </w:rPr>
                    <w:t>Ne dosega SC; velja pravilo glede dolga</w:t>
                  </w:r>
                  <w:r>
                    <w:rPr>
                      <w:rFonts w:ascii="Times New Roman" w:hAnsi="Times New Roman"/>
                      <w:noProof/>
                      <w:sz w:val="16"/>
                      <w:vertAlign w:val="superscript"/>
                    </w:rPr>
                    <w:footnoteReference w:id="14"/>
                  </w:r>
                </w:p>
              </w:tc>
            </w:tr>
            <w:tr w:rsidR="0059194F">
              <w:trPr>
                <w:trHeight w:val="225"/>
              </w:trPr>
              <w:tc>
                <w:tcPr>
                  <w:tcW w:w="0" w:type="auto"/>
                </w:tcPr>
                <w:p w:rsidR="0059194F" w:rsidRDefault="0059194F">
                  <w:pPr>
                    <w:spacing w:after="0"/>
                    <w:jc w:val="center"/>
                    <w:rPr>
                      <w:rFonts w:ascii="Times New Roman" w:hAnsi="Times New Roman" w:cs="Times New Roman"/>
                      <w:noProof/>
                      <w:sz w:val="16"/>
                      <w:szCs w:val="16"/>
                    </w:rPr>
                  </w:pPr>
                </w:p>
              </w:tc>
            </w:tr>
          </w:tbl>
          <w:p w:rsidR="0059194F" w:rsidRDefault="0059194F">
            <w:pPr>
              <w:autoSpaceDE w:val="0"/>
              <w:autoSpaceDN w:val="0"/>
              <w:adjustRightInd w:val="0"/>
              <w:spacing w:after="0"/>
              <w:jc w:val="center"/>
              <w:rPr>
                <w:rFonts w:ascii="Times New Roman" w:hAnsi="Times New Roman"/>
                <w:noProof/>
                <w:sz w:val="16"/>
              </w:rPr>
            </w:pPr>
          </w:p>
        </w:tc>
        <w:tc>
          <w:tcPr>
            <w:tcW w:w="2221" w:type="dxa"/>
            <w:tcBorders>
              <w:top w:val="single" w:sz="12" w:space="0" w:color="auto"/>
              <w:left w:val="single" w:sz="4" w:space="0" w:color="auto"/>
              <w:bottom w:val="single" w:sz="4" w:space="0" w:color="auto"/>
              <w:right w:val="nil"/>
            </w:tcBorders>
            <w:shd w:val="clear" w:color="auto" w:fill="FFFFFF"/>
            <w:vAlign w:val="center"/>
          </w:tcPr>
          <w:p w:rsidR="0059194F" w:rsidRDefault="00F458DE">
            <w:pPr>
              <w:jc w:val="center"/>
              <w:rPr>
                <w:rFonts w:ascii="Times New Roman" w:hAnsi="Times New Roman"/>
                <w:noProof/>
                <w:sz w:val="16"/>
              </w:rPr>
            </w:pPr>
            <w:r>
              <w:rPr>
                <w:rFonts w:ascii="Times New Roman" w:hAnsi="Times New Roman"/>
                <w:noProof/>
                <w:sz w:val="12"/>
              </w:rPr>
              <w:t>Oddaljenost od SC leta 2018 je manjša od dovoljenega odstopanja zaradi izrednih dogodkov.</w:t>
            </w: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BE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u w:val="single"/>
              </w:rPr>
            </w:pPr>
          </w:p>
        </w:tc>
        <w:tc>
          <w:tcPr>
            <w:tcW w:w="3399" w:type="dxa"/>
            <w:tcBorders>
              <w:top w:val="single" w:sz="4" w:space="0" w:color="auto"/>
              <w:left w:val="single" w:sz="4" w:space="0" w:color="auto"/>
              <w:bottom w:val="single" w:sz="4" w:space="0" w:color="auto"/>
              <w:right w:val="nil"/>
            </w:tcBorders>
            <w:shd w:val="clear" w:color="auto" w:fill="FFFFFF"/>
          </w:tcPr>
          <w:p w:rsidR="0059194F" w:rsidRDefault="00F458DE">
            <w:pPr>
              <w:autoSpaceDE w:val="0"/>
              <w:autoSpaceDN w:val="0"/>
              <w:spacing w:after="0"/>
              <w:jc w:val="center"/>
              <w:rPr>
                <w:rFonts w:ascii="Times New Roman" w:hAnsi="Times New Roman" w:cs="Times New Roman"/>
                <w:noProof/>
                <w:color w:val="000000"/>
                <w:sz w:val="16"/>
                <w:szCs w:val="16"/>
              </w:rPr>
            </w:pPr>
            <w:r>
              <w:rPr>
                <w:rFonts w:ascii="Times New Roman" w:hAnsi="Times New Roman"/>
                <w:noProof/>
                <w:color w:val="000000"/>
                <w:sz w:val="16"/>
              </w:rPr>
              <w:t>Preventivni del</w:t>
            </w:r>
          </w:p>
          <w:p w:rsidR="0059194F" w:rsidRDefault="00F458DE">
            <w:pPr>
              <w:jc w:val="center"/>
              <w:rPr>
                <w:rFonts w:ascii="Times New Roman" w:hAnsi="Times New Roman"/>
                <w:noProof/>
                <w:sz w:val="16"/>
              </w:rPr>
            </w:pPr>
            <w:r>
              <w:rPr>
                <w:rFonts w:ascii="Times New Roman" w:hAnsi="Times New Roman"/>
                <w:noProof/>
                <w:sz w:val="16"/>
              </w:rPr>
              <w:t>Ne dosega SC; velja pravilo glede dolga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b/>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BG</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512"/>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CY</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 xml:space="preserve">Čezmerna neravnotežja </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Dosega SC; velja prehodno pravilo glede dolga</w:t>
            </w:r>
            <w:r>
              <w:rPr>
                <w:rFonts w:ascii="Times New Roman" w:hAnsi="Times New Roman"/>
                <w:noProof/>
                <w:sz w:val="16"/>
                <w:vertAlign w:val="superscript"/>
              </w:rPr>
              <w:footnoteReference w:id="15"/>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CZ</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DE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rPr>
                <w:rFonts w:ascii="Times New Roman" w:hAnsi="Times New Roman"/>
                <w:noProof/>
                <w:sz w:val="16"/>
              </w:rPr>
            </w:pPr>
            <w:r>
              <w:rPr>
                <w:rFonts w:ascii="Times New Roman" w:hAnsi="Times New Roman"/>
                <w:noProof/>
                <w:sz w:val="16"/>
              </w:rPr>
              <w:t>Dosega SC; velja pravilo glede dolga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DK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ind w:left="-51"/>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EE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autoSpaceDE w:val="0"/>
              <w:autoSpaceDN w:val="0"/>
              <w:spacing w:after="0"/>
              <w:jc w:val="center"/>
              <w:rPr>
                <w:rFonts w:ascii="Times New Roman" w:hAnsi="Times New Roman" w:cs="Times New Roman"/>
                <w:noProof/>
                <w:color w:val="000000"/>
                <w:sz w:val="16"/>
                <w:szCs w:val="16"/>
              </w:rPr>
            </w:pPr>
            <w:r>
              <w:rPr>
                <w:rFonts w:ascii="Times New Roman" w:hAnsi="Times New Roman"/>
                <w:noProof/>
                <w:color w:val="000000"/>
                <w:sz w:val="16"/>
              </w:rPr>
              <w:t>Preventivni del</w:t>
            </w:r>
          </w:p>
          <w:p w:rsidR="0059194F" w:rsidRDefault="00F458DE">
            <w:pPr>
              <w:spacing w:after="0"/>
              <w:jc w:val="center"/>
              <w:rPr>
                <w:rFonts w:ascii="Times New Roman" w:hAnsi="Times New Roman"/>
                <w:noProof/>
                <w:sz w:val="16"/>
              </w:rPr>
            </w:pPr>
            <w:r>
              <w:rPr>
                <w:rFonts w:ascii="Times New Roman" w:hAnsi="Times New Roman"/>
                <w:noProof/>
                <w:sz w:val="16"/>
              </w:rPr>
              <w:t xml:space="preserve">Ne </w:t>
            </w:r>
            <w:r>
              <w:rPr>
                <w:rFonts w:ascii="Times New Roman" w:hAnsi="Times New Roman"/>
                <w:noProof/>
                <w:sz w:val="16"/>
              </w:rPr>
              <w:t>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ind w:left="-51"/>
              <w:jc w:val="center"/>
              <w:rPr>
                <w:rFonts w:ascii="Times New Roman" w:hAnsi="Times New Roman"/>
                <w:noProof/>
                <w:sz w:val="16"/>
              </w:rPr>
            </w:pPr>
          </w:p>
        </w:tc>
      </w:tr>
      <w:tr w:rsidR="0059194F">
        <w:trPr>
          <w:trHeight w:hRule="exact" w:val="671"/>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EL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Čezmerna 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autoSpaceDE w:val="0"/>
              <w:autoSpaceDN w:val="0"/>
              <w:spacing w:after="0"/>
              <w:jc w:val="center"/>
              <w:rPr>
                <w:rFonts w:ascii="Times New Roman" w:hAnsi="Times New Roman" w:cs="Times New Roman"/>
                <w:noProof/>
                <w:color w:val="000000"/>
                <w:sz w:val="16"/>
                <w:szCs w:val="16"/>
              </w:rPr>
            </w:pPr>
            <w:r>
              <w:rPr>
                <w:rFonts w:ascii="Times New Roman" w:hAnsi="Times New Roman"/>
                <w:noProof/>
                <w:color w:val="000000"/>
                <w:sz w:val="16"/>
              </w:rPr>
              <w:t>Preventivni del</w:t>
            </w:r>
          </w:p>
          <w:p w:rsidR="0059194F" w:rsidRDefault="00F458DE">
            <w:pPr>
              <w:spacing w:after="0"/>
              <w:jc w:val="center"/>
              <w:rPr>
                <w:rFonts w:ascii="Times New Roman" w:hAnsi="Times New Roman"/>
                <w:noProof/>
                <w:sz w:val="16"/>
              </w:rPr>
            </w:pPr>
            <w:r>
              <w:rPr>
                <w:rFonts w:ascii="Times New Roman" w:hAnsi="Times New Roman"/>
                <w:noProof/>
                <w:sz w:val="16"/>
              </w:rPr>
              <w:t>Velja prehodno pravilo glede dolga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ind w:left="-51"/>
              <w:jc w:val="left"/>
              <w:rPr>
                <w:rFonts w:ascii="Times New Roman" w:hAnsi="Times New Roman"/>
                <w:noProof/>
                <w:sz w:val="12"/>
              </w:rPr>
            </w:pPr>
            <w:r>
              <w:rPr>
                <w:rFonts w:ascii="Times New Roman" w:hAnsi="Times New Roman"/>
                <w:noProof/>
                <w:sz w:val="12"/>
              </w:rPr>
              <w:t xml:space="preserve">Ker Grčiji ni bilo treba predložiti programov za stabilnost, dokler je potekal program, še ni določila srednjeročnega cilja.  </w:t>
            </w: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IE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 xml:space="preserve">Dosega </w:t>
            </w:r>
            <w:r>
              <w:rPr>
                <w:rFonts w:ascii="Times New Roman" w:hAnsi="Times New Roman"/>
                <w:noProof/>
                <w:sz w:val="16"/>
              </w:rPr>
              <w:t>SC; velja prehodno pravilo glede dolga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ind w:left="-51"/>
              <w:jc w:val="center"/>
              <w:rPr>
                <w:rFonts w:ascii="Times New Roman" w:hAnsi="Times New Roman"/>
                <w:noProof/>
                <w:sz w:val="16"/>
              </w:rPr>
            </w:pPr>
          </w:p>
        </w:tc>
      </w:tr>
      <w:tr w:rsidR="0059194F">
        <w:trPr>
          <w:trHeight w:hRule="exact" w:val="601"/>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ES</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31"/>
            </w:tblGrid>
            <w:tr w:rsidR="0059194F">
              <w:trPr>
                <w:trHeight w:val="473"/>
              </w:trPr>
              <w:tc>
                <w:tcPr>
                  <w:tcW w:w="0" w:type="auto"/>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Korektivni del </w:t>
                  </w:r>
                </w:p>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Čezmeren primanjkljaj, rok za odpravo: 2018 </w:t>
                  </w:r>
                </w:p>
              </w:tc>
            </w:tr>
          </w:tbl>
          <w:p w:rsidR="0059194F" w:rsidRDefault="0059194F">
            <w:pPr>
              <w:spacing w:after="0"/>
              <w:jc w:val="center"/>
              <w:rPr>
                <w:rFonts w:ascii="Times New Roman" w:hAnsi="Times New Roman"/>
                <w:noProof/>
                <w:sz w:val="16"/>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jc w:val="center"/>
              <w:rPr>
                <w:rFonts w:ascii="Times New Roman" w:hAnsi="Times New Roman"/>
                <w:noProof/>
                <w:sz w:val="12"/>
              </w:rPr>
            </w:pPr>
            <w:r>
              <w:rPr>
                <w:rFonts w:ascii="Times New Roman" w:hAnsi="Times New Roman"/>
                <w:noProof/>
                <w:sz w:val="12"/>
              </w:rPr>
              <w:t xml:space="preserve">Za leto 2019 velja prehodno pravilo glede dolga, če se na podlagi potrjenih podatkov o realizaciji proračuna za leto 2018 PČP </w:t>
            </w:r>
            <w:r>
              <w:rPr>
                <w:rFonts w:ascii="Times New Roman" w:hAnsi="Times New Roman"/>
                <w:noProof/>
                <w:sz w:val="12"/>
              </w:rPr>
              <w:t>razveljavi.</w:t>
            </w: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FR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Ne dosega SC; velja prehodno pravilo glede dolga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HR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Dosega SC; velja pravilo glede dolga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620"/>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HU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59194F">
              <w:trPr>
                <w:trHeight w:val="225"/>
              </w:trPr>
              <w:tc>
                <w:tcPr>
                  <w:tcW w:w="0" w:type="auto"/>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Velja postopek zaradi znatnega odklona; velja pravilo glede dolga </w:t>
                  </w:r>
                </w:p>
              </w:tc>
            </w:tr>
          </w:tbl>
          <w:p w:rsidR="0059194F" w:rsidRDefault="0059194F">
            <w:pPr>
              <w:spacing w:after="0"/>
              <w:jc w:val="center"/>
              <w:rPr>
                <w:rFonts w:ascii="Times New Roman" w:hAnsi="Times New Roman"/>
                <w:noProof/>
                <w:sz w:val="16"/>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IT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Čezmerna 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Preventivni del</w:t>
            </w:r>
          </w:p>
          <w:p w:rsidR="0059194F" w:rsidRDefault="00F458DE">
            <w:pPr>
              <w:spacing w:after="0"/>
              <w:jc w:val="center"/>
              <w:rPr>
                <w:rFonts w:ascii="Times New Roman" w:hAnsi="Times New Roman"/>
                <w:noProof/>
                <w:sz w:val="16"/>
              </w:rPr>
            </w:pPr>
            <w:r>
              <w:rPr>
                <w:rFonts w:ascii="Times New Roman" w:hAnsi="Times New Roman"/>
                <w:noProof/>
                <w:sz w:val="16"/>
              </w:rPr>
              <w:t>Ne dosega SC; velja pravilo glede dolga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LT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LU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LV</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autoSpaceDE w:val="0"/>
              <w:autoSpaceDN w:val="0"/>
              <w:spacing w:after="0"/>
              <w:jc w:val="center"/>
              <w:rPr>
                <w:rFonts w:ascii="Times New Roman" w:hAnsi="Times New Roman" w:cs="Times New Roman"/>
                <w:noProof/>
                <w:color w:val="000000"/>
                <w:sz w:val="16"/>
                <w:szCs w:val="16"/>
              </w:rPr>
            </w:pPr>
            <w:r>
              <w:rPr>
                <w:rFonts w:ascii="Times New Roman" w:hAnsi="Times New Roman"/>
                <w:noProof/>
                <w:color w:val="000000"/>
                <w:sz w:val="16"/>
              </w:rPr>
              <w:t>Preventivni del</w:t>
            </w:r>
          </w:p>
          <w:p w:rsidR="0059194F" w:rsidRDefault="00F458DE">
            <w:pPr>
              <w:spacing w:after="0"/>
              <w:jc w:val="center"/>
              <w:rPr>
                <w:rFonts w:ascii="Times New Roman" w:hAnsi="Times New Roman"/>
                <w:noProof/>
                <w:sz w:val="16"/>
              </w:rPr>
            </w:pPr>
            <w:r>
              <w:rPr>
                <w:rFonts w:ascii="Times New Roman" w:hAnsi="Times New Roman"/>
                <w:noProof/>
                <w:sz w:val="16"/>
              </w:rPr>
              <w:t>Ne 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MT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NL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PL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autoSpaceDE w:val="0"/>
              <w:autoSpaceDN w:val="0"/>
              <w:spacing w:after="0"/>
              <w:jc w:val="center"/>
              <w:rPr>
                <w:rFonts w:ascii="Times New Roman" w:hAnsi="Times New Roman" w:cs="Times New Roman"/>
                <w:noProof/>
                <w:color w:val="000000"/>
                <w:sz w:val="16"/>
                <w:szCs w:val="16"/>
              </w:rPr>
            </w:pPr>
            <w:r>
              <w:rPr>
                <w:rFonts w:ascii="Times New Roman" w:hAnsi="Times New Roman"/>
                <w:noProof/>
                <w:color w:val="000000"/>
                <w:sz w:val="16"/>
              </w:rPr>
              <w:t>Preventivni del</w:t>
            </w:r>
          </w:p>
          <w:p w:rsidR="0059194F" w:rsidRDefault="00F458DE">
            <w:pPr>
              <w:spacing w:after="0"/>
              <w:jc w:val="center"/>
              <w:rPr>
                <w:rFonts w:ascii="Times New Roman" w:hAnsi="Times New Roman"/>
                <w:noProof/>
                <w:sz w:val="16"/>
              </w:rPr>
            </w:pPr>
            <w:r>
              <w:rPr>
                <w:rFonts w:ascii="Times New Roman" w:hAnsi="Times New Roman"/>
                <w:noProof/>
                <w:sz w:val="16"/>
              </w:rPr>
              <w:t>Ne 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PT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Ne dosega SC; velja prehodno pravilo glede dolga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SI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Ne dosega SC; velja prehodno pravilo glede dolga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SE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SK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Ne dosega SC</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RO</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noProof/>
                <w:sz w:val="14"/>
                <w:szCs w:val="14"/>
              </w:rPr>
            </w:pPr>
            <w:r>
              <w:rPr>
                <w:rFonts w:ascii="Times New Roman" w:hAnsi="Times New Roman"/>
                <w:noProof/>
                <w:sz w:val="14"/>
              </w:rPr>
              <w:t>Neravnotežja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Velja postopek zaradi znatnega odklona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FI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Ne dosega SC; velja pravilo glede dolga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jc w:val="center"/>
              <w:rPr>
                <w:rFonts w:ascii="Times New Roman" w:hAnsi="Times New Roman"/>
                <w:noProof/>
                <w:sz w:val="12"/>
              </w:rPr>
            </w:pPr>
            <w:r>
              <w:rPr>
                <w:rFonts w:ascii="Times New Roman" w:hAnsi="Times New Roman"/>
                <w:noProof/>
                <w:sz w:val="12"/>
              </w:rPr>
              <w:t xml:space="preserve">Oddaljenost od SC leta 2018 je manjša od dovoljenega odstopanja zaradi izrednih dogodkov in strukturnih reform. </w:t>
            </w:r>
          </w:p>
        </w:tc>
      </w:tr>
      <w:tr w:rsidR="0059194F">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59194F" w:rsidRDefault="00F458DE">
            <w:pPr>
              <w:jc w:val="center"/>
              <w:rPr>
                <w:rFonts w:ascii="Times New Roman" w:eastAsia="Times New Roman" w:hAnsi="Times New Roman"/>
                <w:b/>
                <w:noProof/>
                <w:sz w:val="18"/>
                <w:szCs w:val="18"/>
              </w:rPr>
            </w:pPr>
            <w:r>
              <w:rPr>
                <w:rFonts w:ascii="Times New Roman" w:hAnsi="Times New Roman"/>
                <w:b/>
                <w:noProof/>
                <w:sz w:val="18"/>
              </w:rPr>
              <w:t>UK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59194F" w:rsidRDefault="0059194F">
            <w:pPr>
              <w:jc w:val="center"/>
              <w:rPr>
                <w:rFonts w:ascii="Times New Roman" w:eastAsia="Times New Roman" w:hAnsi="Times New Roman"/>
                <w:noProof/>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59194F" w:rsidRDefault="00F458DE">
            <w:pPr>
              <w:spacing w:after="0"/>
              <w:jc w:val="center"/>
              <w:rPr>
                <w:rFonts w:ascii="Times New Roman" w:eastAsia="Times New Roman" w:hAnsi="Times New Roman" w:cs="Times New Roman"/>
                <w:noProof/>
                <w:sz w:val="16"/>
                <w:szCs w:val="16"/>
              </w:rPr>
            </w:pPr>
            <w:r>
              <w:rPr>
                <w:rFonts w:ascii="Times New Roman" w:hAnsi="Times New Roman"/>
                <w:noProof/>
                <w:sz w:val="16"/>
              </w:rPr>
              <w:t xml:space="preserve">Preventivni del </w:t>
            </w:r>
          </w:p>
          <w:p w:rsidR="0059194F" w:rsidRDefault="00F458DE">
            <w:pPr>
              <w:spacing w:after="0"/>
              <w:jc w:val="center"/>
              <w:rPr>
                <w:rFonts w:ascii="Times New Roman" w:hAnsi="Times New Roman"/>
                <w:noProof/>
                <w:sz w:val="16"/>
              </w:rPr>
            </w:pPr>
            <w:r>
              <w:rPr>
                <w:rFonts w:ascii="Times New Roman" w:hAnsi="Times New Roman"/>
                <w:noProof/>
                <w:sz w:val="16"/>
              </w:rPr>
              <w:t>Ne dosega SC; velja prehodno pravilo glede dolga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59194F" w:rsidRDefault="0059194F">
            <w:pPr>
              <w:jc w:val="center"/>
              <w:rPr>
                <w:rFonts w:ascii="Times New Roman" w:hAnsi="Times New Roman"/>
                <w:noProof/>
                <w:sz w:val="16"/>
              </w:rPr>
            </w:pPr>
          </w:p>
        </w:tc>
      </w:tr>
      <w:tr w:rsidR="0059194F">
        <w:trPr>
          <w:trHeight w:hRule="exact" w:val="397"/>
          <w:jc w:val="center"/>
        </w:trPr>
        <w:tc>
          <w:tcPr>
            <w:tcW w:w="8979" w:type="dxa"/>
            <w:gridSpan w:val="4"/>
            <w:tcBorders>
              <w:top w:val="single" w:sz="4" w:space="0" w:color="auto"/>
              <w:left w:val="nil"/>
              <w:bottom w:val="single" w:sz="4" w:space="0" w:color="auto"/>
              <w:right w:val="single" w:sz="4" w:space="0" w:color="auto"/>
            </w:tcBorders>
            <w:shd w:val="clear" w:color="auto" w:fill="FFFFFF"/>
            <w:vAlign w:val="center"/>
          </w:tcPr>
          <w:p w:rsidR="0059194F" w:rsidRDefault="00F458DE">
            <w:pPr>
              <w:rPr>
                <w:rFonts w:ascii="Times New Roman" w:eastAsia="Times New Roman" w:hAnsi="Times New Roman"/>
                <w:noProof/>
                <w:sz w:val="14"/>
                <w:szCs w:val="14"/>
              </w:rPr>
            </w:pPr>
            <w:r>
              <w:rPr>
                <w:rFonts w:ascii="Times New Roman" w:hAnsi="Times New Roman"/>
                <w:noProof/>
                <w:sz w:val="14"/>
              </w:rPr>
              <w:t xml:space="preserve">(*) Priporočila, izdana v skladu z zakonodajnim dvojčkom (Uredba (EU) </w:t>
            </w:r>
            <w:r>
              <w:rPr>
                <w:rFonts w:ascii="Times New Roman" w:hAnsi="Times New Roman"/>
                <w:noProof/>
                <w:sz w:val="14"/>
              </w:rPr>
              <w:t>št. 473/2013) v zvezi z ukrepi, ki jih je treba sprejeti za zagotovitev pravočasne odprave čezmernega javnofinančnega primanjkljaja, zadevajo samo države članice euroobmočja.</w:t>
            </w:r>
          </w:p>
        </w:tc>
      </w:tr>
    </w:tbl>
    <w:p w:rsidR="0059194F" w:rsidRDefault="0059194F">
      <w:pPr>
        <w:rPr>
          <w:rFonts w:ascii="Times New Roman" w:cs="Calibri"/>
          <w:noProof/>
          <w:color w:val="000000"/>
          <w:sz w:val="24"/>
          <w:szCs w:val="24"/>
          <w:u w:color="000000"/>
          <w:bdr w:val="nil"/>
        </w:rPr>
      </w:pPr>
    </w:p>
    <w:p w:rsidR="0059194F" w:rsidRDefault="0059194F">
      <w:pPr>
        <w:rPr>
          <w:rFonts w:ascii="Times New Roman" w:cs="Calibri"/>
          <w:noProof/>
          <w:color w:val="000000"/>
          <w:sz w:val="24"/>
          <w:szCs w:val="24"/>
          <w:u w:color="000000"/>
          <w:bdr w:val="nil"/>
        </w:rPr>
      </w:pPr>
    </w:p>
    <w:p w:rsidR="0059194F" w:rsidRDefault="0059194F">
      <w:pPr>
        <w:rPr>
          <w:rFonts w:ascii="Times New Roman" w:cs="Calibri"/>
          <w:noProof/>
          <w:color w:val="000000"/>
          <w:sz w:val="24"/>
          <w:szCs w:val="24"/>
          <w:u w:color="000000"/>
          <w:bdr w:val="nil"/>
        </w:rPr>
      </w:pPr>
    </w:p>
    <w:p w:rsidR="0059194F" w:rsidRDefault="0059194F">
      <w:pPr>
        <w:rPr>
          <w:rFonts w:ascii="Times New Roman" w:cs="Calibri"/>
          <w:noProof/>
          <w:color w:val="000000"/>
          <w:sz w:val="24"/>
          <w:szCs w:val="24"/>
          <w:u w:color="000000"/>
          <w:bdr w:val="nil"/>
        </w:rPr>
      </w:pPr>
    </w:p>
    <w:p w:rsidR="0059194F" w:rsidRDefault="00F458DE">
      <w:pPr>
        <w:rPr>
          <w:rFonts w:ascii="Times New Roman" w:eastAsia="Times New Roman" w:hAnsi="Times New Roman"/>
          <w:b/>
          <w:smallCaps/>
          <w:noProof/>
          <w:sz w:val="20"/>
          <w:szCs w:val="20"/>
        </w:rPr>
      </w:pPr>
      <w:r>
        <w:rPr>
          <w:noProof/>
        </w:rPr>
        <w:br w:type="page"/>
      </w:r>
      <w:r>
        <w:rPr>
          <w:rFonts w:ascii="Times New Roman" w:hAnsi="Times New Roman"/>
          <w:b/>
          <w:smallCaps/>
          <w:noProof/>
          <w:sz w:val="24"/>
        </w:rPr>
        <w:t>Dodatek 2 – Napredek pri doseganju ciljev iz strategije Evropa 2020</w:t>
      </w:r>
    </w:p>
    <w:p w:rsidR="0059194F" w:rsidRDefault="0059194F">
      <w:pPr>
        <w:rPr>
          <w:rFonts w:ascii="Times New Roman" w:eastAsia="Times New Roman" w:hAnsi="Times New Roman"/>
          <w:b/>
          <w:smallCaps/>
          <w:noProof/>
          <w:sz w:val="20"/>
          <w:szCs w:val="20"/>
        </w:rPr>
      </w:pPr>
    </w:p>
    <w:tbl>
      <w:tblPr>
        <w:tblStyle w:val="MediumShading2-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01"/>
        <w:gridCol w:w="1701"/>
        <w:gridCol w:w="2268"/>
        <w:gridCol w:w="2517"/>
      </w:tblGrid>
      <w:tr w:rsidR="0059194F" w:rsidTr="005919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12" w:space="0" w:color="auto"/>
              <w:left w:val="none" w:sz="0" w:space="0" w:color="auto"/>
              <w:bottom w:val="single" w:sz="12" w:space="0" w:color="auto"/>
              <w:right w:val="none" w:sz="0" w:space="0" w:color="auto"/>
            </w:tcBorders>
            <w:shd w:val="clear" w:color="auto" w:fill="auto"/>
          </w:tcPr>
          <w:p w:rsidR="0059194F" w:rsidRDefault="00F458DE">
            <w:pPr>
              <w:rPr>
                <w:rFonts w:ascii="Times New Roman" w:hAnsi="Times New Roman"/>
                <w:b w:val="0"/>
                <w:noProof/>
                <w:color w:val="auto"/>
              </w:rPr>
            </w:pPr>
            <w:r>
              <w:rPr>
                <w:rFonts w:ascii="Times New Roman" w:hAnsi="Times New Roman"/>
                <w:noProof/>
                <w:color w:val="auto"/>
              </w:rPr>
              <w:t xml:space="preserve">Cilji iz strategije Evropa 2020 </w:t>
            </w:r>
            <w:r>
              <w:rPr>
                <w:rFonts w:ascii="Times New Roman" w:hAnsi="Times New Roman"/>
                <w:noProof/>
                <w:color w:val="auto"/>
              </w:rPr>
              <w:br/>
              <w:t>za EU</w:t>
            </w:r>
          </w:p>
        </w:tc>
        <w:tc>
          <w:tcPr>
            <w:tcW w:w="1701" w:type="dxa"/>
            <w:tcBorders>
              <w:top w:val="single" w:sz="12" w:space="0" w:color="auto"/>
              <w:left w:val="none" w:sz="0" w:space="0" w:color="auto"/>
              <w:bottom w:val="single" w:sz="12" w:space="0" w:color="auto"/>
              <w:right w:val="none" w:sz="0" w:space="0" w:color="auto"/>
            </w:tcBorders>
            <w:shd w:val="clear" w:color="auto" w:fill="auto"/>
          </w:tcPr>
          <w:p w:rsidR="0059194F" w:rsidRDefault="00F458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rPr>
            </w:pPr>
            <w:r>
              <w:rPr>
                <w:rFonts w:ascii="Times New Roman" w:hAnsi="Times New Roman"/>
                <w:noProof/>
                <w:color w:val="auto"/>
              </w:rPr>
              <w:t>Podatki za leto 2010</w:t>
            </w:r>
          </w:p>
        </w:tc>
        <w:tc>
          <w:tcPr>
            <w:tcW w:w="2268" w:type="dxa"/>
            <w:tcBorders>
              <w:top w:val="single" w:sz="12" w:space="0" w:color="auto"/>
              <w:left w:val="none" w:sz="0" w:space="0" w:color="auto"/>
              <w:bottom w:val="single" w:sz="12" w:space="0" w:color="auto"/>
              <w:right w:val="none" w:sz="0" w:space="0" w:color="auto"/>
            </w:tcBorders>
            <w:shd w:val="clear" w:color="auto" w:fill="auto"/>
          </w:tcPr>
          <w:p w:rsidR="0059194F" w:rsidRDefault="00F458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rPr>
            </w:pPr>
            <w:r>
              <w:rPr>
                <w:rFonts w:ascii="Times New Roman" w:hAnsi="Times New Roman"/>
                <w:noProof/>
                <w:color w:val="auto"/>
              </w:rPr>
              <w:t>Najnovejši razpoložljivi podatki</w:t>
            </w:r>
          </w:p>
        </w:tc>
        <w:tc>
          <w:tcPr>
            <w:tcW w:w="2517" w:type="dxa"/>
            <w:tcBorders>
              <w:top w:val="single" w:sz="12" w:space="0" w:color="auto"/>
              <w:left w:val="none" w:sz="0" w:space="0" w:color="auto"/>
              <w:bottom w:val="single" w:sz="12" w:space="0" w:color="auto"/>
              <w:right w:val="none" w:sz="0" w:space="0" w:color="auto"/>
            </w:tcBorders>
            <w:shd w:val="clear" w:color="auto" w:fill="auto"/>
          </w:tcPr>
          <w:p w:rsidR="0059194F" w:rsidRDefault="00F458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rPr>
            </w:pPr>
            <w:r>
              <w:rPr>
                <w:rFonts w:ascii="Times New Roman" w:hAnsi="Times New Roman"/>
                <w:noProof/>
                <w:color w:val="auto"/>
              </w:rPr>
              <w:t>Leta 2020 na podlagi nedavnih trendov</w:t>
            </w:r>
          </w:p>
        </w:tc>
      </w:tr>
      <w:tr w:rsidR="0059194F" w:rsidTr="00591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left w:val="none" w:sz="0" w:space="0" w:color="auto"/>
              <w:bottom w:val="none" w:sz="0" w:space="0" w:color="auto"/>
              <w:right w:val="none" w:sz="0" w:space="0" w:color="auto"/>
            </w:tcBorders>
            <w:shd w:val="clear" w:color="auto" w:fill="auto"/>
          </w:tcPr>
          <w:p w:rsidR="0059194F" w:rsidRDefault="00F458DE">
            <w:pPr>
              <w:rPr>
                <w:rFonts w:ascii="Times New Roman" w:hAnsi="Times New Roman"/>
                <w:b w:val="0"/>
                <w:noProof/>
                <w:color w:val="auto"/>
              </w:rPr>
            </w:pPr>
            <w:r>
              <w:rPr>
                <w:rFonts w:ascii="Times New Roman" w:hAnsi="Times New Roman"/>
                <w:b w:val="0"/>
                <w:noProof/>
                <w:color w:val="auto"/>
              </w:rPr>
              <w:t>1. Zvišanje stopnje zaposlenosti prebivalstva med 20. in 64. letom starosti na vsaj 75 %</w:t>
            </w:r>
          </w:p>
        </w:tc>
        <w:tc>
          <w:tcPr>
            <w:tcW w:w="1701" w:type="dxa"/>
            <w:tcBorders>
              <w:top w:val="single" w:sz="12" w:space="0" w:color="auto"/>
            </w:tcBorders>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68,6 %</w:t>
            </w:r>
          </w:p>
        </w:tc>
        <w:tc>
          <w:tcPr>
            <w:tcW w:w="2268" w:type="dxa"/>
            <w:tcBorders>
              <w:top w:val="single" w:sz="12" w:space="0" w:color="auto"/>
            </w:tcBorders>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 xml:space="preserve">73,5 % (tretje četrtletje </w:t>
            </w:r>
            <w:r>
              <w:rPr>
                <w:rFonts w:ascii="Times New Roman" w:hAnsi="Times New Roman"/>
                <w:noProof/>
              </w:rPr>
              <w:t>leta 2018)</w:t>
            </w:r>
          </w:p>
        </w:tc>
        <w:tc>
          <w:tcPr>
            <w:tcW w:w="2517" w:type="dxa"/>
            <w:tcBorders>
              <w:top w:val="single" w:sz="12" w:space="0" w:color="auto"/>
            </w:tcBorders>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cilj bo verjetno dosežen</w:t>
            </w:r>
          </w:p>
        </w:tc>
      </w:tr>
      <w:tr w:rsidR="0059194F" w:rsidTr="0059194F">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59194F" w:rsidRDefault="00F458DE">
            <w:pPr>
              <w:rPr>
                <w:rFonts w:ascii="Times New Roman" w:hAnsi="Times New Roman"/>
                <w:b w:val="0"/>
                <w:noProof/>
                <w:color w:val="auto"/>
              </w:rPr>
            </w:pPr>
            <w:r>
              <w:rPr>
                <w:rFonts w:ascii="Times New Roman" w:hAnsi="Times New Roman"/>
                <w:b w:val="0"/>
                <w:noProof/>
                <w:color w:val="auto"/>
              </w:rPr>
              <w:t>2. Povečanje skupnih javnih in zasebnih naložb v raziskave in razvoj na 3 % BDP</w:t>
            </w:r>
          </w:p>
        </w:tc>
        <w:tc>
          <w:tcPr>
            <w:tcW w:w="1701" w:type="dxa"/>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1,93 %</w:t>
            </w:r>
          </w:p>
        </w:tc>
        <w:tc>
          <w:tcPr>
            <w:tcW w:w="2268" w:type="dxa"/>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2,07 % (2017)</w:t>
            </w:r>
          </w:p>
        </w:tc>
        <w:tc>
          <w:tcPr>
            <w:tcW w:w="2517" w:type="dxa"/>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cilj verjetno ne bo dosežen</w:t>
            </w:r>
          </w:p>
        </w:tc>
      </w:tr>
      <w:tr w:rsidR="0059194F" w:rsidTr="00591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59194F" w:rsidRDefault="00F458DE">
            <w:pPr>
              <w:rPr>
                <w:rFonts w:ascii="Times New Roman" w:hAnsi="Times New Roman"/>
                <w:b w:val="0"/>
                <w:noProof/>
                <w:color w:val="auto"/>
              </w:rPr>
            </w:pPr>
            <w:r>
              <w:rPr>
                <w:rFonts w:ascii="Times New Roman" w:hAnsi="Times New Roman"/>
                <w:b w:val="0"/>
                <w:noProof/>
                <w:color w:val="auto"/>
              </w:rPr>
              <w:t>3a. Zmanjšanje emisij toplogrednih plinov za vsaj 20 % v primerjavi z letom 1990</w:t>
            </w:r>
          </w:p>
        </w:tc>
        <w:tc>
          <w:tcPr>
            <w:tcW w:w="1701" w:type="dxa"/>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Zmanjšanje za 14,2 %</w:t>
            </w:r>
          </w:p>
        </w:tc>
        <w:tc>
          <w:tcPr>
            <w:tcW w:w="2268" w:type="dxa"/>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Zmanjšanje za 22 %</w:t>
            </w:r>
          </w:p>
        </w:tc>
        <w:tc>
          <w:tcPr>
            <w:tcW w:w="2517" w:type="dxa"/>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cilj bo verjetno dosežen</w:t>
            </w:r>
          </w:p>
        </w:tc>
      </w:tr>
      <w:tr w:rsidR="0059194F" w:rsidTr="0059194F">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59194F" w:rsidRDefault="00F458DE">
            <w:pPr>
              <w:rPr>
                <w:rFonts w:ascii="Times New Roman" w:hAnsi="Times New Roman"/>
                <w:b w:val="0"/>
                <w:noProof/>
                <w:color w:val="auto"/>
              </w:rPr>
            </w:pPr>
            <w:r>
              <w:rPr>
                <w:rFonts w:ascii="Times New Roman" w:hAnsi="Times New Roman"/>
                <w:b w:val="0"/>
                <w:noProof/>
                <w:color w:val="auto"/>
              </w:rPr>
              <w:t>3b. Povečanje deleža energije iz obnovljivih virov v končni porabi energije na 20 %</w:t>
            </w:r>
          </w:p>
        </w:tc>
        <w:tc>
          <w:tcPr>
            <w:tcW w:w="1701" w:type="dxa"/>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12,5 %</w:t>
            </w:r>
          </w:p>
        </w:tc>
        <w:tc>
          <w:tcPr>
            <w:tcW w:w="2268" w:type="dxa"/>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17,5 % (2017)</w:t>
            </w:r>
          </w:p>
          <w:p w:rsidR="0059194F" w:rsidRDefault="005919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p>
        </w:tc>
        <w:tc>
          <w:tcPr>
            <w:tcW w:w="2517" w:type="dxa"/>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cilj bo verjetno dosežen</w:t>
            </w:r>
          </w:p>
        </w:tc>
      </w:tr>
      <w:tr w:rsidR="0059194F" w:rsidTr="00591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59194F" w:rsidRDefault="00F458DE">
            <w:pPr>
              <w:rPr>
                <w:rFonts w:ascii="Times New Roman" w:hAnsi="Times New Roman"/>
                <w:b w:val="0"/>
                <w:noProof/>
                <w:color w:val="auto"/>
              </w:rPr>
            </w:pPr>
            <w:r>
              <w:rPr>
                <w:rFonts w:ascii="Times New Roman" w:hAnsi="Times New Roman"/>
                <w:b w:val="0"/>
                <w:noProof/>
                <w:color w:val="auto"/>
              </w:rPr>
              <w:t xml:space="preserve">3c. Približevanje cilju glede povečanja energijske </w:t>
            </w:r>
            <w:r>
              <w:rPr>
                <w:rFonts w:ascii="Times New Roman" w:hAnsi="Times New Roman"/>
                <w:b w:val="0"/>
                <w:noProof/>
                <w:color w:val="auto"/>
              </w:rPr>
              <w:t>učinkovitosti za 20 %</w:t>
            </w:r>
          </w:p>
        </w:tc>
        <w:tc>
          <w:tcPr>
            <w:tcW w:w="1701" w:type="dxa"/>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11,8 % (oddaljenost od cilja glede porabe primarne energije za leto 2020)</w:t>
            </w:r>
          </w:p>
        </w:tc>
        <w:tc>
          <w:tcPr>
            <w:tcW w:w="2268" w:type="dxa"/>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5,26 % (2017)</w:t>
            </w:r>
          </w:p>
          <w:p w:rsidR="0059194F" w:rsidRDefault="005919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p>
        </w:tc>
        <w:tc>
          <w:tcPr>
            <w:tcW w:w="2517" w:type="dxa"/>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cilj bo verjetno dosežen</w:t>
            </w:r>
          </w:p>
        </w:tc>
      </w:tr>
      <w:tr w:rsidR="0059194F" w:rsidTr="0059194F">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59194F" w:rsidRDefault="00F458DE">
            <w:pPr>
              <w:rPr>
                <w:rFonts w:ascii="Times New Roman" w:hAnsi="Times New Roman"/>
                <w:b w:val="0"/>
                <w:noProof/>
                <w:color w:val="auto"/>
              </w:rPr>
            </w:pPr>
            <w:r>
              <w:rPr>
                <w:rFonts w:ascii="Times New Roman" w:hAnsi="Times New Roman"/>
                <w:b w:val="0"/>
                <w:noProof/>
                <w:color w:val="auto"/>
              </w:rPr>
              <w:t>4a. Zmanjšanje deleža oseb, ki zgodaj opustijo šolanje (med 18. in 24. letom starosti), pod 10 %</w:t>
            </w:r>
          </w:p>
        </w:tc>
        <w:tc>
          <w:tcPr>
            <w:tcW w:w="1701" w:type="dxa"/>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13,9 %</w:t>
            </w:r>
          </w:p>
        </w:tc>
        <w:tc>
          <w:tcPr>
            <w:tcW w:w="2268" w:type="dxa"/>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10,6 % (2017)</w:t>
            </w:r>
          </w:p>
        </w:tc>
        <w:tc>
          <w:tcPr>
            <w:tcW w:w="2517" w:type="dxa"/>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c</w:t>
            </w:r>
            <w:r>
              <w:rPr>
                <w:rFonts w:ascii="Times New Roman" w:hAnsi="Times New Roman"/>
                <w:noProof/>
              </w:rPr>
              <w:t>ilj bo verjetno dosežen</w:t>
            </w:r>
          </w:p>
        </w:tc>
      </w:tr>
      <w:tr w:rsidR="0059194F" w:rsidTr="00591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single" w:sz="4" w:space="0" w:color="auto"/>
              <w:right w:val="none" w:sz="0" w:space="0" w:color="auto"/>
            </w:tcBorders>
            <w:shd w:val="clear" w:color="auto" w:fill="auto"/>
          </w:tcPr>
          <w:p w:rsidR="0059194F" w:rsidRDefault="00F458DE">
            <w:pPr>
              <w:rPr>
                <w:rFonts w:ascii="Times New Roman" w:hAnsi="Times New Roman"/>
                <w:b w:val="0"/>
                <w:noProof/>
                <w:color w:val="auto"/>
              </w:rPr>
            </w:pPr>
            <w:r>
              <w:rPr>
                <w:rFonts w:ascii="Times New Roman" w:hAnsi="Times New Roman"/>
                <w:b w:val="0"/>
                <w:noProof/>
                <w:color w:val="auto"/>
              </w:rPr>
              <w:t>4b. Povečanje deleža prebivalstva med 30. in 34. letom starosti s končano terciarno izobrazbo na vsaj 40 %</w:t>
            </w:r>
          </w:p>
        </w:tc>
        <w:tc>
          <w:tcPr>
            <w:tcW w:w="1701" w:type="dxa"/>
            <w:tcBorders>
              <w:bottom w:val="single" w:sz="4" w:space="0" w:color="auto"/>
            </w:tcBorders>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33,8 %</w:t>
            </w:r>
          </w:p>
        </w:tc>
        <w:tc>
          <w:tcPr>
            <w:tcW w:w="2268" w:type="dxa"/>
            <w:tcBorders>
              <w:bottom w:val="single" w:sz="4" w:space="0" w:color="auto"/>
            </w:tcBorders>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39,9 % (2017)</w:t>
            </w:r>
          </w:p>
        </w:tc>
        <w:tc>
          <w:tcPr>
            <w:tcW w:w="2517" w:type="dxa"/>
            <w:tcBorders>
              <w:bottom w:val="single" w:sz="4" w:space="0" w:color="auto"/>
            </w:tcBorders>
            <w:shd w:val="clear" w:color="auto" w:fill="auto"/>
          </w:tcPr>
          <w:p w:rsidR="0059194F" w:rsidRDefault="00F458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rPr>
            </w:pPr>
            <w:r>
              <w:rPr>
                <w:rFonts w:ascii="Times New Roman" w:hAnsi="Times New Roman"/>
                <w:noProof/>
              </w:rPr>
              <w:t>cilj bo verjetno dosežen</w:t>
            </w:r>
          </w:p>
        </w:tc>
      </w:tr>
      <w:tr w:rsidR="0059194F" w:rsidTr="0059194F">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single" w:sz="12" w:space="0" w:color="auto"/>
              <w:right w:val="none" w:sz="0" w:space="0" w:color="auto"/>
            </w:tcBorders>
            <w:shd w:val="clear" w:color="auto" w:fill="auto"/>
          </w:tcPr>
          <w:p w:rsidR="0059194F" w:rsidRDefault="00F458DE">
            <w:pPr>
              <w:rPr>
                <w:rFonts w:ascii="Times New Roman" w:hAnsi="Times New Roman"/>
                <w:b w:val="0"/>
                <w:noProof/>
                <w:color w:val="auto"/>
              </w:rPr>
            </w:pPr>
            <w:r>
              <w:rPr>
                <w:rFonts w:ascii="Times New Roman" w:hAnsi="Times New Roman"/>
                <w:b w:val="0"/>
                <w:noProof/>
                <w:color w:val="auto"/>
              </w:rPr>
              <w:t>5. Zmanjšanje tveganja izpostavljenosti revščini in socialni izključenosti za</w:t>
            </w:r>
            <w:r>
              <w:rPr>
                <w:rFonts w:ascii="Times New Roman" w:hAnsi="Times New Roman"/>
                <w:b w:val="0"/>
                <w:noProof/>
                <w:color w:val="auto"/>
              </w:rPr>
              <w:t xml:space="preserve"> vsaj 20 milijonov oseb</w:t>
            </w:r>
          </w:p>
        </w:tc>
        <w:tc>
          <w:tcPr>
            <w:tcW w:w="1701" w:type="dxa"/>
            <w:tcBorders>
              <w:bottom w:val="single" w:sz="12" w:space="0" w:color="auto"/>
            </w:tcBorders>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povečanje za 1,4 milijona (v primerjavi z izhodiščnim letom 2008)</w:t>
            </w:r>
          </w:p>
        </w:tc>
        <w:tc>
          <w:tcPr>
            <w:tcW w:w="2268" w:type="dxa"/>
            <w:tcBorders>
              <w:bottom w:val="single" w:sz="12" w:space="0" w:color="auto"/>
            </w:tcBorders>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zmanjšanje za 5,2 milijona leta 2017 (v primerjavi z izhodiščnim letom 2008)</w:t>
            </w:r>
            <w:r>
              <w:rPr>
                <w:noProof/>
              </w:rPr>
              <w:tab/>
            </w:r>
          </w:p>
        </w:tc>
        <w:tc>
          <w:tcPr>
            <w:tcW w:w="2517" w:type="dxa"/>
            <w:tcBorders>
              <w:bottom w:val="single" w:sz="12" w:space="0" w:color="auto"/>
            </w:tcBorders>
            <w:shd w:val="clear" w:color="auto" w:fill="auto"/>
          </w:tcPr>
          <w:p w:rsidR="0059194F" w:rsidRDefault="00F458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rPr>
            </w:pPr>
            <w:r>
              <w:rPr>
                <w:rFonts w:ascii="Times New Roman" w:hAnsi="Times New Roman"/>
                <w:noProof/>
              </w:rPr>
              <w:t>cilj verjetno ne bo dosežen</w:t>
            </w:r>
          </w:p>
        </w:tc>
      </w:tr>
    </w:tbl>
    <w:p w:rsidR="0059194F" w:rsidRDefault="0059194F">
      <w:pPr>
        <w:rPr>
          <w:b/>
          <w:noProof/>
        </w:rPr>
      </w:pPr>
    </w:p>
    <w:p w:rsidR="0059194F" w:rsidRDefault="0059194F">
      <w:pPr>
        <w:rPr>
          <w:rFonts w:ascii="Times New Roman" w:hAnsi="Times New Roman"/>
          <w:noProof/>
        </w:rPr>
      </w:pPr>
    </w:p>
    <w:p w:rsidR="0059194F" w:rsidRDefault="00F458DE">
      <w:pPr>
        <w:rPr>
          <w:rFonts w:ascii="Times New Roman" w:hAnsi="Times New Roman"/>
          <w:noProof/>
        </w:rPr>
      </w:pPr>
      <w:r>
        <w:rPr>
          <w:noProof/>
        </w:rPr>
        <w:br w:type="page"/>
      </w:r>
    </w:p>
    <w:p w:rsidR="0059194F" w:rsidRDefault="00F458DE">
      <w:pPr>
        <w:rPr>
          <w:rFonts w:ascii="Times New Roman" w:eastAsia="Times New Roman" w:hAnsi="Times New Roman"/>
          <w:b/>
          <w:smallCaps/>
          <w:noProof/>
          <w:sz w:val="24"/>
          <w:szCs w:val="20"/>
        </w:rPr>
      </w:pPr>
      <w:r>
        <w:rPr>
          <w:rFonts w:ascii="Times New Roman" w:hAnsi="Times New Roman"/>
          <w:b/>
          <w:smallCaps/>
          <w:noProof/>
          <w:sz w:val="24"/>
        </w:rPr>
        <w:t xml:space="preserve">Dodatek 3 – Ugotovitve iz poglobljenih pregledov po </w:t>
      </w:r>
      <w:r>
        <w:rPr>
          <w:rFonts w:ascii="Times New Roman" w:hAnsi="Times New Roman"/>
          <w:b/>
          <w:smallCaps/>
          <w:noProof/>
          <w:sz w:val="24"/>
        </w:rPr>
        <w:t>državah članicah</w:t>
      </w:r>
    </w:p>
    <w:p w:rsidR="0059194F" w:rsidRDefault="00F458DE">
      <w:pPr>
        <w:spacing w:before="120"/>
        <w:rPr>
          <w:rFonts w:ascii="Times New Roman" w:eastAsia="Times New Roman" w:hAnsi="Times New Roman"/>
          <w:noProof/>
          <w:sz w:val="24"/>
          <w:szCs w:val="24"/>
        </w:rPr>
      </w:pPr>
      <w:r>
        <w:rPr>
          <w:rFonts w:ascii="Times New Roman" w:hAnsi="Times New Roman"/>
          <w:b/>
          <w:noProof/>
          <w:sz w:val="24"/>
        </w:rPr>
        <w:t>Bolgarija</w:t>
      </w:r>
      <w:r>
        <w:rPr>
          <w:rFonts w:ascii="Times New Roman" w:hAnsi="Times New Roman"/>
          <w:noProof/>
          <w:sz w:val="24"/>
        </w:rPr>
        <w:t xml:space="preserve"> se sooča z neravnotežji. Slabosti v finančnem sektorju spremljata visoka zadolženost in velik obseg nedonosnih posojil v podjetniškem sektorju. Neto zunanji položaj se je izboljšal zaradi močne rasti in velikih presežkov na tekočem računu. Sprejeti so bil</w:t>
      </w:r>
      <w:r>
        <w:rPr>
          <w:rFonts w:ascii="Times New Roman" w:hAnsi="Times New Roman"/>
          <w:noProof/>
          <w:sz w:val="24"/>
        </w:rPr>
        <w:t>i ukrepi za večjo stabilnost finančnega sektorja. Banke in druge finančne družbe so dosegle nadaljnji napredek pri izvajanju priporočil, izdanih po okrepitvi pregledov in nadzora kakovosti sredstev in bilanc stanja. Vendar še vedno obstajajo pomanjkljivost</w:t>
      </w:r>
      <w:r>
        <w:rPr>
          <w:rFonts w:ascii="Times New Roman" w:hAnsi="Times New Roman"/>
          <w:noProof/>
          <w:sz w:val="24"/>
        </w:rPr>
        <w:t>i v zvezi s šibkim upravljanjem, kakovostjo sredstev in nadzorom, v zavarovalniškem sektorju pa se pojavljajo novi izzivi. Močna rast je podprla nadaljnje razdolževanje v zasebnem sektorju in zmanjšanje nedonosnih posojil, vendar je njihov obseg v podjetni</w:t>
      </w:r>
      <w:r>
        <w:rPr>
          <w:rFonts w:ascii="Times New Roman" w:hAnsi="Times New Roman"/>
          <w:noProof/>
          <w:sz w:val="24"/>
        </w:rPr>
        <w:t>škem sektorju še vedno velik. Kljub napredku pri obravnavanju virov neravnotežij bo ključnega pomena celovito izvajanje in spremljanje nedavnih reform nadzora in upravljanja v bančnih in nebančnih finančnih sektorjih. Poleg tega je potrebnih več ukrepov za</w:t>
      </w:r>
      <w:r>
        <w:rPr>
          <w:rFonts w:ascii="Times New Roman" w:hAnsi="Times New Roman"/>
          <w:noProof/>
          <w:sz w:val="24"/>
        </w:rPr>
        <w:t xml:space="preserve"> zmanjšanje obsega nedonosnih posojil in dokončanje reforme insolvenčnega okvira. </w:t>
      </w:r>
    </w:p>
    <w:p w:rsidR="0059194F" w:rsidRDefault="00F458DE">
      <w:pPr>
        <w:spacing w:before="120"/>
        <w:rPr>
          <w:rFonts w:ascii="Times New Roman" w:eastAsia="Times New Roman" w:hAnsi="Times New Roman"/>
          <w:noProof/>
          <w:sz w:val="24"/>
          <w:szCs w:val="24"/>
        </w:rPr>
      </w:pPr>
      <w:r>
        <w:rPr>
          <w:rFonts w:ascii="Times New Roman" w:eastAsia="Times New Roman" w:hAnsi="Times New Roman"/>
          <w:b/>
          <w:noProof/>
          <w:sz w:val="24"/>
          <w:szCs w:val="24"/>
        </w:rPr>
        <w:br/>
      </w:r>
      <w:r>
        <w:rPr>
          <w:rFonts w:ascii="Times New Roman" w:hAnsi="Times New Roman"/>
          <w:b/>
          <w:noProof/>
          <w:sz w:val="24"/>
        </w:rPr>
        <w:t>Ciper</w:t>
      </w:r>
      <w:r>
        <w:rPr>
          <w:rFonts w:ascii="Times New Roman" w:hAnsi="Times New Roman"/>
          <w:noProof/>
          <w:sz w:val="24"/>
        </w:rPr>
        <w:t xml:space="preserve"> se sooča s čezmernimi neravnotežji. Zelo visok delež nedonosnih posojil obremenjuje finančni sektor, gospodarstvo pa ovira visoka raven zasebnega, javnega in zunanjeg</w:t>
      </w:r>
      <w:r>
        <w:rPr>
          <w:rFonts w:ascii="Times New Roman" w:hAnsi="Times New Roman"/>
          <w:noProof/>
          <w:sz w:val="24"/>
        </w:rPr>
        <w:t>a dolga, pri čemer je stopnja brezposelnosti, čeprav se znižuje, še vedno razmeroma visoka, potencialna rast pa šibka. Primanjkljaj na tekočem računu je precej negativen, celo ob upoštevanju prisotnosti subjektov s posebnim namenom, kar odraža močno domače</w:t>
      </w:r>
      <w:r>
        <w:rPr>
          <w:rFonts w:ascii="Times New Roman" w:hAnsi="Times New Roman"/>
          <w:noProof/>
          <w:sz w:val="24"/>
        </w:rPr>
        <w:t xml:space="preserve"> povpraševanje in dejstvo, da odhodki gospodinjstev presegajo njihove prihranke, poleg tega pa ta primanjkljaj ne zadostuje za zagotovitev vzdržne prilagoditve velikega obsega neto zunanjih obveznosti. Razdolževanje zasebnega sektorja poteka počasi. Nova p</w:t>
      </w:r>
      <w:r>
        <w:rPr>
          <w:rFonts w:ascii="Times New Roman" w:hAnsi="Times New Roman"/>
          <w:noProof/>
          <w:sz w:val="24"/>
        </w:rPr>
        <w:t xml:space="preserve">osojila v zasebnem sektorju so še vedno omejena. S prenosom znatnega portfelja nedonosnih posojil iz banke Cyprus Cooperative Bank v javni sektor v okviru njene prodaje in likvidacije se je znatno zmanjšal delež slabih posojil v bančnem sistemu. Vendar je </w:t>
      </w:r>
      <w:r>
        <w:rPr>
          <w:rFonts w:ascii="Times New Roman" w:hAnsi="Times New Roman"/>
          <w:noProof/>
          <w:sz w:val="24"/>
        </w:rPr>
        <w:t>obseg nedonosnih posojil še vedno velik tako med gospodinjstvi kot tudi med podjetji. Vladna podpora pri prodaji banke Cyprus Cooperative Bank je imela leta 2018 enkraten učinek na povečanje javnega dolga. V prihodnosti se pričakuje, da se bo visok javni d</w:t>
      </w:r>
      <w:r>
        <w:rPr>
          <w:rFonts w:ascii="Times New Roman" w:hAnsi="Times New Roman"/>
          <w:noProof/>
          <w:sz w:val="24"/>
        </w:rPr>
        <w:t xml:space="preserve">olg zaradi nadaljnjih dobrih fiskalnih rezultatov zmanjševal. V primerjavi s prejšnjim letom se je pospešil reformni zagon, zlasti na podlagi ukrepov za odpravo slabosti zaradi nedonosnih posojil, vendar je potreben večji napredek pri strukturnih reformah </w:t>
      </w:r>
      <w:r>
        <w:rPr>
          <w:rFonts w:ascii="Times New Roman" w:hAnsi="Times New Roman"/>
          <w:noProof/>
          <w:sz w:val="24"/>
        </w:rPr>
        <w:t xml:space="preserve">za povečanje potenciala rasti. </w:t>
      </w:r>
    </w:p>
    <w:p w:rsidR="0059194F" w:rsidRDefault="00F458DE">
      <w:pPr>
        <w:rPr>
          <w:rFonts w:ascii="Times New Roman" w:hAnsi="Times New Roman" w:cs="Times New Roman"/>
          <w:noProof/>
          <w:sz w:val="24"/>
          <w:szCs w:val="24"/>
        </w:rPr>
      </w:pPr>
      <w:r>
        <w:rPr>
          <w:rFonts w:ascii="Times New Roman" w:eastAsia="Times New Roman" w:hAnsi="Times New Roman"/>
          <w:b/>
          <w:noProof/>
          <w:sz w:val="24"/>
          <w:szCs w:val="24"/>
        </w:rPr>
        <w:br/>
      </w:r>
      <w:r>
        <w:rPr>
          <w:rFonts w:ascii="Times New Roman" w:hAnsi="Times New Roman"/>
          <w:b/>
          <w:noProof/>
          <w:sz w:val="24"/>
        </w:rPr>
        <w:t>Nemčija</w:t>
      </w:r>
      <w:r>
        <w:rPr>
          <w:rFonts w:ascii="Times New Roman" w:hAnsi="Times New Roman"/>
          <w:noProof/>
          <w:sz w:val="24"/>
        </w:rPr>
        <w:t xml:space="preserve"> se sooča z neravnotežji. Visok in počasi upadajoč presežek na tekočem računu odraža skromno raven naložb glede na prihranke v zasebnem in javnem sektorju ter ima čezmejni pomen. Ta izziv ostaja kljub vse večji potre</w:t>
      </w:r>
      <w:r>
        <w:rPr>
          <w:rFonts w:ascii="Times New Roman" w:hAnsi="Times New Roman"/>
          <w:noProof/>
          <w:sz w:val="24"/>
        </w:rPr>
        <w:t>bi po naložbah in inovacijah, da bi nemško gospodarstvo postalo odpornejše ter da bi se zagotovil trajnosten in vključujoč model rasti. Presežek se je leta 2018 nekoliko zmanjšal zaradi povečanja domačega povpraševanja in naj bi v prihodnjih letih še napre</w:t>
      </w:r>
      <w:r>
        <w:rPr>
          <w:rFonts w:ascii="Times New Roman" w:hAnsi="Times New Roman"/>
          <w:noProof/>
          <w:sz w:val="24"/>
        </w:rPr>
        <w:t>j postopno upadal, vendar ostaja na zgodovinsko visoki ravni. Zasebne in javne naložbe so se znatno povečale, rast pa vse bolj spodbuja domače povpraševanje. Vendar so naložbe in potrošnja kot delež BDP še naprej omejene kljub ugodnim pogojem financiranja,</w:t>
      </w:r>
      <w:r>
        <w:rPr>
          <w:rFonts w:ascii="Times New Roman" w:hAnsi="Times New Roman"/>
          <w:noProof/>
          <w:sz w:val="24"/>
        </w:rPr>
        <w:t xml:space="preserve"> stalnim potrebam po naložbah v infrastrukturo in izobraževanje, zlasti na občinski ravni, ter razpoložljivemu fiskalnemu manevrskemu prostoru. Proračunski presežek se je leta 2018 povečal, delež dolga pa dodatno zmanjšal. Rast plač se je zaradi razmer na </w:t>
      </w:r>
      <w:r>
        <w:rPr>
          <w:rFonts w:ascii="Times New Roman" w:hAnsi="Times New Roman"/>
          <w:noProof/>
          <w:sz w:val="24"/>
        </w:rPr>
        <w:t>trgu dela, ki jih zaznamuje visoko povpraševanje po delu na eni strani in nizka stopnja brezposelnosti na drugi strani, nekoliko povečala, vendar realna rast plač ostaja skromna. Čeprav so bili sprejeti številni ukrepi za povečanje zasebnih in javnih nalož</w:t>
      </w:r>
      <w:r>
        <w:rPr>
          <w:rFonts w:ascii="Times New Roman" w:hAnsi="Times New Roman"/>
          <w:noProof/>
          <w:sz w:val="24"/>
        </w:rPr>
        <w:t>b, so potrebna večja prizadevanja za odpravo velike naložbene vrzeli, zlasti kar zadeva javne naložbe v infrastrukturo in izobraževanje. Na drugih področjih politike je bilo manj napredka.</w:t>
      </w:r>
    </w:p>
    <w:p w:rsidR="0059194F" w:rsidRDefault="00F458DE">
      <w:pPr>
        <w:rPr>
          <w:rFonts w:ascii="Times New Roman" w:hAnsi="Times New Roman" w:cs="Times New Roman"/>
          <w:noProof/>
          <w:sz w:val="24"/>
          <w:szCs w:val="24"/>
        </w:rPr>
      </w:pPr>
      <w:r>
        <w:rPr>
          <w:rFonts w:ascii="Times New Roman" w:hAnsi="Times New Roman" w:cs="Times New Roman"/>
          <w:b/>
          <w:noProof/>
          <w:sz w:val="24"/>
          <w:szCs w:val="24"/>
        </w:rPr>
        <w:br/>
      </w:r>
      <w:r>
        <w:rPr>
          <w:rFonts w:ascii="Times New Roman" w:hAnsi="Times New Roman"/>
          <w:b/>
          <w:noProof/>
          <w:sz w:val="24"/>
        </w:rPr>
        <w:t xml:space="preserve">Grčija </w:t>
      </w:r>
      <w:r>
        <w:rPr>
          <w:rFonts w:ascii="Times New Roman" w:hAnsi="Times New Roman"/>
          <w:noProof/>
          <w:sz w:val="24"/>
        </w:rPr>
        <w:t xml:space="preserve">se sooča s čezmernimi neravnotežji. Slabosti so povezane z </w:t>
      </w:r>
      <w:r>
        <w:rPr>
          <w:rFonts w:ascii="Times New Roman" w:hAnsi="Times New Roman"/>
          <w:noProof/>
          <w:sz w:val="24"/>
        </w:rPr>
        <w:t xml:space="preserve">visoko zadolženostjo sektorja država, negativnim zunanjim položajem, visokim deležem nedonosnih posojil in nepopolnim zunanjim uravnoteženjem v razmerah visoke (vendar padajoče) brezposelnosti in nizke potencialne rasti. Grčija je po znatnih izboljšavah v </w:t>
      </w:r>
      <w:r>
        <w:rPr>
          <w:rFonts w:ascii="Times New Roman" w:hAnsi="Times New Roman"/>
          <w:noProof/>
          <w:sz w:val="24"/>
        </w:rPr>
        <w:t xml:space="preserve">zadnjih letih avgusta 2018 uspešno izstopila iz programa za makroekonomsko prilagoditev v okviru evropskega mehanizma za stabilnost. Kljub temu ostajajo velika neravnotežja na strani stanj, vključno z zelo negativnim neto stanjem mednarodnih naložb, ki se </w:t>
      </w:r>
      <w:r>
        <w:rPr>
          <w:rFonts w:ascii="Times New Roman" w:hAnsi="Times New Roman"/>
          <w:noProof/>
          <w:sz w:val="24"/>
        </w:rPr>
        <w:t>še vedno slabša zaradi zmerne nominalne rasti BDP in še vedno negativnega salda tekočega računa. Stroškovna konkurenčnost se je v zadnjih letih znatno izboljšala, vendar se je to izboljšanje zaradi šibke rasti produktivnosti nedavno ustavilo. Javni dolg os</w:t>
      </w:r>
      <w:r>
        <w:rPr>
          <w:rFonts w:ascii="Times New Roman" w:hAnsi="Times New Roman"/>
          <w:noProof/>
          <w:sz w:val="24"/>
        </w:rPr>
        <w:t>taja visok, vendar je večinoma v lasti upnikov v javnem sektorju, potrebe po financiranju pa bodo vsaj desetletje razmeroma nizke. Hitrost zmanjševanja dolga je zelo odvisna od nadaljnjega doseganja dogovorjenih fiskalnih ciljev in izvajanja reform za traj</w:t>
      </w:r>
      <w:r>
        <w:rPr>
          <w:rFonts w:ascii="Times New Roman" w:hAnsi="Times New Roman"/>
          <w:noProof/>
          <w:sz w:val="24"/>
        </w:rPr>
        <w:t>nostno povečanje potenciala rasti. Finančni sektor je ranljiv zaradi zelo velikega obsega nedonosnih posojil in nizke donosnosti, kar ovira rast posojil in okrevanje naložb. Zasebni dolg se zmanjšuje, aktivno razdolževanje pa še vedno poteka. V okviru prog</w:t>
      </w:r>
      <w:r>
        <w:rPr>
          <w:rFonts w:ascii="Times New Roman" w:hAnsi="Times New Roman"/>
          <w:noProof/>
          <w:sz w:val="24"/>
        </w:rPr>
        <w:t>ramov finančne pomoči so bili sprejeti obsežni ukrepi za obravnavo številnih strukturnih pomanjkljivosti grškega gospodarstva. Poleg konsolidacije prejšnjih reform in prizadevanj za prilagoditev so se organi zavezali, da bodo zagotovili nadaljevanje in dok</w:t>
      </w:r>
      <w:r>
        <w:rPr>
          <w:rFonts w:ascii="Times New Roman" w:hAnsi="Times New Roman"/>
          <w:noProof/>
          <w:sz w:val="24"/>
        </w:rPr>
        <w:t>ončanje reform, ki se spremljajo v okviru okrepljenega nadzora.</w:t>
      </w:r>
    </w:p>
    <w:p w:rsidR="0059194F" w:rsidRDefault="00F458DE">
      <w:pPr>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b/>
          <w:noProof/>
          <w:sz w:val="24"/>
        </w:rPr>
        <w:t>Irska</w:t>
      </w:r>
      <w:r>
        <w:rPr>
          <w:rFonts w:ascii="Times New Roman" w:hAnsi="Times New Roman"/>
          <w:noProof/>
          <w:sz w:val="24"/>
        </w:rPr>
        <w:t xml:space="preserve"> se sooča z neravnotežji. Visoke ravni javnega in zasebnega dolga ter neto zunanjih obveznosti predstavljajo slabosti, vendar so se neravnotežja na strani stanj znatno izboljšala. Dejavn</w:t>
      </w:r>
      <w:r>
        <w:rPr>
          <w:rFonts w:ascii="Times New Roman" w:hAnsi="Times New Roman"/>
          <w:noProof/>
          <w:sz w:val="24"/>
        </w:rPr>
        <w:t>osti multinacionalnih družb, ki so le malo povezane z domačim gospodarstvom, močno vplivajo na neto tuje obveznosti, ki se zmanjšujejo zaradi velikih presežkov na tekočem računu. Raven zasebnega dolga ostaja visoka, vendar gospodarska rast še naprej podpir</w:t>
      </w:r>
      <w:r>
        <w:rPr>
          <w:rFonts w:ascii="Times New Roman" w:hAnsi="Times New Roman"/>
          <w:noProof/>
          <w:sz w:val="24"/>
        </w:rPr>
        <w:t>a razdolževanje v zasebnem sektorju. Dejavnosti multinacionalnih družb še naprej vplivajo na dolg podjetij. Za zadolženost gospodinjstev se zdi, da je na splošno v skladu z gospodarskimi temelji, čeprav je visoka v primerjavi z razpoložljivim dohodkom. Jav</w:t>
      </w:r>
      <w:r>
        <w:rPr>
          <w:rFonts w:ascii="Times New Roman" w:hAnsi="Times New Roman"/>
          <w:noProof/>
          <w:sz w:val="24"/>
        </w:rPr>
        <w:t>ni dolg naj bi se še najprej zmanjševal, primanjkljaj pa se približuje uravnoteženemu položaju. Cene stanovanj že več let hitro rastejo, vendar so se v zadnjem času upočasnile, pri čemer so večinoma posledica omejitev ponudbe, poleg tega pa ni jasnih dokaz</w:t>
      </w:r>
      <w:r>
        <w:rPr>
          <w:rFonts w:ascii="Times New Roman" w:hAnsi="Times New Roman"/>
          <w:noProof/>
          <w:sz w:val="24"/>
        </w:rPr>
        <w:t>ov o precenitvi. Obseg nedonosnih posojil je sicer še vedno velik, vendar se je dodatno zmanjšal, čeprav se dolgoročna zaostala plačila zmanjšujejo počasneje. Za odpravo teh slabosti so bili sprejeti ukrepi politike, zlasti na področju ponudbe stanovanj in</w:t>
      </w:r>
      <w:r>
        <w:rPr>
          <w:rFonts w:ascii="Times New Roman" w:hAnsi="Times New Roman"/>
          <w:noProof/>
          <w:sz w:val="24"/>
        </w:rPr>
        <w:t xml:space="preserve"> makrobonitetne politike, vendar bo za nekatere potreben čas, da bodo imeli pričakovani učinek.</w:t>
      </w:r>
    </w:p>
    <w:p w:rsidR="0059194F" w:rsidRDefault="00F458DE">
      <w:pPr>
        <w:rPr>
          <w:rFonts w:ascii="Times New Roman" w:hAnsi="Times New Roman" w:cs="Times New Roman"/>
          <w:noProof/>
          <w:sz w:val="24"/>
          <w:szCs w:val="24"/>
        </w:rPr>
      </w:pPr>
      <w:r>
        <w:rPr>
          <w:rFonts w:ascii="Times New Roman" w:hAnsi="Times New Roman" w:cs="Times New Roman"/>
          <w:b/>
          <w:noProof/>
          <w:sz w:val="24"/>
          <w:szCs w:val="24"/>
        </w:rPr>
        <w:br/>
      </w:r>
      <w:r>
        <w:rPr>
          <w:rFonts w:ascii="Times New Roman" w:hAnsi="Times New Roman"/>
          <w:b/>
          <w:noProof/>
          <w:sz w:val="24"/>
        </w:rPr>
        <w:t>Španija</w:t>
      </w:r>
      <w:r>
        <w:rPr>
          <w:rFonts w:ascii="Times New Roman" w:hAnsi="Times New Roman"/>
          <w:noProof/>
          <w:sz w:val="24"/>
        </w:rPr>
        <w:t xml:space="preserve"> se sooča z neravnotežji. Čeprav gospodarska rast ostaja močna, visoka raven zunanjega in notranjega javnega in zasebnega dolga v razmerah še vedno viso</w:t>
      </w:r>
      <w:r>
        <w:rPr>
          <w:rFonts w:ascii="Times New Roman" w:hAnsi="Times New Roman"/>
          <w:noProof/>
          <w:sz w:val="24"/>
        </w:rPr>
        <w:t>ke stopnje brezposelnosti še naprej predstavlja slabosti in ima čezmejne učinke. Ponovno uravnoteženje v zunanjem sektorju se je nadaljevalo, čeprav se je presežek na tekočem računu leta 2018 poslabšal, kar odraža dejavnike, povezane s svetovnim okoljem. P</w:t>
      </w:r>
      <w:r>
        <w:rPr>
          <w:rFonts w:ascii="Times New Roman" w:hAnsi="Times New Roman"/>
          <w:noProof/>
          <w:sz w:val="24"/>
        </w:rPr>
        <w:t>otrebno bo daljše obdobje stalnih presežkov na tekočem računu, da bi se neto zunanje obveznosti zmanjšale na zmerne ravni. Napredek je bil dosežen tudi pri zmanjšanju dolga v zasebnem sektorju, in sicer zaradi močne nominalne rasti. Delež nedonosnih posoji</w:t>
      </w:r>
      <w:r>
        <w:rPr>
          <w:rFonts w:ascii="Times New Roman" w:hAnsi="Times New Roman"/>
          <w:noProof/>
          <w:sz w:val="24"/>
        </w:rPr>
        <w:t>l se je dodatno zmanjšal. Javni dolg se je nekoliko zmanjšal, njegovo nadaljnje postopno zmanjševanje pa naj bi bilo podprto z zmanjšanjem primanjkljajev. Še vedno pa bodo potrebna dodatna prizadevanja za vzdržnejše javne finance. Stopnja brezposelnosti se</w:t>
      </w:r>
      <w:r>
        <w:rPr>
          <w:rFonts w:ascii="Times New Roman" w:hAnsi="Times New Roman"/>
          <w:noProof/>
          <w:sz w:val="24"/>
        </w:rPr>
        <w:t xml:space="preserve"> še naprej znižuje, vendar ostaja visoka. Izvajanje ukrepov politike za povečanje potencialne rasti je počasno in še vedno obstajajo izzivi, zlasti v zvezi s segmentacijo trga dela, raziskavami in inovacijami ter regulacijo podjetij, zlasti za storitve. </w:t>
      </w:r>
    </w:p>
    <w:p w:rsidR="0059194F" w:rsidRDefault="00F458DE">
      <w:pPr>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b/>
          <w:noProof/>
          <w:sz w:val="24"/>
        </w:rPr>
        <w:t>Francija</w:t>
      </w:r>
      <w:r>
        <w:rPr>
          <w:rFonts w:ascii="Times New Roman" w:hAnsi="Times New Roman"/>
          <w:noProof/>
          <w:sz w:val="24"/>
        </w:rPr>
        <w:t xml:space="preserve"> se sooča z neravnotežji. Slabosti izhajajo iz visokega javnega dolga in šibke dinamike konkurenčnosti v razmerah nizke rasti produktivnosti, kar ima čezmejne učinke. Javni dolg je bil leta 2018 sicer visok, vendar je bil na splošno stabilen. Po na</w:t>
      </w:r>
      <w:r>
        <w:rPr>
          <w:rFonts w:ascii="Times New Roman" w:hAnsi="Times New Roman"/>
          <w:noProof/>
          <w:sz w:val="24"/>
        </w:rPr>
        <w:t>povedih naj bi bilo njegovo zmanjšanje zgolj minimalno. Visoka raven javnega dolga zmanjšuje fiskalni manevrski prostor, ki je na voljo za odzivanje na prihodnje pretrese, in negativno vpliva na možnosti za rast. Zviševanje stroškov dela na enoto je v razm</w:t>
      </w:r>
      <w:r>
        <w:rPr>
          <w:rFonts w:ascii="Times New Roman" w:hAnsi="Times New Roman"/>
          <w:noProof/>
          <w:sz w:val="24"/>
        </w:rPr>
        <w:t>erah nizke rasti produktivnosti še naprej zmerno. Nekateri elementi poslovnega okolja še vedno negativno vplivajo na nestroškovno konkurenčnost. V zadnjih letih so bile sprejete reforme, napredek pa je bil dosežen na več področjih, vključno s trgi dela, ob</w:t>
      </w:r>
      <w:r>
        <w:rPr>
          <w:rFonts w:ascii="Times New Roman" w:hAnsi="Times New Roman"/>
          <w:noProof/>
          <w:sz w:val="24"/>
        </w:rPr>
        <w:t>davčitvijo in poslovnim okoljem. Vendar se učinki teh reform še niso v celoti uresničili in na drugih področjih so potrebni nadaljnji ukrepi, kot so reforma sistema denarnih nadomestil za brezposelnost, reforma pokojninskega sistema in pregled porabe za za</w:t>
      </w:r>
      <w:r>
        <w:rPr>
          <w:rFonts w:ascii="Times New Roman" w:hAnsi="Times New Roman"/>
          <w:noProof/>
          <w:sz w:val="24"/>
        </w:rPr>
        <w:t>gotovitev vzdržnosti javnih financ in povečanje potenciala rasti.</w:t>
      </w:r>
    </w:p>
    <w:p w:rsidR="0059194F" w:rsidRDefault="00F458DE">
      <w:pPr>
        <w:rPr>
          <w:rFonts w:ascii="Times New Roman" w:hAnsi="Times New Roman" w:cs="Times New Roman"/>
          <w:noProof/>
          <w:sz w:val="24"/>
          <w:szCs w:val="24"/>
        </w:rPr>
      </w:pPr>
      <w:r>
        <w:rPr>
          <w:rFonts w:ascii="Times New Roman" w:hAnsi="Times New Roman" w:cs="Times New Roman"/>
          <w:b/>
          <w:noProof/>
          <w:sz w:val="24"/>
          <w:szCs w:val="24"/>
        </w:rPr>
        <w:br/>
      </w:r>
      <w:r>
        <w:rPr>
          <w:rFonts w:ascii="Times New Roman" w:hAnsi="Times New Roman"/>
          <w:b/>
          <w:noProof/>
          <w:sz w:val="24"/>
        </w:rPr>
        <w:t>Hrvaška</w:t>
      </w:r>
      <w:r>
        <w:rPr>
          <w:rFonts w:ascii="Times New Roman" w:hAnsi="Times New Roman"/>
          <w:noProof/>
          <w:sz w:val="24"/>
        </w:rPr>
        <w:t xml:space="preserve"> se sooča z neravnotežji. Preostale slabosti so povezane z visokimi ravnmi javnega, zasebnega in zunanjega dolga v razmerah nizke potencialne rasti. Vendar se v zadnjih letih zmanjšu</w:t>
      </w:r>
      <w:r>
        <w:rPr>
          <w:rFonts w:ascii="Times New Roman" w:hAnsi="Times New Roman"/>
          <w:noProof/>
          <w:sz w:val="24"/>
        </w:rPr>
        <w:t>jejo, in sicer zaradi trdne nominalne rasti, ki je bila višja od ocenjenega potenciala, in preudarne fiskalne politike. Negativni neto zunanji položaj je še naprej velik, vendar se izboljšuje zaradi nadaljnjih presežkov na tekočem računu. Razdolževanje zas</w:t>
      </w:r>
      <w:r>
        <w:rPr>
          <w:rFonts w:ascii="Times New Roman" w:hAnsi="Times New Roman"/>
          <w:noProof/>
          <w:sz w:val="24"/>
        </w:rPr>
        <w:t>ebnega sektorja je v teku, vendar naj bi se njegova hitrost z okrevanjem rasti posojil in naložb upočasnila. Proračunski saldo je od leta 2017 v presežku, javni dolg pa se je znižal z najvišje ravni, dosežene leta 2014. Finančni sektor je dobro kapitalizir</w:t>
      </w:r>
      <w:r>
        <w:rPr>
          <w:rFonts w:ascii="Times New Roman" w:hAnsi="Times New Roman"/>
          <w:noProof/>
          <w:sz w:val="24"/>
        </w:rPr>
        <w:t>an in dobičkonosen, medtem ko se obseg nedonosnih posojil sicer zmanjšuje, vendar ostaja velik. Izpostavljenost podjetij in gospodinjstev valutnemu tveganju se je zmanjšala, vendar ostaja ena od slabosti. Ukrepi politike so bili okrepljeni s sprejetjem pok</w:t>
      </w:r>
      <w:r>
        <w:rPr>
          <w:rFonts w:ascii="Times New Roman" w:hAnsi="Times New Roman"/>
          <w:noProof/>
          <w:sz w:val="24"/>
        </w:rPr>
        <w:t>ojninske reforme in nove zakonodaje za izboljšanje fiskalnega okvira. Drugi pomembni ukrepi politike so v pripravi in njihovo temeljito izvajanje ostaja ključno za povečanje odpornosti gospodarstva.</w:t>
      </w:r>
    </w:p>
    <w:p w:rsidR="0059194F" w:rsidRDefault="00F458DE">
      <w:pPr>
        <w:rPr>
          <w:rFonts w:ascii="Times New Roman" w:hAnsi="Times New Roman"/>
          <w:noProof/>
          <w:sz w:val="24"/>
          <w:szCs w:val="24"/>
        </w:rPr>
      </w:pPr>
      <w:r>
        <w:rPr>
          <w:rFonts w:ascii="Times New Roman" w:hAnsi="Times New Roman" w:cs="Times New Roman"/>
          <w:noProof/>
          <w:sz w:val="24"/>
          <w:szCs w:val="24"/>
        </w:rPr>
        <w:br/>
      </w:r>
      <w:r>
        <w:rPr>
          <w:rFonts w:ascii="Times New Roman" w:hAnsi="Times New Roman"/>
          <w:b/>
          <w:noProof/>
          <w:sz w:val="24"/>
        </w:rPr>
        <w:t>Italija</w:t>
      </w:r>
      <w:r>
        <w:rPr>
          <w:rFonts w:ascii="Times New Roman" w:hAnsi="Times New Roman"/>
          <w:noProof/>
          <w:sz w:val="24"/>
        </w:rPr>
        <w:t xml:space="preserve"> se sooča s čezmernimi neravnotežji. Visok javni </w:t>
      </w:r>
      <w:r>
        <w:rPr>
          <w:rFonts w:ascii="Times New Roman" w:hAnsi="Times New Roman"/>
          <w:noProof/>
          <w:sz w:val="24"/>
        </w:rPr>
        <w:t>dolg in dolgotrajna šibka dinamika produktivnosti v razmerah še vedno visoke ravni nedonosnih posojil in brezposelnosti pomenita tveganja s čezmejnimi učinki. Pričakuje se, da se delež javnega dolga v prihodnjih letih ne bo zmanjšal, saj bodo slabi makroek</w:t>
      </w:r>
      <w:r>
        <w:rPr>
          <w:rFonts w:ascii="Times New Roman" w:hAnsi="Times New Roman"/>
          <w:noProof/>
          <w:sz w:val="24"/>
        </w:rPr>
        <w:t xml:space="preserve">onomski obeti in trenutni fiskalni načrti vlade, ki so sicer manj ekspanzivni, kot je bilo prvotno načrtovano za leto 2019, povzročili poslabšanje primarnega presežka. Stroškovna konkurenčnost je stabilna, vendar se šibka rast produktivnosti nadaljuje. To </w:t>
      </w:r>
      <w:r>
        <w:rPr>
          <w:rFonts w:ascii="Times New Roman" w:hAnsi="Times New Roman"/>
          <w:noProof/>
          <w:sz w:val="24"/>
        </w:rPr>
        <w:t>je posledica dolgotrajnih težav z delovanjem trgov dela ter kapitalskih in proizvodnih trgov, ki jih še stopnjujejo pomanjkljivosti v javni upravi in pravosodnem sistemu, kar ovira potencialno rast BDP. Obseg nedonosnih posojil se je še naprej znatno zmanj</w:t>
      </w:r>
      <w:r>
        <w:rPr>
          <w:rFonts w:ascii="Times New Roman" w:hAnsi="Times New Roman"/>
          <w:noProof/>
          <w:sz w:val="24"/>
        </w:rPr>
        <w:t>ševal, vendar bi lahko ohranitev hitrosti zmanjševanja tega obsega pomenila izziv glede ne težavne tržne pogoje. Višji donosi državnih obveznic v primerjavi z ravnmi na začetku leta 2018 vplivajo na stroške financiranja in kapitalske rezerve bank, kar nega</w:t>
      </w:r>
      <w:r>
        <w:rPr>
          <w:rFonts w:ascii="Times New Roman" w:hAnsi="Times New Roman"/>
          <w:noProof/>
          <w:sz w:val="24"/>
        </w:rPr>
        <w:t>tivno vpliva na posojanje preostalemu gospodarstvu in rast BDP. Kljub določenemu napredku pri čiščenju bilanc stanja bank, insolvenčnih reformah in aktivnih politikah zaposlovanja se je reformni zagon leta 2018 na splošno ustavil. Proračun za leto 2019 vkl</w:t>
      </w:r>
      <w:r>
        <w:rPr>
          <w:rFonts w:ascii="Times New Roman" w:hAnsi="Times New Roman"/>
          <w:noProof/>
          <w:sz w:val="24"/>
        </w:rPr>
        <w:t xml:space="preserve">jučuje ukrepe politike, ki razveljavljajo elemente prejšnjih pomembnih reform, zlasti na področju pokojnin, in ne vključuje učinkovitih ukrepov za povečanje potencialne rasti. </w:t>
      </w:r>
    </w:p>
    <w:p w:rsidR="0059194F" w:rsidRDefault="00F458DE">
      <w:pPr>
        <w:rPr>
          <w:rFonts w:ascii="Times New Roman" w:hAnsi="Times New Roman" w:cs="Times New Roman"/>
          <w:noProof/>
          <w:sz w:val="24"/>
          <w:szCs w:val="24"/>
        </w:rPr>
      </w:pPr>
      <w:r>
        <w:rPr>
          <w:rFonts w:ascii="Times New Roman" w:hAnsi="Times New Roman" w:cs="Times New Roman"/>
          <w:b/>
          <w:noProof/>
          <w:sz w:val="24"/>
          <w:szCs w:val="24"/>
        </w:rPr>
        <w:br/>
      </w:r>
      <w:r>
        <w:rPr>
          <w:rFonts w:ascii="Times New Roman" w:hAnsi="Times New Roman"/>
          <w:b/>
          <w:noProof/>
          <w:sz w:val="24"/>
        </w:rPr>
        <w:t>Nizozemska</w:t>
      </w:r>
      <w:r>
        <w:rPr>
          <w:rFonts w:ascii="Times New Roman" w:hAnsi="Times New Roman"/>
          <w:noProof/>
          <w:sz w:val="24"/>
        </w:rPr>
        <w:t xml:space="preserve"> se sooča z neravnotežji. Visoka raven zasebnega dolga in velik pres</w:t>
      </w:r>
      <w:r>
        <w:rPr>
          <w:rFonts w:ascii="Times New Roman" w:hAnsi="Times New Roman"/>
          <w:noProof/>
          <w:sz w:val="24"/>
        </w:rPr>
        <w:t>ežek na tekočem računu sta vira neravnotežij s čezmejnimi učinki. Presežek je bil največji leta 2017 in na zelo visoki ravni, pri čemer naj bi se postopoma zmanjšal, vendar naj bi še vedno ostal zelo visok. Del zunanjega presežka je mogoče pripisati statis</w:t>
      </w:r>
      <w:r>
        <w:rPr>
          <w:rFonts w:ascii="Times New Roman" w:hAnsi="Times New Roman"/>
          <w:noProof/>
          <w:sz w:val="24"/>
        </w:rPr>
        <w:t>tičnim značilnostim, povezanim z vlogo multinacionalnih družb, in se v bližnji prihodnosti naj ne bi zmanjšal. Delež zasebnega dolga v BDP, podprt z gospodarsko rastjo, se je še naprej zmanjševal tako za podjetja kot tudi gospodinjstva, čeprav je ostal vis</w:t>
      </w:r>
      <w:r>
        <w:rPr>
          <w:rFonts w:ascii="Times New Roman" w:hAnsi="Times New Roman"/>
          <w:noProof/>
          <w:sz w:val="24"/>
        </w:rPr>
        <w:t>ok. Kljub temu se nominalna zadolženost gospodinjstev počasi zvišuje zaradi dinamične rasti cen stanovanj. Rast plač je bila do zdaj zmerna kljub razmeram na trgu dela, ki jih zaznamuje visoko povpraševanje po delu na eni strani in nizka stopnja brezposeln</w:t>
      </w:r>
      <w:r>
        <w:rPr>
          <w:rFonts w:ascii="Times New Roman" w:hAnsi="Times New Roman"/>
          <w:noProof/>
          <w:sz w:val="24"/>
        </w:rPr>
        <w:t>osti na drugi strani. Nedavne reforme, kot sta pospešitev zmanjšanja davčne olajšave za hipotekarne obresti, naj bi zmanjšale davčne spodbude za zadolževanje gospodinjstev, medtem ko naj bi fiskalne spodbude prispevale k povečanju skupnega povpraševanja.</w:t>
      </w:r>
    </w:p>
    <w:p w:rsidR="0059194F" w:rsidRDefault="00F458DE">
      <w:pPr>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b/>
          <w:noProof/>
          <w:sz w:val="24"/>
        </w:rPr>
        <w:t>Portugalska</w:t>
      </w:r>
      <w:r>
        <w:rPr>
          <w:rFonts w:ascii="Times New Roman" w:hAnsi="Times New Roman"/>
          <w:noProof/>
          <w:sz w:val="24"/>
        </w:rPr>
        <w:t xml:space="preserve"> se sooča z neravnotežji. Velike neto zunanje obveznosti, zasebni in javni dolg ter visok delež nedonosnih posojil predstavljajo slabosti, ki jih spremlja nizka rast produktivnost. Tekoči račun je na splošno uravnotežen, vendar sta za zagotovite</w:t>
      </w:r>
      <w:r>
        <w:rPr>
          <w:rFonts w:ascii="Times New Roman" w:hAnsi="Times New Roman"/>
          <w:noProof/>
          <w:sz w:val="24"/>
        </w:rPr>
        <w:t>v prilagoditve neto zunanjih obveznosti na razumne ravni potrebna nadaljnje zmerno stanje in ohranitev večje konkurenčnosti. Delež zasebnega dolga se še naprej zmanjšuje z visokih ravni, in sicer zaradi nominalne rasti in manjše vloge aktivnega razdolževan</w:t>
      </w:r>
      <w:r>
        <w:rPr>
          <w:rFonts w:ascii="Times New Roman" w:hAnsi="Times New Roman"/>
          <w:noProof/>
          <w:sz w:val="24"/>
        </w:rPr>
        <w:t>ja. Javni dolg se je leta 2017 na podlagi primarnih presežkov začel zmanjševati, vendar je še vedno visok. Tveganja v bančnem sektorju so se zmanjšala, med drugim tudi zaradi dokapitalizacije bank leta 2017 in nedavnega izboljšanja donosnosti. Obseg nedono</w:t>
      </w:r>
      <w:r>
        <w:rPr>
          <w:rFonts w:ascii="Times New Roman" w:hAnsi="Times New Roman"/>
          <w:noProof/>
          <w:sz w:val="24"/>
        </w:rPr>
        <w:t>snih posojil se je sicer zmanjšal, vendar ostaja razmeroma velik. Zagotavljanje višje rasti produktivnosti je ključnega pomena za boljše obete glede konkurenčnosti, razdolževanja in potencialne rasti. Prilagoditev trga dela je dodatno napredovala, brezpose</w:t>
      </w:r>
      <w:r>
        <w:rPr>
          <w:rFonts w:ascii="Times New Roman" w:hAnsi="Times New Roman"/>
          <w:noProof/>
          <w:sz w:val="24"/>
        </w:rPr>
        <w:t>lnost pa se že več let močno znižuje. Sprejeti so bili ukrepi politike za obravnavo ravni nedonosnih posojil, vendar vrzeli v politikah še vedno obstajajo na drugih področjih, kot so proizvodni in storitveni trgi. Spremljati bo treba sprejetje in izvajanje</w:t>
      </w:r>
      <w:r>
        <w:rPr>
          <w:rFonts w:ascii="Times New Roman" w:hAnsi="Times New Roman"/>
          <w:noProof/>
          <w:sz w:val="24"/>
        </w:rPr>
        <w:t xml:space="preserve"> več reformnih načrtov, vključno s fiskalno-strukturnimi reformami za izboljšanje vzdržnosti javnih financ.</w:t>
      </w:r>
    </w:p>
    <w:p w:rsidR="0059194F" w:rsidRDefault="00F458DE">
      <w:pPr>
        <w:pStyle w:val="ListParagraph"/>
        <w:spacing w:before="120" w:after="120" w:line="240" w:lineRule="auto"/>
        <w:ind w:left="0"/>
        <w:rPr>
          <w:rFonts w:ascii="Times New Roman" w:hAnsi="Times New Roman"/>
          <w:noProof/>
          <w:sz w:val="24"/>
          <w:szCs w:val="24"/>
        </w:rPr>
      </w:pPr>
      <w:r>
        <w:rPr>
          <w:rFonts w:ascii="Times New Roman" w:hAnsi="Times New Roman"/>
          <w:noProof/>
          <w:sz w:val="24"/>
          <w:szCs w:val="24"/>
        </w:rPr>
        <w:br/>
      </w:r>
      <w:r>
        <w:rPr>
          <w:rFonts w:ascii="Times New Roman" w:hAnsi="Times New Roman"/>
          <w:b/>
          <w:noProof/>
          <w:sz w:val="24"/>
        </w:rPr>
        <w:t>Švedska</w:t>
      </w:r>
      <w:r>
        <w:rPr>
          <w:rFonts w:ascii="Times New Roman" w:hAnsi="Times New Roman"/>
          <w:noProof/>
          <w:sz w:val="24"/>
        </w:rPr>
        <w:t xml:space="preserve"> se sooča z neravnotežji. Precenjene cene stanovanj skupaj z nadaljnjim povečanjem zadolženosti gospodinjstev predstavljajo tveganja neurejene odprave neravnotežij. Visoka zadolženost gospodinjstev kot delež BDP še naprej raste. V drugi polovici leta 2017 </w:t>
      </w:r>
      <w:r>
        <w:rPr>
          <w:rFonts w:ascii="Times New Roman" w:hAnsi="Times New Roman"/>
          <w:noProof/>
          <w:sz w:val="24"/>
        </w:rPr>
        <w:t>je prišlo do korekcije cen stanovanj, ki so se od takrat postopno stabilizirale, vendar kazalniki vrednotenja kažejo na to, da so cene stanovanj še naprej visoke glede na gospodarske temelje. Bančni sektor se sicer zdi ustrezno kapitaliziran, vendar bi neu</w:t>
      </w:r>
      <w:r>
        <w:rPr>
          <w:rFonts w:ascii="Times New Roman" w:hAnsi="Times New Roman"/>
          <w:noProof/>
          <w:sz w:val="24"/>
        </w:rPr>
        <w:t>rejena odprava neravnotežij glede na visoko izpostavljenost hipotekarnim posojilom gospodinjstev negativno vplivala na finančni sektor. V takem primeru bi lahko glede na sistemsko finančno povezanost prišlo tudi do negativnih učinkov prelivanja na sosednje</w:t>
      </w:r>
      <w:r>
        <w:rPr>
          <w:rFonts w:ascii="Times New Roman" w:hAnsi="Times New Roman"/>
          <w:noProof/>
          <w:sz w:val="24"/>
        </w:rPr>
        <w:t xml:space="preserve"> države. Strukturna ozka grla za ponudbo stanovanj so še vedno prisotna, obseg gradbenih dejavnosti pa se je zmanjšal. Čeprav so bili v zadnjih letih na makrobonitetnem področju sprejeti ukrepi za obravnavanje rasti hipotekarnih dolgov, se učinek za zdaj z</w:t>
      </w:r>
      <w:r>
        <w:rPr>
          <w:rFonts w:ascii="Times New Roman" w:hAnsi="Times New Roman"/>
          <w:noProof/>
          <w:sz w:val="24"/>
        </w:rPr>
        <w:t>di omejen. Še vedno obstajajo ključne vrzeli v politikah, zlasti v zvezi z davčnimi spodbudami za lastništvo stanovanj ter delovanjem ponudbe stanovanj in najemniškega trga.</w:t>
      </w:r>
    </w:p>
    <w:p w:rsidR="0059194F" w:rsidRDefault="00F458DE">
      <w:pPr>
        <w:rPr>
          <w:rFonts w:ascii="Times New Roman" w:hAnsi="Times New Roman"/>
          <w:noProof/>
          <w:sz w:val="24"/>
          <w:szCs w:val="24"/>
        </w:rPr>
      </w:pPr>
      <w:r>
        <w:rPr>
          <w:rFonts w:ascii="Times New Roman" w:eastAsia="Times New Roman" w:hAnsi="Times New Roman"/>
          <w:b/>
          <w:noProof/>
          <w:sz w:val="24"/>
          <w:szCs w:val="24"/>
        </w:rPr>
        <w:br/>
      </w:r>
      <w:r>
        <w:rPr>
          <w:rFonts w:ascii="Times New Roman" w:hAnsi="Times New Roman"/>
          <w:b/>
          <w:noProof/>
          <w:sz w:val="24"/>
        </w:rPr>
        <w:t>Romunija</w:t>
      </w:r>
      <w:r>
        <w:rPr>
          <w:rFonts w:ascii="Times New Roman" w:hAnsi="Times New Roman"/>
          <w:noProof/>
          <w:sz w:val="24"/>
        </w:rPr>
        <w:t xml:space="preserve"> se sooča z neravnotežji. Slabosti so povezane z izgubo konkurenčnosti in povečanjem primanjkljaja na tekočem računu v razmerah ekspanzivne fiskalne politike in nepredvidljivega poslovnega okolja. Nedavne zakonodajne pobude ustvarjajo tveganja za delovanje</w:t>
      </w:r>
      <w:r>
        <w:rPr>
          <w:rFonts w:ascii="Times New Roman" w:hAnsi="Times New Roman"/>
          <w:noProof/>
          <w:sz w:val="24"/>
        </w:rPr>
        <w:t xml:space="preserve"> finančnega sektorja in lahko škodijo zasebnim naložbam. Primanjkljaj na tekočem računu se povečuje zaradi živahnega uvoza, predvsem za namene potrošnje, in naj bi se še povečal. Močna nominalna rast BDP kljub temu pomeni, da se negativno neto stanje medna</w:t>
      </w:r>
      <w:r>
        <w:rPr>
          <w:rFonts w:ascii="Times New Roman" w:hAnsi="Times New Roman"/>
          <w:noProof/>
          <w:sz w:val="24"/>
        </w:rPr>
        <w:t>rodnih naložb že nekaj let izboljšuje, vendar bi se to lahko ustavilo zaradi vztrajnih primanjkljajev na tekočem računu in manjše rasti BDP v prihodnosti. Povpraševanje je podprto z močno rastjo plač, ki je med drugim povezana z zvišanjem plač v javnem sek</w:t>
      </w:r>
      <w:r>
        <w:rPr>
          <w:rFonts w:ascii="Times New Roman" w:hAnsi="Times New Roman"/>
          <w:noProof/>
          <w:sz w:val="24"/>
        </w:rPr>
        <w:t>torju in minimalne plače, kar je prispevalo k znatnemu zvišanju stroškov dela na enoto. Deleži na izvoznih trgih rastejo kljub izgubam stroškovne konkurenčnosti. Ekspanzivna fiskalna naravnanost v razmerah močne rasti BDP naj bi se nadaljevala in tako še n</w:t>
      </w:r>
      <w:r>
        <w:rPr>
          <w:rFonts w:ascii="Times New Roman" w:hAnsi="Times New Roman"/>
          <w:noProof/>
          <w:sz w:val="24"/>
        </w:rPr>
        <w:t>aprej prispevala k živahni dinamiki zasebne potrošnje. Po nekajletnem upadanju naj bi se delež javnega dolga povečal. Pogoste in nepredvidljive zakonodajne spremembe povzročajo šibkejše in negotovo poslovno okolje, kar negativno vpliva na poslovne odločitv</w:t>
      </w:r>
      <w:r>
        <w:rPr>
          <w:rFonts w:ascii="Times New Roman" w:hAnsi="Times New Roman"/>
          <w:noProof/>
          <w:sz w:val="24"/>
        </w:rPr>
        <w:t>e in naložbe. Nedavne zakonodajne pobude, ki vplivajo na tveganje bank, ogrožajo delovanje finančnega sektorja in lahko ovirajo naložbe zaradi zaostrenega kreditnega trga in plitvejšega kapitalskega trga s šibkejšimi institucionalnimi vlagatelji. Na drugih</w:t>
      </w:r>
      <w:r>
        <w:rPr>
          <w:rFonts w:ascii="Times New Roman" w:hAnsi="Times New Roman"/>
          <w:noProof/>
          <w:sz w:val="24"/>
        </w:rPr>
        <w:t xml:space="preserve"> področjih se je napredek pri reformah upočasnil ali obrnil.</w:t>
      </w:r>
    </w:p>
    <w:p w:rsidR="0059194F" w:rsidRDefault="0059194F">
      <w:pPr>
        <w:rPr>
          <w:noProof/>
        </w:rPr>
      </w:pPr>
    </w:p>
    <w:p w:rsidR="0059194F" w:rsidRDefault="0059194F">
      <w:pPr>
        <w:rPr>
          <w:rFonts w:ascii="Times New Roman" w:eastAsia="Times New Roman" w:hAnsi="Times New Roman"/>
          <w:b/>
          <w:smallCaps/>
          <w:noProof/>
          <w:sz w:val="24"/>
          <w:szCs w:val="20"/>
        </w:rPr>
      </w:pPr>
    </w:p>
    <w:p w:rsidR="0059194F" w:rsidRDefault="0059194F">
      <w:pPr>
        <w:ind w:left="284"/>
        <w:rPr>
          <w:rFonts w:ascii="Times New Roman" w:eastAsia="Times New Roman" w:hAnsi="Times New Roman"/>
          <w:b/>
          <w:smallCaps/>
          <w:noProof/>
          <w:sz w:val="24"/>
          <w:szCs w:val="20"/>
        </w:rPr>
        <w:sectPr w:rsidR="0059194F">
          <w:headerReference w:type="even" r:id="rId15"/>
          <w:headerReference w:type="default" r:id="rId16"/>
          <w:footerReference w:type="even" r:id="rId17"/>
          <w:footerReference w:type="default" r:id="rId18"/>
          <w:headerReference w:type="first" r:id="rId19"/>
          <w:footerReference w:type="first" r:id="rId20"/>
          <w:pgSz w:w="11907" w:h="16839"/>
          <w:pgMar w:top="1418" w:right="1418" w:bottom="1418" w:left="1418" w:header="709" w:footer="709" w:gutter="0"/>
          <w:pgNumType w:start="1"/>
          <w:cols w:space="708"/>
          <w:docGrid w:linePitch="360"/>
        </w:sectPr>
      </w:pPr>
    </w:p>
    <w:p w:rsidR="0059194F" w:rsidRDefault="00F458DE">
      <w:pPr>
        <w:ind w:left="284"/>
        <w:rPr>
          <w:rFonts w:ascii="Times New Roman" w:eastAsia="Times New Roman" w:hAnsi="Times New Roman"/>
          <w:b/>
          <w:smallCaps/>
          <w:noProof/>
          <w:sz w:val="24"/>
          <w:szCs w:val="20"/>
        </w:rPr>
      </w:pPr>
      <w:r>
        <w:rPr>
          <w:rFonts w:ascii="Times New Roman" w:hAnsi="Times New Roman"/>
          <w:b/>
          <w:smallCaps/>
          <w:noProof/>
          <w:sz w:val="24"/>
        </w:rPr>
        <w:t>Dodatek 4 – Naložbene ovire v državah članicah</w:t>
      </w:r>
    </w:p>
    <w:p w:rsidR="0059194F" w:rsidRDefault="00F458DE">
      <w:pPr>
        <w:ind w:left="284"/>
        <w:rPr>
          <w:rFonts w:ascii="Times New Roman" w:eastAsia="Times New Roman" w:hAnsi="Times New Roman"/>
          <w:noProof/>
          <w:sz w:val="24"/>
          <w:szCs w:val="24"/>
        </w:rPr>
      </w:pPr>
      <w:r>
        <w:rPr>
          <w:noProof/>
          <w:lang w:val="fr-BE" w:eastAsia="fr-BE" w:bidi="ar-SA"/>
        </w:rPr>
        <w:drawing>
          <wp:inline distT="0" distB="0" distL="0" distR="0">
            <wp:extent cx="8891905" cy="52202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905" cy="5220220"/>
                    </a:xfrm>
                    <a:prstGeom prst="rect">
                      <a:avLst/>
                    </a:prstGeom>
                    <a:noFill/>
                    <a:ln>
                      <a:noFill/>
                    </a:ln>
                  </pic:spPr>
                </pic:pic>
              </a:graphicData>
            </a:graphic>
          </wp:inline>
        </w:drawing>
      </w:r>
    </w:p>
    <w:sectPr w:rsidR="0059194F">
      <w:headerReference w:type="even" r:id="rId22"/>
      <w:headerReference w:type="default" r:id="rId23"/>
      <w:footerReference w:type="even" r:id="rId24"/>
      <w:footerReference w:type="default" r:id="rId25"/>
      <w:headerReference w:type="first" r:id="rId26"/>
      <w:footerReference w:type="first" r:id="rId27"/>
      <w:pgSz w:w="16839" w:h="11907"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4F" w:rsidRDefault="00F458DE">
      <w:pPr>
        <w:spacing w:after="0"/>
      </w:pPr>
      <w:r>
        <w:separator/>
      </w:r>
    </w:p>
  </w:endnote>
  <w:endnote w:type="continuationSeparator" w:id="0">
    <w:p w:rsidR="0059194F" w:rsidRDefault="00F458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Pr="00F458DE" w:rsidRDefault="0059194F" w:rsidP="00F45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Pr="00F458DE" w:rsidRDefault="00F458DE" w:rsidP="00F458DE">
    <w:pPr>
      <w:pStyle w:val="FooterCoverPage"/>
      <w:rPr>
        <w:rFonts w:ascii="Arial" w:hAnsi="Arial" w:cs="Arial"/>
        <w:b/>
        <w:sz w:val="48"/>
      </w:rPr>
    </w:pPr>
    <w:r w:rsidRPr="00F458DE">
      <w:rPr>
        <w:rFonts w:ascii="Arial" w:hAnsi="Arial" w:cs="Arial"/>
        <w:b/>
        <w:sz w:val="48"/>
      </w:rPr>
      <w:t>SL</w:t>
    </w:r>
    <w:r w:rsidRPr="00F458DE">
      <w:rPr>
        <w:rFonts w:ascii="Arial" w:hAnsi="Arial" w:cs="Arial"/>
        <w:b/>
        <w:sz w:val="48"/>
      </w:rPr>
      <w:tab/>
    </w:r>
    <w:r w:rsidRPr="00F458DE">
      <w:rPr>
        <w:rFonts w:ascii="Arial" w:hAnsi="Arial" w:cs="Arial"/>
        <w:b/>
        <w:sz w:val="48"/>
      </w:rPr>
      <w:tab/>
    </w:r>
    <w:r w:rsidRPr="00F458DE">
      <w:tab/>
    </w:r>
    <w:r w:rsidRPr="00F458DE">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Pr="00F458DE" w:rsidRDefault="0059194F" w:rsidP="00F458D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Default="005919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79247"/>
      <w:docPartObj>
        <w:docPartGallery w:val="Page Numbers (Bottom of Page)"/>
        <w:docPartUnique/>
      </w:docPartObj>
    </w:sdtPr>
    <w:sdtEndPr>
      <w:rPr>
        <w:rFonts w:ascii="Times New Roman" w:hAnsi="Times New Roman" w:cs="Times New Roman"/>
        <w:sz w:val="24"/>
        <w:szCs w:val="24"/>
      </w:rPr>
    </w:sdtEndPr>
    <w:sdtContent>
      <w:p w:rsidR="0059194F" w:rsidRDefault="00F458DE">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Default="005919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Default="005919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95961"/>
      <w:docPartObj>
        <w:docPartGallery w:val="Page Numbers (Bottom of Page)"/>
        <w:docPartUnique/>
      </w:docPartObj>
    </w:sdtPr>
    <w:sdtEndPr>
      <w:rPr>
        <w:rFonts w:ascii="Times New Roman" w:hAnsi="Times New Roman" w:cs="Times New Roman"/>
        <w:noProof/>
        <w:sz w:val="24"/>
        <w:szCs w:val="24"/>
      </w:rPr>
    </w:sdtEndPr>
    <w:sdtContent>
      <w:p w:rsidR="0059194F" w:rsidRDefault="00F458DE">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25</w:t>
        </w:r>
        <w:r>
          <w:rPr>
            <w:rFonts w:ascii="Times New Roman" w:hAnsi="Times New Roman" w:cs="Times New Roman"/>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Default="0059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4F" w:rsidRDefault="00F458DE">
      <w:pPr>
        <w:spacing w:after="0"/>
      </w:pPr>
      <w:r>
        <w:separator/>
      </w:r>
    </w:p>
  </w:footnote>
  <w:footnote w:type="continuationSeparator" w:id="0">
    <w:p w:rsidR="0059194F" w:rsidRDefault="00F458DE">
      <w:pPr>
        <w:spacing w:after="0"/>
      </w:pPr>
      <w:r>
        <w:continuationSeparator/>
      </w:r>
    </w:p>
  </w:footnote>
  <w:footnote w:id="1">
    <w:p w:rsidR="0059194F" w:rsidRDefault="00F458DE">
      <w:pPr>
        <w:pStyle w:val="footnotetext1"/>
        <w:ind w:left="142" w:hanging="153"/>
      </w:pPr>
      <w:r>
        <w:rPr>
          <w:vertAlign w:val="superscript"/>
        </w:rPr>
        <w:footnoteRef/>
      </w:r>
      <w:r>
        <w:t xml:space="preserve"> COM(2018) 759 final.</w:t>
      </w:r>
    </w:p>
  </w:footnote>
  <w:footnote w:id="2">
    <w:p w:rsidR="0059194F" w:rsidRDefault="00F458DE">
      <w:pPr>
        <w:pStyle w:val="footnotetext1"/>
        <w:rPr>
          <w:rFonts w:asciiTheme="minorHAnsi" w:hAnsiTheme="minorHAnsi" w:cstheme="minorBidi"/>
          <w:lang w:eastAsia="en-US"/>
        </w:rPr>
      </w:pPr>
      <w:r>
        <w:rPr>
          <w:vertAlign w:val="superscript"/>
        </w:rPr>
        <w:footnoteRef/>
      </w:r>
      <w:r>
        <w:t xml:space="preserve"> Krovno sporočilo iz maja 2018. </w:t>
      </w:r>
    </w:p>
  </w:footnote>
  <w:footnote w:id="3">
    <w:p w:rsidR="0059194F" w:rsidRDefault="00F458DE">
      <w:pPr>
        <w:pStyle w:val="footnotetext1"/>
      </w:pPr>
      <w:r>
        <w:rPr>
          <w:vertAlign w:val="superscript"/>
        </w:rPr>
        <w:footnoteRef/>
      </w:r>
      <w:r>
        <w:t xml:space="preserve"> Sklep o financiranju za leto 2019 je bil sprejet skupaj s tem svežnjem.</w:t>
      </w:r>
    </w:p>
  </w:footnote>
  <w:footnote w:id="4">
    <w:p w:rsidR="0059194F" w:rsidRDefault="00F458DE">
      <w:pPr>
        <w:pStyle w:val="footnotetext1"/>
        <w:rPr>
          <w:lang w:val="pt-PT"/>
        </w:rPr>
      </w:pPr>
      <w:r>
        <w:rPr>
          <w:vertAlign w:val="superscript"/>
        </w:rPr>
        <w:footnoteRef/>
      </w:r>
      <w:r>
        <w:t xml:space="preserve"> COM(2018) 758 final.</w:t>
      </w:r>
    </w:p>
  </w:footnote>
  <w:footnote w:id="5">
    <w:p w:rsidR="0059194F" w:rsidRDefault="00F458DE">
      <w:pPr>
        <w:rPr>
          <w:lang w:val="pt-PT"/>
        </w:rPr>
      </w:pPr>
      <w:r>
        <w:rPr>
          <w:vertAlign w:val="superscript"/>
        </w:rPr>
        <w:footnoteRef/>
      </w:r>
      <w:r>
        <w:t xml:space="preserve"> </w:t>
      </w:r>
      <w:hyperlink r:id="rId1">
        <w:r>
          <w:rPr>
            <w:rStyle w:val="Hyperlink"/>
            <w:sz w:val="20"/>
          </w:rPr>
          <w:t>https://data.consilium.europa.eu/doc/document/ST-5603-2019-INIT/sl/pdf.</w:t>
        </w:r>
      </w:hyperlink>
    </w:p>
    <w:p w:rsidR="0059194F" w:rsidRDefault="0059194F">
      <w:pPr>
        <w:pStyle w:val="footnotetext1"/>
        <w:rPr>
          <w:lang w:val="pt-PT"/>
        </w:rPr>
      </w:pPr>
    </w:p>
  </w:footnote>
  <w:footnote w:id="6">
    <w:p w:rsidR="0059194F" w:rsidRDefault="00F458DE">
      <w:pPr>
        <w:pStyle w:val="footnotetext1"/>
        <w:rPr>
          <w:lang w:val="pt-PT"/>
        </w:rPr>
      </w:pPr>
      <w:r>
        <w:rPr>
          <w:vertAlign w:val="superscript"/>
        </w:rPr>
        <w:footnoteRef/>
      </w:r>
      <w:r>
        <w:t xml:space="preserve"> https://data.consilium.europa.eu/doc/document/ST-5603-2019-INIT/sl/pdf.</w:t>
      </w:r>
    </w:p>
  </w:footnote>
  <w:footnote w:id="7">
    <w:p w:rsidR="0059194F" w:rsidRDefault="00F458DE">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Kot za vse druge države, ki so v preteklosti izstopile iz programa finančne pomoči, so bila tudi za Grčijo u</w:t>
      </w:r>
      <w:r>
        <w:rPr>
          <w:rFonts w:ascii="Times New Roman" w:hAnsi="Times New Roman"/>
        </w:rPr>
        <w:t xml:space="preserve">gotovljena čezmerna neravnotežja. </w:t>
      </w:r>
    </w:p>
  </w:footnote>
  <w:footnote w:id="8">
    <w:p w:rsidR="0059194F" w:rsidRDefault="00F458DE">
      <w:pPr>
        <w:pStyle w:val="footnotetext1"/>
        <w:ind w:left="0" w:hanging="11"/>
      </w:pPr>
      <w:r>
        <w:rPr>
          <w:vertAlign w:val="superscript"/>
        </w:rPr>
        <w:footnoteRef/>
      </w:r>
      <w:r>
        <w:t>Države članice morajo na primer do konca leta 2018 v nacionalno zakonodajo prenesti določbe direktive o preprečevanju izogibanja davkom (Direktiva (EU) 2016/1164).</w:t>
      </w:r>
    </w:p>
  </w:footnote>
  <w:footnote w:id="9">
    <w:p w:rsidR="0059194F" w:rsidRDefault="00F458DE">
      <w:pPr>
        <w:pStyle w:val="footnotetext1"/>
        <w:ind w:left="0" w:hanging="11"/>
      </w:pPr>
      <w:r>
        <w:rPr>
          <w:vertAlign w:val="superscript"/>
        </w:rPr>
        <w:footnoteRef/>
      </w:r>
      <w:r>
        <w:t xml:space="preserve">Priporočilo Sveta z dne 20. septembra 2016 o vzpostavitvi nacionalnih odborov za produktivnost (UL C 349, 24.9.2016, str. 1). </w:t>
      </w:r>
    </w:p>
  </w:footnote>
  <w:footnote w:id="10">
    <w:p w:rsidR="0059194F" w:rsidRDefault="00F458DE">
      <w:pPr>
        <w:pStyle w:val="FootnoteText"/>
      </w:pPr>
      <w:r>
        <w:rPr>
          <w:rStyle w:val="FootnoteReference"/>
        </w:rPr>
        <w:footnoteRef/>
      </w:r>
      <w:r>
        <w:rPr>
          <w:rFonts w:ascii="Times New Roman" w:hAnsi="Times New Roman"/>
        </w:rPr>
        <w:t>Za vse države članice trenutno poteka ocena prizadevanj za boj proti korupciji. Komisija je tako kot lani analizirala ključne iz</w:t>
      </w:r>
      <w:r>
        <w:rPr>
          <w:rFonts w:ascii="Times New Roman" w:hAnsi="Times New Roman"/>
        </w:rPr>
        <w:t>zive zadevnih držav članic iz poročil o državah.</w:t>
      </w:r>
    </w:p>
  </w:footnote>
  <w:footnote w:id="11">
    <w:p w:rsidR="0059194F" w:rsidRDefault="00F458DE">
      <w:pPr>
        <w:pStyle w:val="FootnoteText"/>
        <w:rPr>
          <w:rFonts w:ascii="Times New Roman" w:eastAsia="Times New Roman" w:hAnsi="Times New Roman" w:cs="Times New Roman"/>
          <w:lang w:val="pt-PT" w:eastAsia="en-GB"/>
        </w:rPr>
      </w:pPr>
      <w:r>
        <w:rPr>
          <w:rStyle w:val="FootnoteReference"/>
        </w:rPr>
        <w:footnoteRef/>
      </w:r>
      <w:r>
        <w:rPr>
          <w:rFonts w:ascii="Times New Roman" w:hAnsi="Times New Roman"/>
        </w:rPr>
        <w:t xml:space="preserve">COM(2018) 556 final/2 (popravek, sprejet 27. avgusta 2018); COM(2018) 880 final; COM(2018) 890 final. </w:t>
      </w:r>
    </w:p>
    <w:p w:rsidR="0059194F" w:rsidRDefault="0059194F">
      <w:pPr>
        <w:pStyle w:val="FootnoteText"/>
        <w:rPr>
          <w:lang w:val="pt-PT"/>
        </w:rPr>
      </w:pPr>
    </w:p>
  </w:footnote>
  <w:footnote w:id="12">
    <w:p w:rsidR="0059194F" w:rsidRDefault="00F458DE">
      <w:pPr>
        <w:pStyle w:val="footnotetext1"/>
        <w:ind w:left="0" w:hanging="11"/>
      </w:pPr>
      <w:r>
        <w:rPr>
          <w:vertAlign w:val="superscript"/>
        </w:rPr>
        <w:footnoteRef/>
      </w:r>
      <w:r>
        <w:t xml:space="preserve"> Kategoriji „neravnotežja“ in „čezmerna neravnotežja“ zajemata posebno spremljanje, ki se prilagodi r</w:t>
      </w:r>
      <w:r>
        <w:t>esnosti izzivov.</w:t>
      </w:r>
    </w:p>
  </w:footnote>
  <w:footnote w:id="13">
    <w:p w:rsidR="0059194F" w:rsidRDefault="00F458DE">
      <w:pPr>
        <w:pStyle w:val="footnotetext1"/>
        <w:ind w:left="0" w:hanging="11"/>
      </w:pPr>
      <w:r>
        <w:rPr>
          <w:vertAlign w:val="superscript"/>
        </w:rPr>
        <w:footnoteRef/>
      </w:r>
      <w:r>
        <w:t xml:space="preserve"> Doseganje srednjeročnega cilja in uporaba (prehodnega) pravila glede dolga se nanašata na leto 2018 na podlagi napovedi Komisije iz jeseni 2018.  </w:t>
      </w:r>
    </w:p>
  </w:footnote>
  <w:footnote w:id="14">
    <w:p w:rsidR="0059194F" w:rsidRDefault="00F458DE">
      <w:pPr>
        <w:pStyle w:val="footnotetext1"/>
        <w:ind w:left="0" w:hanging="11"/>
      </w:pPr>
      <w:r>
        <w:rPr>
          <w:vertAlign w:val="superscript"/>
        </w:rPr>
        <w:footnoteRef/>
      </w:r>
      <w:r>
        <w:t xml:space="preserve"> Pravilo glede dolga: Če ni spoštovana referenčna vrednost za delež javnega dolga v BDP v</w:t>
      </w:r>
      <w:r>
        <w:t xml:space="preserve"> višini 60 %, se za zadevno državo članico uvede postopek v zvezi s čezmernim primanjkljajem, pri čemer se upoštevajo vsi relevantni dejavniki in učinek gospodarskega cikla, če razlika med njenim deležem dolga in referenčno vrednostjo 60 % ni zmanjšana za </w:t>
      </w:r>
      <w:r>
        <w:t xml:space="preserve">1/20 letno (triletno povprečje). </w:t>
      </w:r>
    </w:p>
  </w:footnote>
  <w:footnote w:id="15">
    <w:p w:rsidR="0059194F" w:rsidRDefault="00F458DE">
      <w:pPr>
        <w:pStyle w:val="footnotetext1"/>
        <w:ind w:left="0" w:hanging="11"/>
      </w:pPr>
      <w:r>
        <w:rPr>
          <w:vertAlign w:val="superscript"/>
        </w:rPr>
        <w:footnoteRef/>
      </w:r>
      <w:r>
        <w:t xml:space="preserve"> Prehodno pravilo glede dolga: Vsaki državi članici v postopku v zvezi s čezmernim primanjkljajem se odobri triletno obdobje po odpravi čezmernega primanjkljaja, da izpolni pravilo glede dolga. To ne pomeni, da pravilo gl</w:t>
      </w:r>
      <w:r>
        <w:t>ede dolga v tem obdobju sploh ne velja, saj morajo države članice v tem prehodnem obdobju dosegati zadosten napredek pri približevanju izpolnjevanja pravila. Negativna ocena napredka pri izpolnjevanju merila glede dolga v prehodnem obdobju lahko privede do</w:t>
      </w:r>
      <w:r>
        <w:t xml:space="preserve"> uvedbe postopka v zvezi s čezmernim primanjkljajem.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Pr="00F458DE" w:rsidRDefault="0059194F" w:rsidP="00F45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Pr="00F458DE" w:rsidRDefault="0059194F" w:rsidP="00F458D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Pr="00F458DE" w:rsidRDefault="0059194F" w:rsidP="00F458D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Default="005919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Default="005919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Default="005919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Default="005919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Default="005919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4F" w:rsidRDefault="00591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9A4"/>
    <w:multiLevelType w:val="hybridMultilevel"/>
    <w:tmpl w:val="05E4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84F6D"/>
    <w:multiLevelType w:val="hybridMultilevel"/>
    <w:tmpl w:val="7E24B83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98AFC4">
      <w:start w:val="1"/>
      <w:numFmt w:val="bullet"/>
      <w:lvlText w:val="o"/>
      <w:lvlJc w:val="left"/>
      <w:pPr>
        <w:ind w:left="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2CAB4">
      <w:start w:val="1"/>
      <w:numFmt w:val="bullet"/>
      <w:lvlText w:val="▪"/>
      <w:lvlJc w:val="left"/>
      <w:pPr>
        <w:ind w:left="1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5AABD4">
      <w:start w:val="1"/>
      <w:numFmt w:val="bullet"/>
      <w:lvlText w:val="•"/>
      <w:lvlJc w:val="left"/>
      <w:pPr>
        <w:ind w:left="2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C14A6">
      <w:start w:val="1"/>
      <w:numFmt w:val="bullet"/>
      <w:lvlText w:val="o"/>
      <w:lvlJc w:val="left"/>
      <w:pPr>
        <w:ind w:left="2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65558">
      <w:start w:val="1"/>
      <w:numFmt w:val="bullet"/>
      <w:lvlText w:val="▪"/>
      <w:lvlJc w:val="left"/>
      <w:pPr>
        <w:ind w:left="3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03C06">
      <w:start w:val="1"/>
      <w:numFmt w:val="bullet"/>
      <w:lvlText w:val="•"/>
      <w:lvlJc w:val="left"/>
      <w:pPr>
        <w:ind w:left="4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69D78">
      <w:start w:val="1"/>
      <w:numFmt w:val="bullet"/>
      <w:lvlText w:val="o"/>
      <w:lvlJc w:val="left"/>
      <w:pPr>
        <w:ind w:left="4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142A5C">
      <w:start w:val="1"/>
      <w:numFmt w:val="bullet"/>
      <w:lvlText w:val="▪"/>
      <w:lvlJc w:val="left"/>
      <w:pPr>
        <w:ind w:left="5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7A1806"/>
    <w:multiLevelType w:val="hybridMultilevel"/>
    <w:tmpl w:val="2A62501A"/>
    <w:lvl w:ilvl="0" w:tplc="75B2D026">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AD78F3"/>
    <w:multiLevelType w:val="hybridMultilevel"/>
    <w:tmpl w:val="CFE41110"/>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475" w:hanging="360"/>
      </w:pPr>
      <w:rPr>
        <w:rFonts w:ascii="Wingdings" w:hAnsi="Wingdings" w:hint="default"/>
      </w:rPr>
    </w:lvl>
    <w:lvl w:ilvl="3" w:tplc="08090001" w:tentative="1">
      <w:start w:val="1"/>
      <w:numFmt w:val="bullet"/>
      <w:lvlText w:val=""/>
      <w:lvlJc w:val="left"/>
      <w:pPr>
        <w:ind w:left="245" w:hanging="360"/>
      </w:pPr>
      <w:rPr>
        <w:rFonts w:ascii="Symbol" w:hAnsi="Symbol" w:hint="default"/>
      </w:rPr>
    </w:lvl>
    <w:lvl w:ilvl="4" w:tplc="08090003" w:tentative="1">
      <w:start w:val="1"/>
      <w:numFmt w:val="bullet"/>
      <w:lvlText w:val="o"/>
      <w:lvlJc w:val="left"/>
      <w:pPr>
        <w:ind w:left="965" w:hanging="360"/>
      </w:pPr>
      <w:rPr>
        <w:rFonts w:ascii="Courier New" w:hAnsi="Courier New" w:cs="Courier New" w:hint="default"/>
      </w:rPr>
    </w:lvl>
    <w:lvl w:ilvl="5" w:tplc="08090005" w:tentative="1">
      <w:start w:val="1"/>
      <w:numFmt w:val="bullet"/>
      <w:lvlText w:val=""/>
      <w:lvlJc w:val="left"/>
      <w:pPr>
        <w:ind w:left="1685" w:hanging="360"/>
      </w:pPr>
      <w:rPr>
        <w:rFonts w:ascii="Wingdings" w:hAnsi="Wingdings" w:hint="default"/>
      </w:rPr>
    </w:lvl>
    <w:lvl w:ilvl="6" w:tplc="08090001" w:tentative="1">
      <w:start w:val="1"/>
      <w:numFmt w:val="bullet"/>
      <w:lvlText w:val=""/>
      <w:lvlJc w:val="left"/>
      <w:pPr>
        <w:ind w:left="2405" w:hanging="360"/>
      </w:pPr>
      <w:rPr>
        <w:rFonts w:ascii="Symbol" w:hAnsi="Symbol" w:hint="default"/>
      </w:rPr>
    </w:lvl>
    <w:lvl w:ilvl="7" w:tplc="08090003" w:tentative="1">
      <w:start w:val="1"/>
      <w:numFmt w:val="bullet"/>
      <w:lvlText w:val="o"/>
      <w:lvlJc w:val="left"/>
      <w:pPr>
        <w:ind w:left="3125" w:hanging="360"/>
      </w:pPr>
      <w:rPr>
        <w:rFonts w:ascii="Courier New" w:hAnsi="Courier New" w:cs="Courier New" w:hint="default"/>
      </w:rPr>
    </w:lvl>
    <w:lvl w:ilvl="8" w:tplc="08090005" w:tentative="1">
      <w:start w:val="1"/>
      <w:numFmt w:val="bullet"/>
      <w:lvlText w:val=""/>
      <w:lvlJc w:val="left"/>
      <w:pPr>
        <w:ind w:left="3845" w:hanging="360"/>
      </w:pPr>
      <w:rPr>
        <w:rFonts w:ascii="Wingdings" w:hAnsi="Wingdings" w:hint="default"/>
      </w:rPr>
    </w:lvl>
  </w:abstractNum>
  <w:abstractNum w:abstractNumId="4" w15:restartNumberingAfterBreak="0">
    <w:nsid w:val="581A27E6"/>
    <w:multiLevelType w:val="hybridMultilevel"/>
    <w:tmpl w:val="2C38B5B6"/>
    <w:lvl w:ilvl="0" w:tplc="3D3A4A8C">
      <w:start w:val="1"/>
      <w:numFmt w:val="decimal"/>
      <w:lvlText w:val="%1."/>
      <w:lvlJc w:val="left"/>
      <w:pPr>
        <w:ind w:left="1080" w:hanging="720"/>
      </w:pPr>
      <w:rPr>
        <w:rFonts w:ascii="Times New Roman Bold" w:hAnsi="Times New Roman Bold" w:hint="default"/>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F73DEC"/>
    <w:multiLevelType w:val="hybridMultilevel"/>
    <w:tmpl w:val="FB9AF3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64B5F3B"/>
    <w:multiLevelType w:val="hybridMultilevel"/>
    <w:tmpl w:val="6768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4453D61-AF26-425D-9A7F-E7A47B27D354"/>
    <w:docVar w:name="LW_COVERPAGE_TYPE" w:val="1"/>
    <w:docVar w:name="LW_CROSSREFERENCE" w:val="{SWD(2019) 1000 à 1027 final}"/>
    <w:docVar w:name="LW_DocType" w:val="NORMAL"/>
    <w:docVar w:name="LW_EMISSION" w:val="27.2.2019"/>
    <w:docVar w:name="LW_EMISSION_ISODATE" w:val="2019-02-27"/>
    <w:docVar w:name="LW_EMISSION_LOCATION" w:val="BRX"/>
    <w:docVar w:name="LW_EMISSION_PREFIX" w:val="Bruselj,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1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Times New Roman Bold,Bold&gt;Evropski semester 2019: ocena napredka pri strukturnih reformah &lt;/FMT&gt;_x000d__x000d__x000d__x000d__x000d__x000d__x000d__x000d__x000d__x000d__x000d__x000b_&lt;FMT:Font=Times New Roman Bold,Bold&gt;in prepre\u269?evanju in odpravljanju makroekonomskih neravnote\u382?ij ter rezultati poglobljenih pregledov v skladu z Uredbo (EU) \u353?t. 1176/2011&lt;/FMT&gt;_x000d__x000d__x000d__x000d__x000d__x000d__x000d__x000d__x000d__x000d__x000d__x000b_"/>
    <w:docVar w:name="LW_TYPE.DOC.CP" w:val="SPORO\u268?ILO KOMISIJE"/>
    <w:docVar w:name="LW_TYPE.DOC.CP.USERTEXT" w:val="EVROPSKEMU PARLAMENTU, EVROPSKEMU SVETU, SVETU, EVROPSKI CENTRALNI BANKI IN EUROSKUPINI"/>
  </w:docVars>
  <w:rsids>
    <w:rsidRoot w:val="0059194F"/>
    <w:rsid w:val="0059194F"/>
    <w:rsid w:val="00F4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7A04AA0-EEE3-444E-A870-528BC784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6"/>
      </w:numPr>
      <w:ind w:left="284"/>
      <w:outlineLvl w:val="0"/>
    </w:pPr>
    <w:rPr>
      <w:rFonts w:ascii="Times New Roman Bold" w:hAnsi="Times New Roman Bold"/>
      <w:b/>
      <w:smallCap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footnotetext1">
    <w:name w:val="footnote text1"/>
    <w:aliases w:val="footnote text,Podrozdział,Plonk,Footnote text PFR,fn,o,f,Footnote text"/>
    <w:basedOn w:val="Normal"/>
    <w:uiPriority w:val="99"/>
    <w:unhideWhenUsed/>
    <w:qFormat/>
    <w:pPr>
      <w:spacing w:after="0"/>
      <w:ind w:left="284" w:hanging="295"/>
    </w:pPr>
    <w:rPr>
      <w:rFonts w:ascii="Times New Roman" w:eastAsia="Times New Roman" w:hAnsi="Times New Roman" w:cs="Times New Roman"/>
      <w:sz w:val="20"/>
      <w:szCs w:val="20"/>
    </w:rPr>
  </w:style>
  <w:style w:type="paragraph" w:customStyle="1" w:styleId="Text1">
    <w:name w:val="Text 1"/>
    <w:basedOn w:val="Normal"/>
    <w:pPr>
      <w:spacing w:before="120"/>
      <w:ind w:left="850"/>
    </w:pPr>
    <w:rPr>
      <w:rFonts w:ascii="Times New Roman" w:eastAsia="Times New Roman" w:hAnsi="Times New Roman" w:cs="Times New Roman"/>
      <w:sz w:val="24"/>
      <w:szCs w:val="20"/>
    </w:rPr>
  </w:style>
  <w:style w:type="table" w:styleId="MediumShading2-Accent1">
    <w:name w:val="Medium Shading 2 Accent 1"/>
    <w:basedOn w:val="TableNormal"/>
    <w:uiPriority w:val="64"/>
    <w:pPr>
      <w:spacing w:after="0"/>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Com">
    <w:name w:val="Z_Com"/>
    <w:basedOn w:val="Normal"/>
    <w:next w:val="Normal"/>
    <w:uiPriority w:val="99"/>
    <w:pPr>
      <w:widowControl w:val="0"/>
      <w:autoSpaceDE w:val="0"/>
      <w:autoSpaceDN w:val="0"/>
      <w:spacing w:before="120" w:after="0"/>
      <w:ind w:right="85"/>
    </w:pPr>
    <w:rPr>
      <w:rFonts w:ascii="Arial" w:eastAsia="Times New Roman" w:hAnsi="Arial" w:cs="Arial"/>
      <w:sz w:val="24"/>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style>
  <w:style w:type="paragraph" w:styleId="Revision">
    <w:name w:val="Revision"/>
    <w:hidden/>
    <w:uiPriority w:val="99"/>
    <w:semiHidden/>
    <w:pPr>
      <w:spacing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basedOn w:val="Normal"/>
    <w:pPr>
      <w:autoSpaceDE w:val="0"/>
      <w:autoSpaceDN w:val="0"/>
      <w:spacing w:after="0"/>
      <w:jc w:val="left"/>
    </w:pPr>
    <w:rPr>
      <w:rFonts w:ascii="Verdana" w:hAnsi="Verdana" w:cs="Times New Roman"/>
      <w:color w:val="000000"/>
      <w:sz w:val="24"/>
      <w:szCs w:val="24"/>
    </w:rPr>
  </w:style>
  <w:style w:type="table" w:customStyle="1" w:styleId="TableGrid">
    <w:name w:val="TableGrid"/>
    <w:pPr>
      <w:spacing w:after="0"/>
      <w:jc w:val="left"/>
    </w:pPr>
    <w:rPr>
      <w:rFonts w:eastAsia="Times New Roman"/>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imes New Roman Bold" w:hAnsi="Times New Roman Bold"/>
      <w:b/>
      <w:smallCaps/>
      <w:sz w:val="26"/>
    </w:rPr>
  </w:style>
  <w:style w:type="paragraph" w:styleId="FootnoteText">
    <w:name w:val="footnote text"/>
    <w:basedOn w:val="Normal"/>
    <w:link w:val="FootnoteTextChar"/>
    <w:uiPriority w:val="99"/>
    <w:semiHidden/>
    <w:unhideWhenUsed/>
    <w:qFormat/>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semiHidden/>
    <w:unhideWhenUse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433">
      <w:bodyDiv w:val="1"/>
      <w:marLeft w:val="0"/>
      <w:marRight w:val="0"/>
      <w:marTop w:val="0"/>
      <w:marBottom w:val="0"/>
      <w:divBdr>
        <w:top w:val="none" w:sz="0" w:space="0" w:color="auto"/>
        <w:left w:val="none" w:sz="0" w:space="0" w:color="auto"/>
        <w:bottom w:val="none" w:sz="0" w:space="0" w:color="auto"/>
        <w:right w:val="none" w:sz="0" w:space="0" w:color="auto"/>
      </w:divBdr>
    </w:div>
    <w:div w:id="574168323">
      <w:bodyDiv w:val="1"/>
      <w:marLeft w:val="0"/>
      <w:marRight w:val="0"/>
      <w:marTop w:val="0"/>
      <w:marBottom w:val="0"/>
      <w:divBdr>
        <w:top w:val="none" w:sz="0" w:space="0" w:color="auto"/>
        <w:left w:val="none" w:sz="0" w:space="0" w:color="auto"/>
        <w:bottom w:val="none" w:sz="0" w:space="0" w:color="auto"/>
        <w:right w:val="none" w:sz="0" w:space="0" w:color="auto"/>
      </w:divBdr>
    </w:div>
    <w:div w:id="979921218">
      <w:bodyDiv w:val="1"/>
      <w:marLeft w:val="0"/>
      <w:marRight w:val="0"/>
      <w:marTop w:val="0"/>
      <w:marBottom w:val="0"/>
      <w:divBdr>
        <w:top w:val="none" w:sz="0" w:space="0" w:color="auto"/>
        <w:left w:val="none" w:sz="0" w:space="0" w:color="auto"/>
        <w:bottom w:val="none" w:sz="0" w:space="0" w:color="auto"/>
        <w:right w:val="none" w:sz="0" w:space="0" w:color="auto"/>
      </w:divBdr>
    </w:div>
    <w:div w:id="1179546417">
      <w:bodyDiv w:val="1"/>
      <w:marLeft w:val="0"/>
      <w:marRight w:val="0"/>
      <w:marTop w:val="0"/>
      <w:marBottom w:val="0"/>
      <w:divBdr>
        <w:top w:val="none" w:sz="0" w:space="0" w:color="auto"/>
        <w:left w:val="none" w:sz="0" w:space="0" w:color="auto"/>
        <w:bottom w:val="none" w:sz="0" w:space="0" w:color="auto"/>
        <w:right w:val="none" w:sz="0" w:space="0" w:color="auto"/>
      </w:divBdr>
    </w:div>
    <w:div w:id="1225022891">
      <w:bodyDiv w:val="1"/>
      <w:marLeft w:val="0"/>
      <w:marRight w:val="0"/>
      <w:marTop w:val="0"/>
      <w:marBottom w:val="0"/>
      <w:divBdr>
        <w:top w:val="none" w:sz="0" w:space="0" w:color="auto"/>
        <w:left w:val="none" w:sz="0" w:space="0" w:color="auto"/>
        <w:bottom w:val="none" w:sz="0" w:space="0" w:color="auto"/>
        <w:right w:val="none" w:sz="0" w:space="0" w:color="auto"/>
      </w:divBdr>
    </w:div>
    <w:div w:id="1618491510">
      <w:bodyDiv w:val="1"/>
      <w:marLeft w:val="0"/>
      <w:marRight w:val="0"/>
      <w:marTop w:val="0"/>
      <w:marBottom w:val="0"/>
      <w:divBdr>
        <w:top w:val="none" w:sz="0" w:space="0" w:color="auto"/>
        <w:left w:val="none" w:sz="0" w:space="0" w:color="auto"/>
        <w:bottom w:val="none" w:sz="0" w:space="0" w:color="auto"/>
        <w:right w:val="none" w:sz="0" w:space="0" w:color="auto"/>
      </w:divBdr>
    </w:div>
    <w:div w:id="1728795722">
      <w:bodyDiv w:val="1"/>
      <w:marLeft w:val="0"/>
      <w:marRight w:val="0"/>
      <w:marTop w:val="0"/>
      <w:marBottom w:val="0"/>
      <w:divBdr>
        <w:top w:val="none" w:sz="0" w:space="0" w:color="auto"/>
        <w:left w:val="none" w:sz="0" w:space="0" w:color="auto"/>
        <w:bottom w:val="none" w:sz="0" w:space="0" w:color="auto"/>
        <w:right w:val="none" w:sz="0" w:space="0" w:color="auto"/>
      </w:divBdr>
    </w:div>
    <w:div w:id="1997954299">
      <w:bodyDiv w:val="1"/>
      <w:marLeft w:val="0"/>
      <w:marRight w:val="0"/>
      <w:marTop w:val="0"/>
      <w:marBottom w:val="0"/>
      <w:divBdr>
        <w:top w:val="none" w:sz="0" w:space="0" w:color="auto"/>
        <w:left w:val="none" w:sz="0" w:space="0" w:color="auto"/>
        <w:bottom w:val="none" w:sz="0" w:space="0" w:color="auto"/>
        <w:right w:val="none" w:sz="0" w:space="0" w:color="auto"/>
      </w:divBdr>
    </w:div>
    <w:div w:id="20731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5603-2019-INIT/s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69B4-9E8D-41BF-9926-4A4F93BD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10547</Words>
  <Characters>63605</Characters>
  <Application>Microsoft Office Word</Application>
  <DocSecurity>0</DocSecurity>
  <Lines>1135</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22</cp:revision>
  <cp:lastPrinted>2019-02-25T10:53:00Z</cp:lastPrinted>
  <dcterms:created xsi:type="dcterms:W3CDTF">2019-03-01T09:48:00Z</dcterms:created>
  <dcterms:modified xsi:type="dcterms:W3CDTF">2019-03-01T15:16:00Z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