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BA960D4-4F7B-4D36-84BF-10D5C54C76B9" style="width:450.4pt;height:397.65pt">
            <v:imagedata r:id="rId8" o:title=""/>
          </v:shape>
        </w:pict>
      </w:r>
    </w:p>
    <w:p>
      <w:pPr>
        <w:pStyle w:val="Pagedecouverture"/>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1 PRIEDAS</w:t>
      </w:r>
    </w:p>
    <w:p>
      <w:pPr>
        <w:pStyle w:val="ManualHeading1"/>
        <w:rPr>
          <w:noProof/>
        </w:rPr>
      </w:pPr>
      <w:r>
        <w:rPr>
          <w:noProof/>
        </w:rPr>
        <w:t>Muitinės konvencijos dėl tarptautinio krovinių gabenimo su TIR knygelėmis (1975 m. TIR konvencija) daliniai pakeitimai</w:t>
      </w:r>
    </w:p>
    <w:p>
      <w:pPr>
        <w:pStyle w:val="Text1"/>
        <w:rPr>
          <w:noProof/>
        </w:rPr>
      </w:pPr>
    </w:p>
    <w:p>
      <w:pPr>
        <w:pStyle w:val="ManualHeading2"/>
        <w:tabs>
          <w:tab w:val="clear" w:pos="850"/>
          <w:tab w:val="left" w:pos="284"/>
        </w:tabs>
        <w:ind w:left="284" w:hanging="284"/>
        <w:rPr>
          <w:noProof/>
          <w:szCs w:val="24"/>
        </w:rPr>
      </w:pPr>
      <w:r>
        <w:rPr>
          <w:noProof/>
        </w:rPr>
        <w:t>I. TIR konvencijos pagrindinio teksto daliniai pakeitimai pagal 59 straipsnyje nustatytą dalinio keitimo tvarką</w:t>
      </w:r>
    </w:p>
    <w:p>
      <w:pPr>
        <w:pStyle w:val="Default"/>
        <w:rPr>
          <w:noProof/>
          <w:lang w:val="lt-LT"/>
        </w:rPr>
      </w:pPr>
    </w:p>
    <w:p>
      <w:pPr>
        <w:pStyle w:val="Default"/>
        <w:jc w:val="both"/>
        <w:rPr>
          <w:b/>
          <w:bCs/>
          <w:i/>
          <w:noProof/>
          <w:lang w:val="lt-LT"/>
        </w:rPr>
      </w:pPr>
      <w:r>
        <w:rPr>
          <w:b/>
          <w:i/>
          <w:noProof/>
          <w:lang w:val="lt-LT"/>
        </w:rPr>
        <w:t>6 straipsnio 1 dalis</w:t>
      </w:r>
    </w:p>
    <w:p>
      <w:pPr>
        <w:pStyle w:val="Default"/>
        <w:jc w:val="both"/>
        <w:rPr>
          <w:b/>
          <w:bCs/>
          <w:i/>
          <w:noProof/>
          <w:lang w:val="lt-LT"/>
        </w:rPr>
      </w:pPr>
    </w:p>
    <w:p>
      <w:pPr>
        <w:pStyle w:val="Default"/>
        <w:ind w:left="720"/>
        <w:jc w:val="both"/>
        <w:rPr>
          <w:noProof/>
          <w:lang w:val="lt-LT"/>
        </w:rPr>
      </w:pPr>
      <w:r>
        <w:rPr>
          <w:i/>
          <w:noProof/>
          <w:lang w:val="lt-LT"/>
        </w:rPr>
        <w:t xml:space="preserve">Žodžiai </w:t>
      </w:r>
      <w:r>
        <w:rPr>
          <w:noProof/>
          <w:lang w:val="lt-LT"/>
        </w:rPr>
        <w:t xml:space="preserve">„Kiekviena Susitariančioji šalis“ </w:t>
      </w:r>
      <w:r>
        <w:rPr>
          <w:i/>
          <w:noProof/>
          <w:lang w:val="lt-LT"/>
        </w:rPr>
        <w:t xml:space="preserve">pakeičiami žodžiais </w:t>
      </w:r>
      <w:r>
        <w:rPr>
          <w:noProof/>
          <w:lang w:val="lt-LT"/>
        </w:rPr>
        <w:t xml:space="preserve">„Kiekvienos Susitariančiosios šalies muitinė arba kitos kompetentingos institucijos“. </w:t>
      </w:r>
    </w:p>
    <w:p>
      <w:pPr>
        <w:pStyle w:val="Default"/>
        <w:jc w:val="both"/>
        <w:rPr>
          <w:noProof/>
          <w:lang w:val="lt-LT"/>
        </w:rPr>
      </w:pPr>
    </w:p>
    <w:p>
      <w:pPr>
        <w:pStyle w:val="Default"/>
        <w:jc w:val="both"/>
        <w:rPr>
          <w:noProof/>
          <w:lang w:val="lt-LT"/>
        </w:rPr>
      </w:pPr>
    </w:p>
    <w:p>
      <w:pPr>
        <w:pStyle w:val="Default"/>
        <w:jc w:val="both"/>
        <w:rPr>
          <w:b/>
          <w:bCs/>
          <w:i/>
          <w:noProof/>
          <w:lang w:val="lt-LT"/>
        </w:rPr>
      </w:pPr>
      <w:r>
        <w:rPr>
          <w:b/>
          <w:i/>
          <w:noProof/>
          <w:lang w:val="lt-LT"/>
        </w:rPr>
        <w:t>18 straipsnio trečia eilutė</w:t>
      </w:r>
    </w:p>
    <w:p>
      <w:pPr>
        <w:pStyle w:val="Default"/>
        <w:jc w:val="both"/>
        <w:rPr>
          <w:i/>
          <w:noProof/>
          <w:lang w:val="lt-LT"/>
        </w:rPr>
      </w:pPr>
    </w:p>
    <w:p>
      <w:pPr>
        <w:pStyle w:val="Default"/>
        <w:ind w:left="720"/>
        <w:jc w:val="both"/>
        <w:rPr>
          <w:noProof/>
          <w:lang w:val="lt-LT"/>
        </w:rPr>
      </w:pPr>
      <w:r>
        <w:rPr>
          <w:i/>
          <w:noProof/>
          <w:lang w:val="lt-LT"/>
        </w:rPr>
        <w:t xml:space="preserve">Žodis </w:t>
      </w:r>
      <w:r>
        <w:rPr>
          <w:noProof/>
          <w:lang w:val="lt-LT"/>
        </w:rPr>
        <w:t xml:space="preserve">„keturių“ </w:t>
      </w:r>
      <w:r>
        <w:rPr>
          <w:i/>
          <w:noProof/>
          <w:lang w:val="lt-LT"/>
        </w:rPr>
        <w:t xml:space="preserve">pakeičiamas žodžiu </w:t>
      </w:r>
      <w:r>
        <w:rPr>
          <w:noProof/>
          <w:lang w:val="lt-LT"/>
        </w:rPr>
        <w:t>„aštuonių“.</w:t>
      </w:r>
    </w:p>
    <w:p>
      <w:pPr>
        <w:pStyle w:val="ManualHeading2"/>
        <w:tabs>
          <w:tab w:val="clear" w:pos="850"/>
          <w:tab w:val="left" w:pos="0"/>
        </w:tabs>
        <w:ind w:left="720" w:firstLine="0"/>
        <w:rPr>
          <w:b w:val="0"/>
          <w:noProof/>
          <w:szCs w:val="24"/>
        </w:rPr>
      </w:pPr>
      <w:r>
        <w:rPr>
          <w:b w:val="0"/>
          <w:i/>
          <w:noProof/>
        </w:rPr>
        <w:t xml:space="preserve">Straipsnis papildomas nauja dalimi: </w:t>
      </w:r>
      <w:r>
        <w:rPr>
          <w:b w:val="0"/>
          <w:noProof/>
        </w:rPr>
        <w:t>„Muitinė gali nustatyti, kad didžiausias jos teritorijoje esančių išvykimo (arba paskirties) muitinės įstaigų skaičius yra mažesnis kaip septyni, bet ne mažesnis kaip trys.“</w:t>
      </w:r>
    </w:p>
    <w:p>
      <w:pPr>
        <w:pStyle w:val="Text1"/>
        <w:rPr>
          <w:noProof/>
        </w:rPr>
      </w:pPr>
    </w:p>
    <w:p>
      <w:pPr>
        <w:pStyle w:val="ManualHeading2"/>
        <w:tabs>
          <w:tab w:val="clear" w:pos="850"/>
          <w:tab w:val="left" w:pos="284"/>
        </w:tabs>
        <w:ind w:left="284" w:hanging="284"/>
        <w:rPr>
          <w:noProof/>
          <w:szCs w:val="24"/>
        </w:rPr>
      </w:pPr>
      <w:r>
        <w:rPr>
          <w:noProof/>
        </w:rPr>
        <w:t>II. TIR konvencijos priedų daliniai pakeitimai pagal 60 straipsnyje nustatytą dalinio keitimo tvarką</w:t>
      </w:r>
    </w:p>
    <w:p>
      <w:pPr>
        <w:pStyle w:val="Default"/>
        <w:jc w:val="both"/>
        <w:rPr>
          <w:noProof/>
          <w:lang w:val="lt-LT"/>
        </w:rPr>
      </w:pPr>
    </w:p>
    <w:p>
      <w:pPr>
        <w:pStyle w:val="Default"/>
        <w:jc w:val="both"/>
        <w:rPr>
          <w:i/>
          <w:noProof/>
          <w:lang w:val="lt-LT"/>
        </w:rPr>
      </w:pPr>
      <w:r>
        <w:rPr>
          <w:b/>
          <w:i/>
          <w:noProof/>
          <w:lang w:val="lt-LT"/>
        </w:rPr>
        <w:t>6 priedas, 6 straipsnio 2 dalies aiškinamoji pastaba</w:t>
      </w:r>
    </w:p>
    <w:p>
      <w:pPr>
        <w:pStyle w:val="Default"/>
        <w:ind w:left="720"/>
        <w:jc w:val="both"/>
        <w:rPr>
          <w:i/>
          <w:noProof/>
          <w:lang w:val="lt-LT"/>
        </w:rPr>
      </w:pPr>
    </w:p>
    <w:p>
      <w:pPr>
        <w:pStyle w:val="Default"/>
        <w:ind w:left="720"/>
        <w:jc w:val="both"/>
        <w:rPr>
          <w:noProof/>
          <w:lang w:val="lt-LT"/>
        </w:rPr>
      </w:pPr>
      <w:r>
        <w:rPr>
          <w:i/>
          <w:noProof/>
          <w:lang w:val="lt-LT"/>
        </w:rPr>
        <w:t xml:space="preserve">Žodžiai </w:t>
      </w:r>
      <w:r>
        <w:rPr>
          <w:noProof/>
          <w:lang w:val="lt-LT"/>
        </w:rPr>
        <w:t xml:space="preserve">„šalies muitinė gali patvirtinti kelias asociacijas“ </w:t>
      </w:r>
      <w:r>
        <w:rPr>
          <w:i/>
          <w:noProof/>
          <w:lang w:val="lt-LT"/>
        </w:rPr>
        <w:t xml:space="preserve">pakeičiami žodžiais </w:t>
      </w:r>
      <w:r>
        <w:rPr>
          <w:noProof/>
          <w:lang w:val="lt-LT"/>
        </w:rPr>
        <w:t>„Susitariančiosios šalies muitinė gali suteikti teisę kelioms asociacijoms“.</w:t>
      </w:r>
    </w:p>
    <w:p>
      <w:pPr>
        <w:pStyle w:val="Default"/>
        <w:jc w:val="both"/>
        <w:rPr>
          <w:noProof/>
          <w:lang w:val="lt-LT"/>
        </w:rPr>
      </w:pPr>
    </w:p>
    <w:p>
      <w:pPr>
        <w:pStyle w:val="Default"/>
        <w:jc w:val="both"/>
        <w:rPr>
          <w:b/>
          <w:bCs/>
          <w:i/>
          <w:noProof/>
          <w:lang w:val="lt-LT"/>
        </w:rPr>
      </w:pPr>
      <w:r>
        <w:rPr>
          <w:b/>
          <w:i/>
          <w:noProof/>
          <w:lang w:val="lt-LT"/>
        </w:rPr>
        <w:t>6 priedas, nauja 18 straipsnio aiškinamoji pastaba</w:t>
      </w:r>
    </w:p>
    <w:p>
      <w:pPr>
        <w:pStyle w:val="Default"/>
        <w:ind w:left="720"/>
        <w:jc w:val="both"/>
        <w:rPr>
          <w:b/>
          <w:bCs/>
          <w:i/>
          <w:noProof/>
          <w:lang w:val="lt-LT"/>
        </w:rPr>
      </w:pPr>
    </w:p>
    <w:p>
      <w:pPr>
        <w:pStyle w:val="Default"/>
        <w:ind w:left="1440" w:hanging="720"/>
        <w:jc w:val="both"/>
        <w:rPr>
          <w:noProof/>
          <w:lang w:val="lt-LT"/>
        </w:rPr>
      </w:pPr>
      <w:r>
        <w:rPr>
          <w:noProof/>
          <w:lang w:val="lt-LT"/>
        </w:rPr>
        <w:t>„0.18.3. Susitariančiosios šalys viešai paskelbia informaciją apie tokius apribojimus ir informuoja TIR vykdomąją tarybą, be kita ko, tinkamai naudodamosi elektroninėmis taikomosiomis programomis, kurias šiuo tikslu sukūrė TIR sekretoriatas, prižiūrimas TIR vykdomosios tarybos.“</w:t>
      </w:r>
    </w:p>
    <w:p>
      <w:pPr>
        <w:pStyle w:val="Default"/>
        <w:jc w:val="both"/>
        <w:rPr>
          <w:noProof/>
          <w:lang w:val="lt-LT"/>
        </w:rPr>
      </w:pPr>
    </w:p>
    <w:p>
      <w:pPr>
        <w:pStyle w:val="Default"/>
        <w:jc w:val="both"/>
        <w:rPr>
          <w:b/>
          <w:bCs/>
          <w:i/>
          <w:noProof/>
          <w:lang w:val="lt-LT"/>
        </w:rPr>
      </w:pPr>
      <w:r>
        <w:rPr>
          <w:b/>
          <w:i/>
          <w:noProof/>
          <w:lang w:val="lt-LT"/>
        </w:rPr>
        <w:t>9 priedo I dalies 1 punktas</w:t>
      </w:r>
    </w:p>
    <w:p>
      <w:pPr>
        <w:pStyle w:val="Default"/>
        <w:ind w:left="720"/>
        <w:jc w:val="both"/>
        <w:rPr>
          <w:b/>
          <w:bCs/>
          <w:i/>
          <w:noProof/>
          <w:lang w:val="lt-LT"/>
        </w:rPr>
      </w:pPr>
    </w:p>
    <w:p>
      <w:pPr>
        <w:pStyle w:val="Default"/>
        <w:ind w:left="720"/>
        <w:jc w:val="both"/>
        <w:rPr>
          <w:noProof/>
          <w:lang w:val="lt-LT"/>
        </w:rPr>
      </w:pPr>
      <w:r>
        <w:rPr>
          <w:i/>
          <w:noProof/>
          <w:lang w:val="lt-LT"/>
        </w:rPr>
        <w:t xml:space="preserve">Žodžiai </w:t>
      </w:r>
      <w:r>
        <w:rPr>
          <w:noProof/>
          <w:lang w:val="lt-LT"/>
        </w:rPr>
        <w:t xml:space="preserve">„Susitariančiosios šalys“ </w:t>
      </w:r>
      <w:r>
        <w:rPr>
          <w:i/>
          <w:noProof/>
          <w:lang w:val="lt-LT"/>
        </w:rPr>
        <w:t xml:space="preserve">pakeičiami žodžiais </w:t>
      </w:r>
      <w:r>
        <w:rPr>
          <w:noProof/>
          <w:lang w:val="lt-LT"/>
        </w:rPr>
        <w:t>„Susitariančiosios šalies muitinė arba kitos kompetentingos institucijos“.</w:t>
      </w:r>
    </w:p>
    <w:sectPr>
      <w:footerReference w:type="default" r:id="rId15"/>
      <w:footerReference w:type="first" r:id="rId16"/>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1FC326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F2FE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3031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246D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703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2D4BA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8E9402"/>
    <w:lvl w:ilvl="0">
      <w:start w:val="1"/>
      <w:numFmt w:val="decimal"/>
      <w:pStyle w:val="ListNumber"/>
      <w:lvlText w:val="%1."/>
      <w:lvlJc w:val="left"/>
      <w:pPr>
        <w:tabs>
          <w:tab w:val="num" w:pos="360"/>
        </w:tabs>
        <w:ind w:left="360" w:hanging="360"/>
      </w:pPr>
    </w:lvl>
  </w:abstractNum>
  <w:abstractNum w:abstractNumId="7">
    <w:nsid w:val="FFFFFF89"/>
    <w:multiLevelType w:val="singleLevel"/>
    <w:tmpl w:val="885498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0:19: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21"/>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3BA960D4-4F7B-4D36-84BF-10D5C54C76B9"/>
    <w:docVar w:name="LW_COVERPAGE_TYPE" w:val="1"/>
    <w:docVar w:name="LW_CROSSREFERENCE" w:val="&lt;UNUSED&gt;"/>
    <w:docVar w:name="LW_DocType" w:val="ANNEX"/>
    <w:docVar w:name="LW_EMISSION" w:val="2019 03 11"/>
    <w:docVar w:name="LW_EMISSION_ISODATE" w:val="2019-03-11"/>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 TIR konvencijos administraciniame komitete d\u279?l pasi\u363?lymo i\u353? dalies pakeisti Muitin\u279?s konvencij\u261? d\u279?l tarptautinio krovini\u371? gabenimo su TIR knygel\u279?mis"/>
    <w:docVar w:name="LW_OBJETACTEPRINCIPAL.CP" w:val="d\u279?l pozicijos, kurios Europos S\u261?jungos vardu turi b\u363?ti laikomasi TIR konvencijos administraciniame komitete d\u279?l pasi\u363?lymo i\u353? dalies pakeisti Muitin\u279?s konvencij\u261? d\u279?l tarptautinio krovini\u371? gabenimo su TIR knygel\u279?mis"/>
    <w:docVar w:name="LW_PART_NBR" w:val="1"/>
    <w:docVar w:name="LW_PART_NBR_TOTAL" w:val="1"/>
    <w:docVar w:name="LW_REF.INST.NEW" w:val="COM"/>
    <w:docVar w:name="LW_REF.INST.NEW_ADOPTED" w:val="final"/>
    <w:docVar w:name="LW_REF.INST.NEW_TEXT" w:val="(2019)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jc w:val="left"/>
    </w:pPr>
    <w:rPr>
      <w:rFonts w:eastAsia="Times New Roman"/>
      <w:b/>
      <w:sz w:val="28"/>
      <w:szCs w:val="20"/>
    </w:rPr>
  </w:style>
  <w:style w:type="paragraph" w:customStyle="1" w:styleId="SingleTxtG">
    <w:name w:val="_ Single Txt_G"/>
    <w:basedOn w:val="Normal"/>
    <w:link w:val="SingleTxtGChar"/>
    <w:pPr>
      <w:suppressAutoHyphens/>
      <w:spacing w:before="0" w:line="240" w:lineRule="atLeast"/>
      <w:ind w:left="1134" w:right="1134"/>
    </w:pPr>
    <w:rPr>
      <w:rFonts w:eastAsia="Times New Roman"/>
      <w:sz w:val="20"/>
      <w:szCs w:val="20"/>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jc w:val="left"/>
    </w:pPr>
    <w:rPr>
      <w:rFonts w:eastAsia="Times New Roman"/>
      <w:b/>
      <w:szCs w:val="20"/>
    </w:rPr>
  </w:style>
  <w:style w:type="character" w:customStyle="1" w:styleId="SingleTxtGChar">
    <w:name w:val="_ Single Txt_G Char"/>
    <w:link w:val="SingleTxtG"/>
    <w:rPr>
      <w:rFonts w:ascii="Times New Roman" w:eastAsia="Times New Roman" w:hAnsi="Times New Roman" w:cs="Times New Roman"/>
      <w:sz w:val="20"/>
      <w:szCs w:val="20"/>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jc w:val="left"/>
    </w:pPr>
    <w:rPr>
      <w:rFonts w:eastAsia="Times New Roman"/>
      <w:b/>
      <w:sz w:val="28"/>
      <w:szCs w:val="20"/>
    </w:rPr>
  </w:style>
  <w:style w:type="paragraph" w:customStyle="1" w:styleId="SingleTxtG">
    <w:name w:val="_ Single Txt_G"/>
    <w:basedOn w:val="Normal"/>
    <w:link w:val="SingleTxtGChar"/>
    <w:pPr>
      <w:suppressAutoHyphens/>
      <w:spacing w:before="0" w:line="240" w:lineRule="atLeast"/>
      <w:ind w:left="1134" w:right="1134"/>
    </w:pPr>
    <w:rPr>
      <w:rFonts w:eastAsia="Times New Roman"/>
      <w:sz w:val="20"/>
      <w:szCs w:val="20"/>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jc w:val="left"/>
    </w:pPr>
    <w:rPr>
      <w:rFonts w:eastAsia="Times New Roman"/>
      <w:b/>
      <w:szCs w:val="20"/>
    </w:rPr>
  </w:style>
  <w:style w:type="character" w:customStyle="1" w:styleId="SingleTxtGChar">
    <w:name w:val="_ Single Txt_G Char"/>
    <w:link w:val="SingleTxtG"/>
    <w:rPr>
      <w:rFonts w:ascii="Times New Roman" w:eastAsia="Times New Roman" w:hAnsi="Times New Roman" w:cs="Times New Roman"/>
      <w:sz w:val="20"/>
      <w:szCs w:val="20"/>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2</Pages>
  <Words>182</Words>
  <Characters>1330</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8</cp:revision>
  <cp:lastPrinted>2017-06-09T16:28:00Z</cp:lastPrinted>
  <dcterms:created xsi:type="dcterms:W3CDTF">2019-02-19T15:13:00Z</dcterms:created>
  <dcterms:modified xsi:type="dcterms:W3CDTF">2019-03-05T09:19:00Z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