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4582B87-2D89-45D6-86A7-E373A6AD7D93" style="width:450.75pt;height:366.0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ΑΙΤΙΟΛΟΓΙΚΗ ΕΚΘΕΣΗ</w:t>
      </w:r>
    </w:p>
    <w:p>
      <w:pPr>
        <w:pStyle w:val="ManualHeading1"/>
        <w:rPr>
          <w:rFonts w:eastAsia="Arial Unicode MS"/>
          <w:noProof/>
        </w:rPr>
      </w:pPr>
      <w:r>
        <w:t>1.</w:t>
      </w:r>
      <w:r>
        <w:tab/>
      </w:r>
      <w:r>
        <w:rPr>
          <w:noProof/>
        </w:rPr>
        <w:t>Αντικείμενο της πρότασης</w:t>
      </w:r>
    </w:p>
    <w:p>
      <w:pPr>
        <w:rPr>
          <w:rFonts w:eastAsia="Arial Unicode MS"/>
          <w:noProof/>
        </w:rPr>
      </w:pPr>
      <w:r>
        <w:rPr>
          <w:noProof/>
        </w:rPr>
        <w:t>Η παρούσα πρόταση αφορά την απόφαση για τον καθορισμό της θέσης που πρέπει να ληφθεί εξ ονόματος της Ένωσης στο πλαίσιο του Συμβουλίου του Παγκόσμιου Οργανισμού Τελωνείων σε σχέση με την προβλεπόμενη έγκριση τροποποίησης της ονοματολογίας του ΕΣ για τα νέα προϊόντα καπνού</w:t>
      </w:r>
      <w:r>
        <w:rPr>
          <w:rStyle w:val="FootnoteReference"/>
          <w:noProof/>
        </w:rPr>
        <w:footnoteReference w:id="1"/>
      </w:r>
      <w:r>
        <w:rPr>
          <w:noProof/>
        </w:rPr>
        <w:t>.</w:t>
      </w:r>
    </w:p>
    <w:p>
      <w:pPr>
        <w:pStyle w:val="ManualHeading1"/>
        <w:rPr>
          <w:noProof/>
        </w:rPr>
      </w:pPr>
      <w:r>
        <w:t>2.</w:t>
      </w:r>
      <w:r>
        <w:tab/>
      </w:r>
      <w:r>
        <w:rPr>
          <w:noProof/>
        </w:rPr>
        <w:t>Πλαίσιο της πρότασης</w:t>
      </w:r>
    </w:p>
    <w:p>
      <w:pPr>
        <w:pStyle w:val="ManualHeading2"/>
        <w:rPr>
          <w:noProof/>
        </w:rPr>
      </w:pPr>
      <w:r>
        <w:t>2.1.</w:t>
      </w:r>
      <w:r>
        <w:tab/>
      </w:r>
      <w:r>
        <w:rPr>
          <w:noProof/>
        </w:rPr>
        <w:t>Η διεθνής σύμβαση για το εναρμονισμένο σύστημα περιγραφής και κωδικοποίησης εμπορευμάτων</w:t>
      </w:r>
    </w:p>
    <w:p>
      <w:pPr>
        <w:rPr>
          <w:rFonts w:eastAsia="Arial Unicode MS"/>
          <w:noProof/>
        </w:rPr>
      </w:pPr>
      <w:r>
        <w:rPr>
          <w:noProof/>
        </w:rPr>
        <w:t>Η διεθνής σύμβαση για το εναρμονισμένο σύστημα περιγραφής και κωδικοποίησης των εμπορευμάτων («η συμφωνία») έχει ως στόχο να διευκολύνει το διεθνές εμπόριο και τη συλλογή, τη σύγκριση και την ανάλυση στατιστικών στοιχείων, ιδίως εκείνων που αφορούν το διεθνές εμπόριο. Περιλαμβάνει ως παράρτημα την ονοματολογία του ΕΣ η οποία είναι ένα διεθνές εναρμονισμένο σύστημα που επιτρέπει στις συμμετέχουσες χώρες να κατατάσσουν τα διακινούμενα εμπορεύματα σε κοινή βάση για δασμολογικούς σκοπούς. Ειδικότερα, η ονοματολογία του ΕΣ περιλαμβάνει την περιγραφή των εμπορευμάτων, τα οποία υπάγονται σε κλάσεις και διακρίσεις, και τους σχετικούς αριθμητικούς κωδικούς τους, με βάση ένα σύστημα εξαψήφιων κωδικών. Η ονοματολογία του ΕΣ αναθεωρείται ανά πενταετία</w:t>
      </w:r>
      <w:r>
        <w:rPr>
          <w:rStyle w:val="FootnoteReference"/>
          <w:noProof/>
        </w:rPr>
        <w:footnoteReference w:id="2"/>
      </w:r>
      <w:r>
        <w:rPr>
          <w:noProof/>
        </w:rPr>
        <w:t xml:space="preserve">. Εφαρμόζεται από περισσότερες από 190 διοικήσεις παγκοσμίως· κατά συνέπεια, πάνω από το 98 % του συνόλου των εμπορευμάτων που διακινούνται στον κόσμο κατατάσσεται σύμφωνα με αυτή. </w:t>
      </w:r>
    </w:p>
    <w:p>
      <w:pPr>
        <w:rPr>
          <w:rFonts w:eastAsia="Arial Unicode MS"/>
          <w:noProof/>
        </w:rPr>
      </w:pPr>
      <w:r>
        <w:rPr>
          <w:noProof/>
        </w:rPr>
        <w:t>Η συμφωνία τέθηκε σε ισχύ την 1η Ιανουαρίου 1988.</w:t>
      </w:r>
    </w:p>
    <w:p>
      <w:pPr>
        <w:rPr>
          <w:rFonts w:eastAsia="Arial Unicode MS"/>
          <w:noProof/>
        </w:rPr>
      </w:pPr>
      <w:r>
        <w:rPr>
          <w:noProof/>
        </w:rPr>
        <w:t>Η Ευρωπαϊκή Ένωση και όλα τα κράτη μέλη είναι συμβαλλόμενα μέρη της συμφωνίας</w:t>
      </w:r>
      <w:r>
        <w:rPr>
          <w:rStyle w:val="FootnoteReference"/>
          <w:noProof/>
        </w:rPr>
        <w:footnoteReference w:id="3"/>
      </w:r>
      <w:r>
        <w:rPr>
          <w:noProof/>
        </w:rPr>
        <w:t>.</w:t>
      </w:r>
    </w:p>
    <w:p>
      <w:pPr>
        <w:pStyle w:val="ManualHeading2"/>
        <w:rPr>
          <w:noProof/>
        </w:rPr>
      </w:pPr>
      <w:r>
        <w:t>2.2.</w:t>
      </w:r>
      <w:r>
        <w:tab/>
      </w:r>
      <w:r>
        <w:rPr>
          <w:noProof/>
        </w:rPr>
        <w:t>Ο Παγκόσμιος Οργανισμός Τελωνείων (ΠΟΤ)</w:t>
      </w:r>
    </w:p>
    <w:p>
      <w:pPr>
        <w:rPr>
          <w:rFonts w:eastAsia="Arial Unicode MS"/>
          <w:noProof/>
        </w:rPr>
      </w:pPr>
      <w:r>
        <w:rPr>
          <w:noProof/>
        </w:rPr>
        <w:t>Ο Παγκόσμιος Οργανισμός Τελωνείων (ΠΟΤ), που ιδρύθηκε το 1952 ως Συμβούλιο Τελωνειακής Συνεργασίας, είναι ένας ανεξάρτητος διακυβερνητικός οργανισμός που έχει ως αποστολή να ενισχύει την αποτελεσματικότητα και την αποδοτικότητα των τελωνειακών διοικήσεων. Ο ΠΟΤ προσφέρει στα μέλη του μια σειρά από συμβάσεις και άλλα διεθνή μέσα, καθώς και υπηρεσίες τεχνικής βοήθειας και κατάρτισης. Σήμερα, ο ΠΟΤ εκπροσωπεί 182 τελωνειακές διοικήσεις σε όλο τον κόσμο.</w:t>
      </w:r>
    </w:p>
    <w:p>
      <w:pPr>
        <w:rPr>
          <w:rFonts w:eastAsia="Arial Unicode MS"/>
          <w:noProof/>
        </w:rPr>
      </w:pPr>
      <w:r>
        <w:rPr>
          <w:noProof/>
        </w:rPr>
        <w:t xml:space="preserve">Το διοικητικό όργανο του ΠΟΤ είναι το Συμβούλιο, το οποίο βασίζεται στην επάρκεια και τις ικανότητες μιας γραμματείας και μιας σειράς τεχνικών και συμβουλευτικών επιτροπών για την εκπλήρωση της αποστολής του. </w:t>
      </w:r>
    </w:p>
    <w:p>
      <w:pPr>
        <w:rPr>
          <w:rFonts w:eastAsiaTheme="majorEastAsia"/>
          <w:bCs/>
          <w:noProof/>
          <w:szCs w:val="26"/>
        </w:rPr>
      </w:pPr>
      <w:r>
        <w:rPr>
          <w:noProof/>
        </w:rPr>
        <w:t>Η τεχνική επιτροπή του ΠΟΤ, η οποία είναι επιφορτισμένη με τις προπαρασκευαστικές εργασίες που σχετίζονται με τη συμφωνία, είναι η επιτροπή του ΕΣ. Τα κύρια καθήκοντα της επιτροπής του ΕΣ είναι τα εξής:</w:t>
      </w:r>
    </w:p>
    <w:p>
      <w:pPr>
        <w:pStyle w:val="Bullet0"/>
        <w:numPr>
          <w:ilvl w:val="0"/>
          <w:numId w:val="18"/>
        </w:numPr>
        <w:rPr>
          <w:noProof/>
        </w:rPr>
      </w:pPr>
      <w:r>
        <w:rPr>
          <w:noProof/>
        </w:rPr>
        <w:t xml:space="preserve">να διασφαλίζει ομοιόμορφη ερμηνεία και εφαρμογή των νομικών κειμένων του εναρμονισμένου συστήματος, μεταξύ άλλων με την επίλυση διαφορών περί κατάταξης μεταξύ των συμβαλλόμενων μερών, ώστε να διευκολύνεται έτσι το εμπόριο· </w:t>
      </w:r>
    </w:p>
    <w:p>
      <w:pPr>
        <w:pStyle w:val="Bullet0"/>
        <w:rPr>
          <w:noProof/>
        </w:rPr>
      </w:pPr>
      <w:r>
        <w:rPr>
          <w:noProof/>
        </w:rPr>
        <w:t xml:space="preserve">να προτείνει τροποποιήσεις και επικαιροποιήσεις του εναρμονισμένου συστήματος οι οποίες να αντικατοπτρίζουν τις τεχνολογικές εξελίξεις και τις αλλαγές στη διάρθρωση του εμπορίου, καθώς και άλλες ανάγκες των χρηστών του εναρμονισμένου συστήματος· </w:t>
      </w:r>
    </w:p>
    <w:p>
      <w:pPr>
        <w:pStyle w:val="Bullet0"/>
        <w:rPr>
          <w:noProof/>
        </w:rPr>
      </w:pPr>
      <w:r>
        <w:rPr>
          <w:noProof/>
        </w:rPr>
        <w:t>να προωθεί την ευρεία εφαρμογή του εναρμονισμένου συστήματος και να εξετάζει γενικές ερωτήσεις και θέματα πολιτικής που το αφορούν.</w:t>
      </w:r>
    </w:p>
    <w:p>
      <w:pPr>
        <w:ind w:left="720"/>
        <w:contextualSpacing/>
        <w:rPr>
          <w:rFonts w:eastAsiaTheme="majorEastAsia"/>
          <w:bCs/>
          <w:noProof/>
          <w:szCs w:val="26"/>
        </w:rPr>
      </w:pPr>
    </w:p>
    <w:p>
      <w:pPr>
        <w:rPr>
          <w:rFonts w:eastAsiaTheme="majorEastAsia"/>
          <w:bCs/>
          <w:noProof/>
          <w:szCs w:val="26"/>
        </w:rPr>
      </w:pPr>
      <w:r>
        <w:rPr>
          <w:noProof/>
        </w:rPr>
        <w:t>Το Συμβούλιο του ΠΟΤ εξετάζει προτάσεις τροποποίησης της συμφωνίας, τις οποίες προετοιμάζει η επιτροπή του ΕΣ, και μπορεί να τις συστήσει στα συμβαλλόμενα μέρη. Οι τροποποιήσεις που συνιστά το Συμβούλιο του ΠΟΤ θεωρούνται αποδεκτές εάν κανένα συμβαλλόμενο μέρος δεν διατυπώσει αντίρρηση εντός έξι μηνών από την κοινοποίησή τους σε αυτά.</w:t>
      </w:r>
    </w:p>
    <w:p>
      <w:pPr>
        <w:rPr>
          <w:rFonts w:eastAsiaTheme="majorEastAsia"/>
          <w:bCs/>
          <w:noProof/>
          <w:szCs w:val="26"/>
        </w:rPr>
      </w:pPr>
      <w:r>
        <w:rPr>
          <w:noProof/>
        </w:rPr>
        <w:t>Οι θέσεις που πρέπει να λάβει η Ένωση στο πλαίσιο του ΠΟΤ όσον αφορά το ΕΣ αποφασίζονται σε συντονισμό με τα κράτη μέλη. Η Ένωση και τα κράτη μέλη της έχουν από κοινού μία μόνο ψήφο στο Συμβούλιο του ΠΟΤ.</w:t>
      </w:r>
    </w:p>
    <w:p>
      <w:pPr>
        <w:pStyle w:val="ManualHeading2"/>
        <w:rPr>
          <w:noProof/>
        </w:rPr>
      </w:pPr>
      <w:r>
        <w:t>2.3.</w:t>
      </w:r>
      <w:r>
        <w:tab/>
      </w:r>
      <w:r>
        <w:rPr>
          <w:noProof/>
        </w:rPr>
        <w:t>Η προβλεπόμενη πράξη του Συμβουλίου του ΠΟΤ</w:t>
      </w:r>
    </w:p>
    <w:p>
      <w:pPr>
        <w:rPr>
          <w:rFonts w:eastAsia="Arial Unicode MS"/>
          <w:noProof/>
        </w:rPr>
      </w:pPr>
      <w:r>
        <w:rPr>
          <w:noProof/>
        </w:rPr>
        <w:t xml:space="preserve">Στις 27-29 Ιουνίου 2019, το Συμβούλιο του ΠΟΤ πρόκειται να εκδώσει σύσταση σύμφωνα με το άρθρο 16 της σύμβασης του ΕΣ όσον αφορά τροποποιήσεις της ονοματολογίας του εναρμονισμένου συστήματος. Η σύσταση θα περιλαμβάνει, μεταξύ άλλων, τροποποίηση σχετική με ορισμένα νέα προϊόντα καπνού («η προβλεπόμενη πράξη»). </w:t>
      </w:r>
    </w:p>
    <w:p>
      <w:pPr>
        <w:rPr>
          <w:rFonts w:eastAsia="Arial Unicode MS"/>
          <w:noProof/>
        </w:rPr>
      </w:pPr>
      <w:r>
        <w:rPr>
          <w:noProof/>
        </w:rPr>
        <w:t>Η επιτροπή του ΕΣ, για την προετοιμασία της σύστασης, στις 19-29 Μαρτίου 2019, κατά την εξηκοστή τρίτη σύνοδό της, πρόκειται να προετοιμάσει σχέδιο πρότασης για τροποποίηση της ονοματολογίας του ΕΣ όσον αφορά τα εν λόγω προϊόντα. Η τροποποίηση αυτή πρέπει να ενσωματωθεί σε σχέδιο σύστασης προς το Συμβούλιο του ΠΟΤ, το οποίο περιλαμβάνει όλες τις προτεινόμενες τροποποιήσεις του παραρτήματος της συμφωνίας (αυτές που εγκρίθηκαν κατά τη συνεδρίαση του Μαρτίου και εκείνες που εγκρίθηκαν κατά τις προηγούμενες συνεδριάσεις της επιτροπής του ΕΣ), για τις οποίες θα λάβει απόφαση το Συμβούλιο του ΠΟΤ κατά τη συνεδρίασή του τον Ιούνιο. Η αναθεωρημένη ονοματολογία του ΕΣ θα αρχίσει να ισχύει το 2022.</w:t>
      </w:r>
    </w:p>
    <w:p>
      <w:pPr>
        <w:rPr>
          <w:rFonts w:eastAsia="Arial Unicode MS"/>
          <w:noProof/>
        </w:rPr>
      </w:pPr>
      <w:r>
        <w:rPr>
          <w:noProof/>
        </w:rPr>
        <w:t>Το υπό εξέταση σχέδιο τροποποίησης είναι το αποτέλεσμα των εργασιών της υποεπιτροπής αναθεώρησης (RSC) του ΕΣ του ΠΟΤ. Η RSC συζήτησε την πρόταση κατά την 55η σύνοδό της, η οποία πραγματοποιήθηκε τον Νοέμβριο του 2018. Εκείνη την χρονική στιγμή, η ΕΕ δεν ήταν σε θέση να εκθέσει τη θέση της. Το αποτέλεσμα των εργασιών της RSC παρουσιάζεται στην επιτροπή του ΕΣ για την οριστικοποίηση του σχεδίου της προτεινόμενης τροποποίησης όσον αφορά εκείνα τα μέρη του που παραμένουν ανοικτά προς συζήτηση.</w:t>
      </w:r>
    </w:p>
    <w:p>
      <w:pPr>
        <w:rPr>
          <w:rFonts w:eastAsia="Arial Unicode MS"/>
          <w:noProof/>
        </w:rPr>
      </w:pPr>
      <w:r>
        <w:rPr>
          <w:noProof/>
        </w:rPr>
        <w:t>Σκοπός της προβλεπόμενης πράξης είναι η τροποποίηση της δομής της ονοματολογίας του ΕΣ με σκοπό την κατάταξη νέων προϊόντων καπνού που προορίζονται για εισπνοή υπό μορφή αεριοποιημένου καπνού μέσω θέρμανσης ή με άλλα μέσα στη νέα κλάση 24.04 «Προϊόντα που περιέχουν καπνό, ανασχηματισμένο καπνό, νικοτίνη ή υποκατάστατα καπνού ή νικοτίνης που προορίζονται για εισπνοή χωρίς καύση. Άλλα νικοτινούχα προϊόντα που προορίζονται για την πρόσληψη νικοτίνης από το ανθρώπινο σώμα».</w:t>
      </w:r>
    </w:p>
    <w:p>
      <w:pPr>
        <w:pStyle w:val="ManualHeading1"/>
        <w:rPr>
          <w:rFonts w:eastAsia="Arial Unicode MS"/>
          <w:noProof/>
        </w:rPr>
      </w:pPr>
      <w:r>
        <w:t>3.</w:t>
      </w:r>
      <w:r>
        <w:tab/>
      </w:r>
      <w:r>
        <w:rPr>
          <w:noProof/>
        </w:rPr>
        <w:t>Θέση που πρέπει να ληφθεί εξ ονόματος της Ένωσης</w:t>
      </w:r>
    </w:p>
    <w:p>
      <w:pPr>
        <w:rPr>
          <w:noProof/>
        </w:rPr>
      </w:pPr>
      <w:r>
        <w:rPr>
          <w:noProof/>
        </w:rPr>
        <w:t>Στόχος της προτεινόμενης θέσης είναι να εκφραστεί η στήριξη του σχεδίου τροποποίησης της ονοματολογίας του ΕΣ όσον αφορά τα νέα προϊόντα καπνού. Στόχος της είναι επίσης να εκφραστεί η προτίμηση όσον αφορά την επιλογή της διατύπωσης που πρέπει να συμπεριληφθεί στις συμπληρωματικές σημειώσεις της ονοματολογίας του ΕΣ, οι οποίες επί του παρόντος παραμένουν εντός παρενθέσεων στο σχέδιο τροποποίησης, δεδομένου ότι εκκρεμεί ακόμη η λήψη απόφασης.</w:t>
      </w:r>
    </w:p>
    <w:p>
      <w:pPr>
        <w:rPr>
          <w:noProof/>
        </w:rPr>
      </w:pPr>
      <w:r>
        <w:rPr>
          <w:noProof/>
        </w:rPr>
        <w:t>Βάσει της ισχύουσας ονοματολογίας του ΕΣ, τα περισσότερα συμβαλλόμενα μέρη, συμπεριλαμβανομένης της Ευρωπαϊκής Ένωσης, προτιμούν να κατατάσσουν ορισμένα νέα προϊόντα καπνού υπό τη διάκριση 2403.99 του ΕΣ ως «άλλα καπνά που έχουν βιομηχανοποιηθεί». Επί του παρόντος δεν υπάρχει οριστική απόφαση του ΠΟΤ για την κατάταξη των εν λόγω προϊόντων.</w:t>
      </w:r>
    </w:p>
    <w:p>
      <w:pPr>
        <w:rPr>
          <w:noProof/>
        </w:rPr>
      </w:pPr>
      <w:r>
        <w:rPr>
          <w:noProof/>
        </w:rPr>
        <w:t>Είναι σημαντικό για την ΕΕ τα νέα αυτά προϊόντα καπνού να υπαχθούν σε χωριστή κλάση στην αναθεωρημένη ονοματολογία του ΕΣ, η οποία θα τεθεί σε ισχύ το 2022, για να διευκολυνθεί η κατάταξή τους. Είναι επίσης σημαντικό να εκφραστούν ορισμένες προτιμήσεις όσον αφορά την επιλογή της διατύπωσης που πρέπει να συμπεριληφθεί στις νέες σημειώσεις του κεφαλαίου 24 για την αποσαφήνιση της διαχωριστικής γραμμής μεταξύ των διαφόρων κλάσεων του εν λόγω κεφαλαίου. Έχουν ληφθεί υπόψη τα σχόλια και οι υποδείξεις της γραμματείας του ΠΟΤ στο έγγραφο NC2591E1a (HSC/63).</w:t>
      </w:r>
    </w:p>
    <w:p>
      <w:pPr>
        <w:rPr>
          <w:noProof/>
        </w:rPr>
      </w:pPr>
      <w:r>
        <w:rPr>
          <w:noProof/>
        </w:rPr>
        <w:t>Η προτεινόμενη θέση έχει ως εξής:</w:t>
      </w:r>
    </w:p>
    <w:p>
      <w:pPr>
        <w:pStyle w:val="Tiret0"/>
        <w:numPr>
          <w:ilvl w:val="0"/>
          <w:numId w:val="19"/>
        </w:numPr>
        <w:rPr>
          <w:noProof/>
        </w:rPr>
      </w:pPr>
      <w:r>
        <w:rPr>
          <w:noProof/>
        </w:rPr>
        <w:t>Όσον αφορά την κατάταξη νέων προϊόντων καπνού, η Ένωση θα πρέπει να επαναφέρει την αρχική της θέση υπέρ της πρότασης των ΠΟΥ/ΠΟΤ, του Σεπτεμβρίου 2018, για την συγκέντρωση των νέων προϊόντων αεριοποιημένου καπνού μαζί με άλλα προϊόντα καπνού υπό την κλάση 24.03 και τον αντικειμενικό προσδιορισμό τους βάσει του τρόπου κατανάλωσής τους, ο οποίος περιλαμβάνει διεργασία θέρμανσης, ως προτιμώμενη επιλογή, αντί της αναφοράς σε απουσία διεργασίας καύσης, η οποία είναι αμφισβητούμενη. Ωστόσο, σε πνεύμα συνεργασίας και μετά από περαιτέρω εξέταση, η Ένωση μπορεί πλέον να αποδεχθεί την επιλογή που προέκυψε με πλειοψηφία στην επιτροπή του ΕΣ του ΠΟΤ και στις διαδοχικές εργασίες της RSC του ΠΟΤ, για την κατάταξη των εν λόγω προϊόντων στη νέα κλάση 24.04. Αυτό, εν αναμονή της εκτίμησης των ιδιοτήτων και των εκπομπών των εν λόγω προϊόντων, μετά την απόφαση σχετικά με νέα και νεοεμφανιζόμενα προϊόντα καπνού που εγκρίθηκε, με την υποστήριξη της Ένωσης, στην 8</w:t>
      </w:r>
      <w:r>
        <w:rPr>
          <w:noProof/>
          <w:vertAlign w:val="superscript"/>
        </w:rPr>
        <w:t>η</w:t>
      </w:r>
      <w:r>
        <w:rPr>
          <w:noProof/>
        </w:rPr>
        <w:t xml:space="preserve"> διάσκεψη των μερών της σύμβασης πλαισίου του ΠΟΥ για τον έλεγχο του καπνού (FCTC)</w:t>
      </w:r>
      <w:r>
        <w:rPr>
          <w:rStyle w:val="FootnoteReference"/>
          <w:noProof/>
        </w:rPr>
        <w:footnoteReference w:id="4"/>
      </w:r>
      <w:r>
        <w:rPr>
          <w:noProof/>
        </w:rPr>
        <w:t>.</w:t>
      </w:r>
    </w:p>
    <w:p>
      <w:pPr>
        <w:pStyle w:val="Tiret0"/>
        <w:rPr>
          <w:noProof/>
        </w:rPr>
      </w:pPr>
      <w:r>
        <w:rPr>
          <w:noProof/>
        </w:rPr>
        <w:t>Στη νέα σημείωση 2 του κεφαλαίου 24: η Ένωση θα πρέπει να υποστηρίξει την πρώτη επιλογή σύμφωνα με την οποία «2.- Η κλάση 24.04 δεν καλύπτει τα προϊόντα που προσδιορίζονται στις κλάσεις 24.02 και 24.03</w:t>
      </w:r>
      <w:r>
        <w:rPr>
          <w:rStyle w:val="FootnoteReference"/>
          <w:noProof/>
        </w:rPr>
        <w:footnoteReference w:id="5"/>
      </w:r>
      <w:r>
        <w:rPr>
          <w:noProof/>
        </w:rPr>
        <w:t>». Σε αντίθεση με τη γνώμη της γραμματείας του ΠΟΤ που διατυπώθηκε στο προαναφερθέν έγγραφο, η Ένωση δεν θα πρέπει να υποστηρίξει τη διασφάλιση προτεραιότητας για την κλάση 24.04 όσον αφορά την κατάταξη ορισμένων νέων προϊόντων καπνού σε αυτήν. Είναι πράγματι προτιμότερο να περιοριστεί το πεδίο αυτής της κλάσης στα προϊόντα που κατατάσσονται σαφώς σε αυτήν, έτσι ώστε τα προϊόντα καπνού που μπορούν να κατατάσσονται σε αυτή την κλάση αλλά και σε άλλη κλάση του κεφαλαίου 24 (24.02 ή 24.03) να κατατάσσονται υπό τις εν λόγω άλλες κλάσεις.</w:t>
      </w:r>
    </w:p>
    <w:p>
      <w:pPr>
        <w:pStyle w:val="Tiret0"/>
        <w:rPr>
          <w:noProof/>
        </w:rPr>
      </w:pPr>
      <w:r>
        <w:rPr>
          <w:noProof/>
        </w:rPr>
        <w:t>Στη νέα σημείωση 3 του κεφαλαίου 24: η Ένωση δεν θα πρέπει να υποστηρίξει τη συμπερίληψη του κειμένου μεταξύ παρενθέσεων «είτε παράγεται καπνός είτε όχι». Η αναφορά στον καπνό μπορεί να προκαλέσει σύγχυση όσον αφορά τη διάκριση μεταξύ προϊόντων των κλάσεων 24.02 (και 24.03) και 24.04, δεδομένου ότι ο αρχικός στόχος και ο σκοπός δημιουργίας της νέας κλάσης 24.04 είναι να καλύπτει προϊόντα που δεν καπνίζονται με τον παραδοσιακό τρόπο. Ωστόσο, οι ιδιότητες και οι εκπομπές των εν λόγω προϊόντων αξιολογούνται επί του παρόντος στο πλαίσιο απόφασης σχετικά με νέα και νεοεμφανιζόμενα προϊόντα καπνού η οποία εγκρίθηκε κατά την 8</w:t>
      </w:r>
      <w:r>
        <w:rPr>
          <w:noProof/>
          <w:vertAlign w:val="superscript"/>
        </w:rPr>
        <w:t>η</w:t>
      </w:r>
      <w:r>
        <w:rPr>
          <w:noProof/>
        </w:rPr>
        <w:t xml:space="preserve"> διάσκεψη των μερών της σύμβασης πλαισίου του ΠΟΥ για τον έλεγχο του καπνού. Ως εκ τούτου, κρίνεται σκοπιμότερο να αναμένει τα αποτελέσματα της εν λόγω εκτίμησης και να επανεξετάσει το ζήτημα εφόσον υπάρξουν νέα στοιχεία σχετικά με την δασμολογική κατάταξη.</w:t>
      </w:r>
    </w:p>
    <w:p>
      <w:pPr>
        <w:rPr>
          <w:noProof/>
        </w:rPr>
      </w:pPr>
      <w:r>
        <w:rPr>
          <w:noProof/>
        </w:rPr>
        <w:t xml:space="preserve">Η προτεινόμενη θέση της ΕΕ είναι σύμφωνη με την καθιερωμένη τελωνειακή πολιτική και τη νομολογία του Δικαστηρίου της Ευρωπαϊκής Ένωσης για την κατάταξη των εμπορευμάτων κατά την εισαγωγή τους σύμφωνα με τα αντικειμενικά χαρακτηριστικά και τις αντικειμενικές ιδιότητές τους. </w:t>
      </w:r>
    </w:p>
    <w:p>
      <w:pPr>
        <w:rPr>
          <w:noProof/>
        </w:rPr>
      </w:pPr>
      <w:r>
        <w:rPr>
          <w:noProof/>
        </w:rPr>
        <w:t xml:space="preserve">Η προτεινόμενη θέση είναι αναγκαία ώστε η ΕΕ να είναι σε θέση να εκφράσει τη γνώμη της στην επόμενη συνεδρίαση του Συμβουλίου του ΠΟΤ. Η ίδια θέση θα εκφραστεί κατά τη διάρκεια των προπαρασκευαστικών εργασιών, και ιδίως κατά τη συνεδρίαση της επιτροπής του ΕΣ, με την προϋπόθεση ότι, κατά τη συνεδρίαση της επιτροπής του εναρμονισμένου συστήματος, η ΕΕ θα υποστηρίξει τη σύνταξη της πρότασης της επιτροπής, εφόσον είναι σύμφωνη με την άποψη της πλειονότητας των συμβαλλομένων μερών. </w:t>
      </w:r>
    </w:p>
    <w:p>
      <w:pPr>
        <w:pStyle w:val="ManualHeading1"/>
        <w:rPr>
          <w:noProof/>
        </w:rPr>
      </w:pPr>
      <w:r>
        <w:t>4.</w:t>
      </w:r>
      <w:r>
        <w:tab/>
      </w:r>
      <w:r>
        <w:rPr>
          <w:noProof/>
        </w:rPr>
        <w:t>Νομική βάση</w:t>
      </w:r>
    </w:p>
    <w:p>
      <w:pPr>
        <w:pStyle w:val="ManualHeading3"/>
        <w:rPr>
          <w:noProof/>
        </w:rPr>
      </w:pPr>
      <w:r>
        <w:t>4.1.1.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w:t>
      </w:r>
      <w:r>
        <w:rPr>
          <w:i/>
          <w:noProof/>
        </w:rPr>
        <w:t>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r>
        <w:rPr>
          <w:noProof/>
        </w:rPr>
        <w:t>».</w:t>
      </w:r>
    </w:p>
    <w:p>
      <w:pPr>
        <w:rPr>
          <w:noProof/>
        </w:rPr>
      </w:pPr>
      <w:r>
        <w:rPr>
          <w:noProof/>
        </w:rPr>
        <w:t>Η έννοια των «</w:t>
      </w:r>
      <w:r>
        <w:rPr>
          <w:i/>
          <w:noProof/>
        </w:rPr>
        <w:t>πράξεων που παράγουν έννομα αποτελέσματα</w:t>
      </w:r>
      <w:r>
        <w:rPr>
          <w:noProof/>
        </w:rPr>
        <w:t>» περιλαμβάνει πράξεις που παράγουν έννομα αποτελέσματα δυνάμει των κανόνων του διεθνούς δικαίου που διέπουν το εν λόγω όργανο. Περιλαμβάνει επίσης πράξεις που δεν έχουν δεσμευτική ισχύ βάσει του διεθνούς δικαίου, αλλά «</w:t>
      </w:r>
      <w:r>
        <w:rPr>
          <w:i/>
          <w:noProof/>
        </w:rPr>
        <w:t>επηρεάζουν με καθοριστικό τρόπο το περιεχόμενο των ρυθμίσεων που θεσπίζει ο νομοθέτης της Ένωσης</w:t>
      </w:r>
      <w:r>
        <w:rPr>
          <w:noProof/>
        </w:rPr>
        <w:t>»</w:t>
      </w:r>
      <w:r>
        <w:rPr>
          <w:rStyle w:val="FootnoteReference"/>
          <w:noProof/>
        </w:rPr>
        <w:footnoteReference w:id="6"/>
      </w:r>
      <w:r>
        <w:rPr>
          <w:noProof/>
        </w:rPr>
        <w:t>.</w:t>
      </w:r>
    </w:p>
    <w:p>
      <w:pPr>
        <w:rPr>
          <w:noProof/>
        </w:rPr>
      </w:pPr>
      <w:r>
        <w:rPr>
          <w:noProof/>
        </w:rPr>
        <w:t>Ως εκ τούτου, η διαδικαστική νομική βάση της προτεινόμενης απόφασης για τον καθορισμό της θέσης που πρέπει να ληφθεί εξ ονόματος της Ένωσης και αφορά την προβλεπόμενη πράξη είναι το άρθρο 218 παράγραφος 9 της ΣΛΕΕ.</w:t>
      </w:r>
    </w:p>
    <w:p>
      <w:pPr>
        <w:pStyle w:val="ManualHeading3"/>
        <w:rPr>
          <w:noProof/>
        </w:rPr>
      </w:pPr>
      <w:r>
        <w:t>4.1.2.</w:t>
      </w:r>
      <w:r>
        <w:tab/>
      </w:r>
      <w:r>
        <w:rPr>
          <w:noProof/>
        </w:rPr>
        <w:t>Εφαρμογή στην προκειμένη περίπτωση</w:t>
      </w:r>
    </w:p>
    <w:p>
      <w:pPr>
        <w:rPr>
          <w:noProof/>
        </w:rPr>
      </w:pPr>
      <w:r>
        <w:rPr>
          <w:noProof/>
        </w:rPr>
        <w:t>Το Συμβούλιο του ΠΟΤ είναι όργανο που έχει συσταθεί με συμφωνία, δηλαδή τη σύμβαση για τη σύσταση Συμβουλίου Τελωνειακής Συνεργασίας της 15ης Δεκεμβρίου 1950. Είναι ο αρμόδιος φορέας, δυνάμει της διεθνούς σύμβασης για το εναρμονισμένο σύστημα περιγραφής και κωδικοποίησης των εμπορευμάτων, για την έκδοση συστάσεων προς τα συμβαλλόμενα μέρη για την τροποποίηση της εν λόγω σύμβασης.</w:t>
      </w:r>
    </w:p>
    <w:p>
      <w:pPr>
        <w:rPr>
          <w:noProof/>
        </w:rPr>
      </w:pPr>
      <w:r>
        <w:rPr>
          <w:noProof/>
        </w:rPr>
        <w:t xml:space="preserve">Το Συμβούλιο του ΠΟΤ αναμένεται να συστήσει στα συμβαλλόμενα μέρη του ΕΣ τροποποίηση του παραρτήματος της εν λόγω σύμβασης (η ονοματολογία του ΕΣ) στη συνεδρίασή του τον Ιούνιο, η οποία θα θεωρηθεί αποδεκτή εντός έξι μηνών, εκτός εάν ένα συμβαλλόμενο μέρος φέρει αντίρρηση. Μετά την έγκρισή της, η σύσταση θα ενσωματωθεί στη νομοθεσία της ΕΕ, και συγκεκριμένα: Στο παράρτημα I του κανονισμού (ΕΟΚ) αριθ. 2658/87 του Συμβουλίου για τη δασμολογική και στατιστική ονοματολογία και το κοινό δασμολόγιο. Αυτό οφείλεται στο γεγονός ότι το άρθρο 2 στοιχείο α) του εν λόγω κανονισμού αναφέρει: </w:t>
      </w:r>
      <w:r>
        <w:rPr>
          <w:i/>
          <w:noProof/>
        </w:rPr>
        <w:t>« 2.  Η συνδυασμένη ονοματολογία περιλαμβάνει: α) την ονοματολογία του εναρμονισμένου συστήματος·»</w:t>
      </w:r>
      <w:r>
        <w:rPr>
          <w:noProof/>
        </w:rPr>
        <w:t xml:space="preserve"> </w:t>
      </w:r>
    </w:p>
    <w:p>
      <w:pPr>
        <w:rPr>
          <w:noProof/>
        </w:rPr>
      </w:pPr>
      <w:r>
        <w:rPr>
          <w:noProof/>
        </w:rPr>
        <w:t>Η προβλεπόμενη πράξη δεν συμπληρώνει ούτε τροποποιεί το θεσμικό πλαίσιο της συμφωνίας.</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σε σχέση με την οποία λαμβάνεται θέση εξ ονόματος της Ένωσης. Αν η προβλεπόμενη πράξη επιδιώκει διττό σκοπό ή έχει δύο συνιστώσες και αν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μόνο ουσιαστική νομική βάση, δηλαδή εκείνη που επιβάλλει ο κύριος ή πρωτεύων σκοπός ή συνιστώσα.</w:t>
      </w:r>
    </w:p>
    <w:p>
      <w:pPr>
        <w:pStyle w:val="ManualHeading3"/>
        <w:rPr>
          <w:noProof/>
        </w:rPr>
      </w:pPr>
      <w:r>
        <w:t>4.2.2.</w:t>
      </w:r>
      <w:r>
        <w:tab/>
      </w:r>
      <w:r>
        <w:rPr>
          <w:noProof/>
        </w:rPr>
        <w:t>Εφαρμογή στην προκειμένη περίπτωση</w:t>
      </w:r>
    </w:p>
    <w:p>
      <w:pPr>
        <w:rPr>
          <w:noProof/>
        </w:rPr>
      </w:pPr>
      <w:r>
        <w:rPr>
          <w:noProof/>
        </w:rPr>
        <w:t>Δεδομένου ότι ο κύριος στόχος και το περιεχόμενο της προβλεπόμενης πράξης αφορούν την τελωνειακή ένωση, η ουσιαστική νομική βάση της προτεινόμενης απόφασης είναι το άρθρο 28 παράγραφος 1 της ΣΛΕΕ.</w:t>
      </w:r>
    </w:p>
    <w:p>
      <w:pPr>
        <w:rPr>
          <w:noProof/>
        </w:rPr>
      </w:pPr>
      <w:r>
        <w:rPr>
          <w:noProof/>
        </w:rPr>
        <w:t>4.3. Συμπέρασμα</w:t>
      </w:r>
    </w:p>
    <w:p>
      <w:pPr>
        <w:rPr>
          <w:noProof/>
        </w:rPr>
      </w:pPr>
      <w:r>
        <w:rPr>
          <w:noProof/>
        </w:rPr>
        <w:t>Το άρθρο 28 παράγραφος 1 της ΣΛΕΕ, σε συνδυασμό με το άρθρο 218 παράγραφος 9 της ΣΛΕΕ, θα πρέπει να αποτελέσουν τη νομική βάση της προτεινόμενης απόφασης.</w:t>
      </w:r>
    </w:p>
    <w:p>
      <w:pPr>
        <w:pStyle w:val="ManualHeading1"/>
        <w:rPr>
          <w:noProof/>
        </w:rPr>
      </w:pPr>
      <w:r>
        <w:t>5.</w:t>
      </w:r>
      <w:r>
        <w:tab/>
      </w:r>
      <w:r>
        <w:rPr>
          <w:noProof/>
        </w:rPr>
        <w:t xml:space="preserve">Δημοσιονομικές επιπτώσεις </w:t>
      </w:r>
    </w:p>
    <w:p>
      <w:pPr>
        <w:rPr>
          <w:noProof/>
        </w:rPr>
      </w:pPr>
      <w:r>
        <w:rPr>
          <w:noProof/>
        </w:rPr>
        <w:t xml:space="preserve">Η πρόταση δεν έχει καμία επίπτωση στον προϋπολογισμό της Ευρωπαϊκής Ένωσης. </w:t>
      </w:r>
    </w:p>
    <w:p>
      <w:pPr>
        <w:pStyle w:val="ManualHeading1"/>
        <w:rPr>
          <w:noProof/>
        </w:rPr>
      </w:pPr>
      <w:r>
        <w:t>6.</w:t>
      </w:r>
      <w:r>
        <w:tab/>
      </w:r>
      <w:r>
        <w:rPr>
          <w:noProof/>
        </w:rPr>
        <w:t>Δημοσίευση της προβλεπόμενης πράξης</w:t>
      </w:r>
    </w:p>
    <w:p>
      <w:pPr>
        <w:rPr>
          <w:noProof/>
          <w:lang w:val="en-US"/>
        </w:rPr>
      </w:pPr>
      <w:r>
        <w:rPr>
          <w:noProof/>
        </w:rPr>
        <w:t>Καμία</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2019/0069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πρέπει να ληφθεί εξ ονόματος της Ευρωπαϊκής Ένωσης στο πλαίσιο του Παγκόσμιου Οργανισμού Τελωνείων όσον αφορά το εναρμονισμένο σύστημα</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28 παράγραφος 1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Η διεθνής σύμβαση για το εναρμονισμένο σύστημα περιγραφής και κωδικοποίησης των εμπορευμάτων («η συμφωνία») συνήφθη από την Ένωση με την απόφαση 87/369 του Συμβουλίου της 7ης Απριλίου 1987</w:t>
      </w:r>
      <w:r>
        <w:rPr>
          <w:rStyle w:val="FootnoteReference"/>
          <w:noProof/>
        </w:rPr>
        <w:footnoteReference w:id="7"/>
      </w:r>
      <w:r>
        <w:rPr>
          <w:noProof/>
        </w:rPr>
        <w:t xml:space="preserve"> και τέθηκε σε ισχύ την 1η Ιανουαρίου 1988. </w:t>
      </w:r>
    </w:p>
    <w:p>
      <w:pPr>
        <w:pStyle w:val="ManualConsidrant"/>
        <w:rPr>
          <w:noProof/>
        </w:rPr>
      </w:pPr>
      <w:r>
        <w:t>(2)</w:t>
      </w:r>
      <w:r>
        <w:tab/>
      </w:r>
      <w:r>
        <w:rPr>
          <w:noProof/>
        </w:rPr>
        <w:t xml:space="preserve">Δυνάμει του άρθρου 7 της συμφωνίας, η επιτροπή του εναρμονισμένου συστήματος μπορεί να εκπονεί προτάσεις τροποποίησης της ονοματολογίας του εναρμονισμένου συστήματος για το Συμβούλιο του ΠΟΤ. Βάσει του άρθρου 16 της συμφωνίας, το Συμβούλιο του ΠΟΤ δύναται να συστήσει την παρούσα τροποποίηση στα συμβαλλόμενα μέρη.  </w:t>
      </w:r>
    </w:p>
    <w:p>
      <w:pPr>
        <w:pStyle w:val="ManualConsidrant"/>
        <w:rPr>
          <w:noProof/>
        </w:rPr>
      </w:pPr>
      <w:r>
        <w:t>(3)</w:t>
      </w:r>
      <w:r>
        <w:tab/>
      </w:r>
      <w:r>
        <w:rPr>
          <w:noProof/>
        </w:rPr>
        <w:t xml:space="preserve">Το Συμβούλιο του ΠΟΤ αναμένεται να αποφασίσει σχετικά με σύσταση προς τα συμβαλλόμενα μέρη για τροποποίηση της ονοματολογίας του ΕΣ όσον αφορά το κεφάλαιο 24 κατά τη σύνοδό του τον Ιούνιο. Η σύσταση αυτή θα εκδοθεί βάσει πρότασης τροποποίησης που θα εκπονήσει η επιτροπή του εναρμονισμένου συστήματος, η οποία αναμένεται να ολοκληρωθεί κατά την 63η σύνοδο/συνεδρίασή της στις 19-29 Μαρτίου 2019. </w:t>
      </w:r>
    </w:p>
    <w:p>
      <w:pPr>
        <w:pStyle w:val="ManualConsidrant"/>
        <w:rPr>
          <w:noProof/>
        </w:rPr>
      </w:pPr>
      <w:r>
        <w:t>(4)</w:t>
      </w:r>
      <w:r>
        <w:tab/>
      </w:r>
      <w:r>
        <w:rPr>
          <w:noProof/>
        </w:rPr>
        <w:t>Η 8η διάσκεψη των μερών της σύμβασης πλαισίου του ΠΟΥ για τον έλεγχο του καπνού (FCTC) ενέκρινε την απόφαση FCTC/COP8(22) σχετικά με νέα και νεοεμφανιζόμενα προϊόντα καπνού ώστε κατόπιν αυτής να ληφθούν περισσότερα επιστημονικά δεδομένα σχετικά με τα εν λόγω προϊόντα και, ειδικότερα, να ληφθούν διευκρινίσεις σχετικά με τις ιδιότητες και τις εκπομπές των εν λόγω προϊόντων.</w:t>
      </w:r>
    </w:p>
    <w:p>
      <w:pPr>
        <w:pStyle w:val="ManualConsidrant"/>
        <w:rPr>
          <w:noProof/>
        </w:rPr>
      </w:pPr>
      <w:r>
        <w:t>(5)</w:t>
      </w:r>
      <w:r>
        <w:tab/>
      </w:r>
      <w:r>
        <w:rPr>
          <w:noProof/>
        </w:rPr>
        <w:t>Είναι σημαντικό να υπενθυμιστεί ότι, σύμφωνα με την πάγια νομολογία του Δικαστηρίου της Ευρωπαϊκής Ένωσης, για λόγους ασφάλειας δικαίου και διευκόλυνσης της επαλήθευσης, το καθοριστικό κριτήριο για την δασμολογική κατάταξη των εμπορευμάτων πρέπει γενικά να αναζητείται στα αντικειμενικά χαρακτηριστικά και τις αντικειμενικές ιδιότητές τους, όπως ορίζονται στη διατύπωση της σχετικής κλάσης της τελωνειακής ονοματολογίας και στις σχετικές σημειώσεις των τμημάτων και των κεφαλαίων.</w:t>
      </w:r>
    </w:p>
    <w:p>
      <w:pPr>
        <w:pStyle w:val="ManualConsidrant"/>
        <w:rPr>
          <w:noProof/>
        </w:rPr>
      </w:pPr>
      <w:r>
        <w:t>(6)</w:t>
      </w:r>
      <w:r>
        <w:tab/>
      </w:r>
      <w:r>
        <w:rPr>
          <w:noProof/>
        </w:rPr>
        <w:t>Με βάση τη σύσταση για τροποποίηση της ονοματολογίας του ΕΣ που πρόκειται να εγκριθεί από το Συμβούλιο του ΠΟΤ, είναι σκόπιμο να καθοριστεί η θέση που πρέπει να ληφθεί εξ ονόματος της Ένωσης, δεδομένου ότι, μετά την αποδοχή της βάσει του άρθρου 16 της συμφωνίας, η σύσταση μπορεί να επηρεάσει αποφασιστικά το περιεχόμενο του δικαίου της Ένωσης, και συγκεκριμένα το παράρτημα 1 του κανονισμού (ΕΟΚ) αριθ. 2658/87 του Συμβουλίου για τη δασμολογική και στατιστική ονοματολογία και το κοινό δασμολόγιο. Η θέση θα εκφραστεί κατά τα προπαρασκευαστικά στάδια των εργασιών του Συμβουλίου του ΠΟΤ, συμπεριλαμβανομένης της επιτροπής του εναρμονισμένου συστήματος.</w:t>
      </w:r>
    </w:p>
    <w:p>
      <w:pPr>
        <w:pStyle w:val="ManualConsidrant"/>
        <w:rPr>
          <w:noProof/>
        </w:rPr>
      </w:pPr>
      <w:r>
        <w:t>(7)</w:t>
      </w:r>
      <w:r>
        <w:tab/>
      </w:r>
      <w:r>
        <w:rPr>
          <w:noProof/>
        </w:rPr>
        <w:t xml:space="preserve">Είναι σκόπιμο να υποστηριχθεί το σχέδιο τροποποίησης της ονοματολογίας του ΕΣ όσον αφορά το κεφάλαιο 24 και να εκφραστούν οι απόψεις και οι προτιμήσεις της Ένωσης για τα κείμενα επί των οποίων εξακολουθεί να εκκρεμεί η λήψη απόφασης, με την προϋπόθεση ότι, κατά τη συνεδρίαση της επιτροπής του εναρμονισμένου συστήματος, η ΕΕ θα υποστηρίξει τη σύνταξη της πρότασης της επιτροπής, εφόσον είναι σύμφωνη με την άποψη της πλειονότητας των συμβαλλόμενων μερών. </w:t>
      </w:r>
    </w:p>
    <w:p>
      <w:pPr>
        <w:pStyle w:val="Formuledadoption"/>
        <w:rPr>
          <w:noProof/>
        </w:rPr>
      </w:pPr>
      <w:r>
        <w:rPr>
          <w:noProof/>
        </w:rPr>
        <w:t>ΕΞΕΔΩΣΕ ΤΗΝ ΠΑΡΟΥΣΑ ΑΠΟΦΑΣΗ:</w:t>
      </w:r>
    </w:p>
    <w:p>
      <w:pPr>
        <w:pStyle w:val="Titrearticle"/>
        <w:rPr>
          <w:noProof/>
        </w:rPr>
      </w:pPr>
      <w:r>
        <w:rPr>
          <w:noProof/>
        </w:rPr>
        <w:t>Άρθρο 1</w:t>
      </w:r>
    </w:p>
    <w:p>
      <w:pPr>
        <w:rPr>
          <w:noProof/>
        </w:rPr>
      </w:pPr>
      <w:r>
        <w:rPr>
          <w:noProof/>
        </w:rPr>
        <w:t>Η θέση που πρέπει να ληφθεί εξ ονόματος της Ένωσης στο Συμβούλιο του ΠΟΤ παρατίθεται στο παράρτημα.</w:t>
      </w:r>
    </w:p>
    <w:p>
      <w:pPr>
        <w:pStyle w:val="Titrearticle"/>
        <w:rPr>
          <w:noProof/>
        </w:rPr>
      </w:pPr>
      <w:r>
        <w:rPr>
          <w:noProof/>
        </w:rPr>
        <w:t>Άρθρο 2</w:t>
      </w:r>
    </w:p>
    <w:p>
      <w:pPr>
        <w:rPr>
          <w:noProof/>
        </w:rPr>
      </w:pPr>
      <w:r>
        <w:rPr>
          <w:noProof/>
        </w:rPr>
        <w:t>Η παρούσα απόφαση απευθύνεται στην Επιτροπή.</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 xml:space="preserve">Ο Πρόεδρος </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Τα «νέα» προϊόντα καπνού στο πλαίσιο της συζήτησης για το ΕΣ δεν είναι κατ’ ανάγκη ίδια με εκείνα που καλύπτονται από τον ορισμό των «νέων προϊόντων καπνού» που παρέχεται στο άρθρο 2 παράγραφος 14 της οδηγίας 2014/40/ΕΕ του Ευρωπαϊκού Κοινοβουλίου και του Συμβουλίου, της 3ης Απριλίου 2014, για την προσέγγιση των νομοθετικών, κανονιστικών και διοικητικών διατάξεων των κρατών μελών σχετικά με την κατασκευή, την παρουσίαση και την πώληση προϊόντων καπνού και συναφών προϊόντων και την κατάργηση της οδηγίας 2001/37/ΕΚ (ΕΕ L 127 29.4.2014, σ. 1). </w:t>
      </w:r>
    </w:p>
  </w:footnote>
  <w:footnote w:id="2">
    <w:p>
      <w:pPr>
        <w:pStyle w:val="FootnoteText"/>
      </w:pPr>
      <w:r>
        <w:rPr>
          <w:rStyle w:val="FootnoteReference"/>
        </w:rPr>
        <w:footnoteRef/>
      </w:r>
      <w:r>
        <w:tab/>
        <w:t>Από την καθιέρωσή της το 1988, η ονοματολογία του ΕΣ έχει αναθεωρηθεί πέντε φορές. Οι εν λόγω αναθεωρήσεις τέθηκαν σε ισχύ το 1996, το 2002, το 2007, το 2012 και το 2017.</w:t>
      </w:r>
    </w:p>
  </w:footnote>
  <w:footnote w:id="3">
    <w:p>
      <w:pPr>
        <w:pStyle w:val="FootnoteText"/>
      </w:pPr>
      <w:r>
        <w:rPr>
          <w:rStyle w:val="FootnoteReference"/>
        </w:rPr>
        <w:footnoteRef/>
      </w:r>
      <w:r>
        <w:tab/>
        <w:t>Απόφαση 87/369 του Συμβουλίου, της 7ης Απριλίου 1987, για τη σύναψη της διεθνούς σύμβασης για το εναρμονισμένο σύστημα περιγραφής και κωδικοποίησης των εμπορευμάτων, καθώς και του τροποποιητικού της πρωτοκόλλου (ΕΕ L 198 της 20.7.1987, σ. 1).</w:t>
      </w:r>
    </w:p>
  </w:footnote>
  <w:footnote w:id="4">
    <w:p>
      <w:pPr>
        <w:pStyle w:val="FootnoteText"/>
      </w:pPr>
      <w:r>
        <w:rPr>
          <w:rStyle w:val="FootnoteReference"/>
        </w:rPr>
        <w:footnoteRef/>
      </w:r>
      <w:r>
        <w:tab/>
        <w:t>Απόφαση FCTC/COP8(22)</w:t>
      </w:r>
    </w:p>
  </w:footnote>
  <w:footnote w:id="5">
    <w:p>
      <w:pPr>
        <w:pStyle w:val="FootnoteText"/>
        <w:ind w:left="709" w:hanging="709"/>
      </w:pPr>
      <w:r>
        <w:rPr>
          <w:rStyle w:val="FootnoteReference"/>
        </w:rPr>
        <w:footnoteRef/>
      </w:r>
      <w:r>
        <w:tab/>
        <w:t>Η κλάση 24.02 καλύπτει «Πούρα (στα οποία περιλαμβάνονται και εκείνα με κομμένα τα άκρα), πουράκια και τσιγάρα, από καπνό ή υποκατάστατα του καπνού». Η κλάση 24.03 περιλαμβάνει «Άλλα καπνά και υποκατάστατα του καπνού, που έχουν βιομηχανοποιηθεί. Καπνά «ομογενοποιημένα» ή «ανασχηματισμένα». Εκχυλίσματα και βάμματα καπνού».</w:t>
      </w:r>
    </w:p>
  </w:footnote>
  <w:footnote w:id="6">
    <w:p>
      <w:pPr>
        <w:pStyle w:val="FootnoteText"/>
      </w:pPr>
      <w:r>
        <w:rPr>
          <w:rStyle w:val="FootnoteReference"/>
        </w:rPr>
        <w:footnoteRef/>
      </w:r>
      <w:r>
        <w:tab/>
        <w:t xml:space="preserve">Απόφαση του Δικαστηρίου της 7ης Οκτωβρίου 2014, Γερμανία κατά Συμβουλίου, C-399/12, ECLI:EU:C:2014:2258, σκέψεις 61 έως 64. </w:t>
      </w:r>
    </w:p>
  </w:footnote>
  <w:footnote w:id="7">
    <w:p>
      <w:pPr>
        <w:pStyle w:val="FootnoteText"/>
      </w:pPr>
      <w:r>
        <w:rPr>
          <w:rStyle w:val="FootnoteReference"/>
        </w:rPr>
        <w:footnoteRef/>
      </w:r>
      <w:r>
        <w:tab/>
        <w:t>ΕΕ L 198 της 20.7.1987, 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13"/>
    <w:lvlOverride w:ilvl="0">
      <w:startOverride w:val="1"/>
    </w:lvlOverride>
  </w:num>
  <w:num w:numId="19">
    <w:abstractNumId w:val="21"/>
    <w:lvlOverride w:ilvl="0">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 w:numId="34">
    <w:abstractNumId w:val="21"/>
  </w:num>
  <w:num w:numId="35">
    <w:abstractNumId w:val="11"/>
  </w:num>
  <w:num w:numId="36">
    <w:abstractNumId w:val="24"/>
  </w:num>
  <w:num w:numId="37">
    <w:abstractNumId w:val="6"/>
  </w:num>
  <w:num w:numId="38">
    <w:abstractNumId w:val="12"/>
  </w:num>
  <w:num w:numId="39">
    <w:abstractNumId w:val="4"/>
  </w:num>
  <w:num w:numId="40">
    <w:abstractNumId w:val="23"/>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11 10:11:0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4582B87-2D89-45D6-86A7-E373A6AD7D93"/>
    <w:docVar w:name="LW_COVERPAGE_TYPE" w:val="1"/>
    <w:docVar w:name="LW_CROSSREFERENCE" w:val="&lt;UNUSED&gt;"/>
    <w:docVar w:name="LW_DocType" w:val="COM"/>
    <w:docVar w:name="LW_EMISSION" w:val="1.3.2019"/>
    <w:docVar w:name="LW_EMISSION_ISODATE" w:val="2019-03-01"/>
    <w:docVar w:name="LW_EMISSION_LOCATION" w:val="BRX"/>
    <w:docVar w:name="LW_EMISSION_PREFIX" w:val="Βρυξέλλες,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69"/>
    <w:docVar w:name="LW_REF.II.NEW.CP_YEAR" w:val="2019"/>
    <w:docVar w:name="LW_REF.INST.NEW" w:val="COM"/>
    <w:docVar w:name="LW_REF.INST.NEW_ADOPTED" w:val="final"/>
    <w:docVar w:name="LW_REF.INST.NEW_TEXT" w:val="(2019) 1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9? \u960?\u955?\u945?\u943?\u963?\u953?\u959? \u964?\u959?\u965? \u928?\u945?\u947?\u954?\u972?\u963?\u956?\u953?\u959?\u965? \u927?\u961?\u947?\u945?\u957?\u953?\u963?\u956?\u959?\u973? \u932?\u949?\u955?\u969?\u957?\u949?\u943?\u969?\u957? \u972?\u963?\u959?\u957? \u945?\u966?\u959?\u961?\u940? \u964?\u959? \u949?\u957?\u945?\u961?\u956?\u959?\u957?\u953?\u963?\u956?\u941?\u957?\u959? \u963?\u973?\u963?\u964?\u951?\u956?\u945?"/>
    <w:docVar w:name="LW_TYPE.DOC.CP" w:val="\u913?\u928?\u927?\u934?\u913?\u931?\u919?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l-GR"/>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l-GR"/>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l-GR"/>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el-GR" w:eastAsia="el-GR"/>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rPr>
  </w:style>
  <w:style w:type="paragraph" w:styleId="ListNumber">
    <w:name w:val="List Number"/>
    <w:basedOn w:val="Normal"/>
    <w:pPr>
      <w:numPr>
        <w:numId w:val="6"/>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
    <w:name w:val="List Dash"/>
    <w:basedOn w:val="Normal"/>
    <w:pPr>
      <w:numPr>
        <w:numId w:val="3"/>
      </w:numPr>
    </w:pPr>
    <w:rPr>
      <w:rFonts w:eastAsia="Times New Roman"/>
    </w:rPr>
  </w:style>
  <w:style w:type="paragraph" w:customStyle="1" w:styleId="ListDash1">
    <w:name w:val="List Dash 1"/>
    <w:basedOn w:val="Normal"/>
    <w:pPr>
      <w:numPr>
        <w:numId w:val="4"/>
      </w:numPr>
    </w:pPr>
    <w:rPr>
      <w:rFonts w:eastAsia="Times New Roman"/>
    </w:rPr>
  </w:style>
  <w:style w:type="paragraph" w:customStyle="1" w:styleId="ListDash2">
    <w:name w:val="List Dash 2"/>
    <w:basedOn w:val="Normal"/>
    <w:pPr>
      <w:numPr>
        <w:numId w:val="5"/>
      </w:numPr>
    </w:pPr>
    <w:rPr>
      <w:rFonts w:eastAsia="Times New Roman"/>
    </w:rPr>
  </w:style>
  <w:style w:type="paragraph" w:customStyle="1" w:styleId="ListNumberLevel2">
    <w:name w:val="List Number (Level 2)"/>
    <w:basedOn w:val="Normal"/>
    <w:pPr>
      <w:numPr>
        <w:ilvl w:val="1"/>
        <w:numId w:val="6"/>
      </w:numPr>
    </w:pPr>
    <w:rPr>
      <w:rFonts w:eastAsia="Times New Roman"/>
    </w:rPr>
  </w:style>
  <w:style w:type="paragraph" w:customStyle="1" w:styleId="ListNumberLevel3">
    <w:name w:val="List Number (Level 3)"/>
    <w:basedOn w:val="Normal"/>
    <w:pPr>
      <w:numPr>
        <w:ilvl w:val="2"/>
        <w:numId w:val="6"/>
      </w:numPr>
    </w:pPr>
    <w:rPr>
      <w:rFonts w:eastAsia="Times New Roman"/>
    </w:rPr>
  </w:style>
  <w:style w:type="paragraph" w:customStyle="1" w:styleId="ListNumberLevel4">
    <w:name w:val="List Number (Level 4)"/>
    <w:basedOn w:val="Normal"/>
    <w:pPr>
      <w:numPr>
        <w:ilvl w:val="3"/>
        <w:numId w:val="6"/>
      </w:numPr>
    </w:pPr>
    <w:rPr>
      <w:rFonts w:eastAsia="Times New Roman"/>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7"/>
      </w:numPr>
    </w:pPr>
    <w:rPr>
      <w:rFonts w:eastAsia="Times New Roman"/>
    </w:rPr>
  </w:style>
  <w:style w:type="paragraph" w:styleId="ListBullet2">
    <w:name w:val="List Bullet 2"/>
    <w:basedOn w:val="Normal"/>
    <w:pPr>
      <w:numPr>
        <w:numId w:val="8"/>
      </w:numPr>
    </w:pPr>
    <w:rPr>
      <w:rFonts w:eastAsia="Times New Roman"/>
    </w:rPr>
  </w:style>
  <w:style w:type="paragraph" w:styleId="ListBullet3">
    <w:name w:val="List Bullet 3"/>
    <w:basedOn w:val="Normal"/>
    <w:pPr>
      <w:numPr>
        <w:numId w:val="9"/>
      </w:numPr>
    </w:pPr>
    <w:rPr>
      <w:rFonts w:eastAsia="Times New Roman"/>
    </w:rPr>
  </w:style>
  <w:style w:type="paragraph" w:styleId="ListNumber2">
    <w:name w:val="List Number 2"/>
    <w:basedOn w:val="Normal"/>
    <w:pPr>
      <w:numPr>
        <w:numId w:val="13"/>
      </w:numPr>
    </w:pPr>
    <w:rPr>
      <w:rFonts w:eastAsia="Times New Roman"/>
    </w:rPr>
  </w:style>
  <w:style w:type="paragraph" w:styleId="ListNumber3">
    <w:name w:val="List Number 3"/>
    <w:basedOn w:val="Normal"/>
    <w:pPr>
      <w:numPr>
        <w:numId w:val="14"/>
      </w:numPr>
    </w:pPr>
    <w:rPr>
      <w:rFonts w:eastAsia="Times New Roman"/>
    </w:rPr>
  </w:style>
  <w:style w:type="paragraph" w:styleId="ListNumber4">
    <w:name w:val="List Number 4"/>
    <w:basedOn w:val="Normal"/>
    <w:pPr>
      <w:numPr>
        <w:numId w:val="15"/>
      </w:numPr>
    </w:pPr>
    <w:rPr>
      <w:rFonts w:eastAsia="Times New Roman"/>
    </w:rPr>
  </w:style>
  <w:style w:type="paragraph" w:customStyle="1" w:styleId="ListDash3">
    <w:name w:val="List Dash 3"/>
    <w:basedOn w:val="Normal"/>
    <w:pPr>
      <w:numPr>
        <w:numId w:val="10"/>
      </w:numPr>
    </w:pPr>
    <w:rPr>
      <w:rFonts w:eastAsia="Times New Roman"/>
    </w:rPr>
  </w:style>
  <w:style w:type="paragraph" w:customStyle="1" w:styleId="ListDash4">
    <w:name w:val="List Dash 4"/>
    <w:basedOn w:val="Normal"/>
    <w:pPr>
      <w:numPr>
        <w:numId w:val="11"/>
      </w:numPr>
    </w:pPr>
    <w:rPr>
      <w:rFonts w:eastAsia="Times New Roman"/>
    </w:rPr>
  </w:style>
  <w:style w:type="paragraph" w:customStyle="1" w:styleId="ListNumber1">
    <w:name w:val="List Number 1"/>
    <w:basedOn w:val="Text1"/>
    <w:pPr>
      <w:numPr>
        <w:numId w:val="12"/>
      </w:numPr>
    </w:pPr>
    <w:rPr>
      <w:rFonts w:eastAsia="Times New Roman"/>
    </w:rPr>
  </w:style>
  <w:style w:type="paragraph" w:customStyle="1" w:styleId="ListNumber1Level2">
    <w:name w:val="List Number 1 (Level 2)"/>
    <w:basedOn w:val="Text1"/>
    <w:pPr>
      <w:numPr>
        <w:ilvl w:val="1"/>
        <w:numId w:val="12"/>
      </w:numPr>
    </w:pPr>
    <w:rPr>
      <w:rFonts w:eastAsia="Times New Roman"/>
    </w:rPr>
  </w:style>
  <w:style w:type="paragraph" w:customStyle="1" w:styleId="ListNumber2Level2">
    <w:name w:val="List Number 2 (Level 2)"/>
    <w:basedOn w:val="Text2"/>
    <w:pPr>
      <w:numPr>
        <w:ilvl w:val="1"/>
        <w:numId w:val="13"/>
      </w:numPr>
    </w:pPr>
    <w:rPr>
      <w:rFonts w:eastAsia="Times New Roman"/>
    </w:rPr>
  </w:style>
  <w:style w:type="paragraph" w:customStyle="1" w:styleId="ListNumber3Level2">
    <w:name w:val="List Number 3 (Level 2)"/>
    <w:basedOn w:val="Text3"/>
    <w:pPr>
      <w:numPr>
        <w:ilvl w:val="1"/>
        <w:numId w:val="14"/>
      </w:numPr>
    </w:pPr>
    <w:rPr>
      <w:rFonts w:eastAsia="Times New Roman"/>
    </w:rPr>
  </w:style>
  <w:style w:type="paragraph" w:customStyle="1" w:styleId="ListNumber4Level2">
    <w:name w:val="List Number 4 (Level 2)"/>
    <w:basedOn w:val="Text4"/>
    <w:pPr>
      <w:numPr>
        <w:ilvl w:val="1"/>
        <w:numId w:val="15"/>
      </w:numPr>
    </w:pPr>
    <w:rPr>
      <w:rFonts w:eastAsia="Times New Roman"/>
    </w:rPr>
  </w:style>
  <w:style w:type="paragraph" w:customStyle="1" w:styleId="ListNumber1Level3">
    <w:name w:val="List Number 1 (Level 3)"/>
    <w:basedOn w:val="Text1"/>
    <w:pPr>
      <w:numPr>
        <w:ilvl w:val="2"/>
        <w:numId w:val="12"/>
      </w:numPr>
    </w:pPr>
    <w:rPr>
      <w:rFonts w:eastAsia="Times New Roman"/>
    </w:rPr>
  </w:style>
  <w:style w:type="paragraph" w:customStyle="1" w:styleId="ListNumber2Level3">
    <w:name w:val="List Number 2 (Level 3)"/>
    <w:basedOn w:val="Text2"/>
    <w:pPr>
      <w:numPr>
        <w:ilvl w:val="2"/>
        <w:numId w:val="13"/>
      </w:numPr>
    </w:pPr>
    <w:rPr>
      <w:rFonts w:eastAsia="Times New Roman"/>
    </w:rPr>
  </w:style>
  <w:style w:type="paragraph" w:customStyle="1" w:styleId="ListNumber3Level3">
    <w:name w:val="List Number 3 (Level 3)"/>
    <w:basedOn w:val="Text3"/>
    <w:pPr>
      <w:numPr>
        <w:ilvl w:val="2"/>
        <w:numId w:val="14"/>
      </w:numPr>
    </w:pPr>
    <w:rPr>
      <w:rFonts w:eastAsia="Times New Roman"/>
    </w:rPr>
  </w:style>
  <w:style w:type="paragraph" w:customStyle="1" w:styleId="ListNumber4Level3">
    <w:name w:val="List Number 4 (Level 3)"/>
    <w:basedOn w:val="Text4"/>
    <w:pPr>
      <w:numPr>
        <w:ilvl w:val="2"/>
        <w:numId w:val="15"/>
      </w:numPr>
    </w:pPr>
    <w:rPr>
      <w:rFonts w:eastAsia="Times New Roman"/>
    </w:rPr>
  </w:style>
  <w:style w:type="paragraph" w:customStyle="1" w:styleId="ListNumber1Level4">
    <w:name w:val="List Number 1 (Level 4)"/>
    <w:basedOn w:val="Text1"/>
    <w:pPr>
      <w:numPr>
        <w:ilvl w:val="3"/>
        <w:numId w:val="12"/>
      </w:numPr>
    </w:pPr>
    <w:rPr>
      <w:rFonts w:eastAsia="Times New Roman"/>
    </w:rPr>
  </w:style>
  <w:style w:type="paragraph" w:customStyle="1" w:styleId="ListNumber2Level4">
    <w:name w:val="List Number 2 (Level 4)"/>
    <w:basedOn w:val="Text2"/>
    <w:pPr>
      <w:numPr>
        <w:ilvl w:val="3"/>
        <w:numId w:val="13"/>
      </w:numPr>
    </w:pPr>
    <w:rPr>
      <w:rFonts w:eastAsia="Times New Roman"/>
    </w:rPr>
  </w:style>
  <w:style w:type="paragraph" w:customStyle="1" w:styleId="ListNumber3Level4">
    <w:name w:val="List Number 3 (Level 4)"/>
    <w:basedOn w:val="Text3"/>
    <w:pPr>
      <w:numPr>
        <w:ilvl w:val="3"/>
        <w:numId w:val="14"/>
      </w:numPr>
    </w:pPr>
    <w:rPr>
      <w:rFonts w:eastAsia="Times New Roman"/>
    </w:rPr>
  </w:style>
  <w:style w:type="paragraph" w:customStyle="1" w:styleId="ListNumber4Level4">
    <w:name w:val="List Number 4 (Level 4)"/>
    <w:basedOn w:val="Text4"/>
    <w:pPr>
      <w:numPr>
        <w:ilvl w:val="3"/>
        <w:numId w:val="15"/>
      </w:numPr>
    </w:pPr>
    <w:rPr>
      <w:rFonts w:eastAsia="Times New Roman"/>
    </w:rPr>
  </w:style>
  <w:style w:type="paragraph" w:customStyle="1" w:styleId="Annexetitreacte">
    <w:name w:val="Annexe titre (acte)"/>
    <w:basedOn w:val="Normal"/>
    <w:next w:val="Normal"/>
    <w:pPr>
      <w:jc w:val="center"/>
    </w:pPr>
    <w:rPr>
      <w:rFonts w:eastAsia="Times New Roman"/>
      <w:b/>
      <w:u w:val="single"/>
    </w:rPr>
  </w:style>
  <w:style w:type="paragraph" w:customStyle="1" w:styleId="Annexetitreexposglobal">
    <w:name w:val="Annexe titre (exposé global)"/>
    <w:basedOn w:val="Normal"/>
    <w:next w:val="Normal"/>
    <w:pPr>
      <w:jc w:val="center"/>
    </w:pPr>
    <w:rPr>
      <w:rFonts w:eastAsia="Times New Roman"/>
      <w:b/>
      <w:u w:val="single"/>
    </w:rPr>
  </w:style>
  <w:style w:type="paragraph" w:customStyle="1" w:styleId="Annexetitrefichefinacte">
    <w:name w:val="Annexe titre (fiche fin. acte)"/>
    <w:basedOn w:val="Normal"/>
    <w:next w:val="Normal"/>
    <w:pPr>
      <w:jc w:val="center"/>
    </w:pPr>
    <w:rPr>
      <w:rFonts w:eastAsia="Times New Roman"/>
      <w:b/>
      <w:u w:val="single"/>
    </w:rPr>
  </w:style>
  <w:style w:type="paragraph" w:customStyle="1" w:styleId="Annexetitrefichefinglobale">
    <w:name w:val="Annexe titre (fiche fin. globale)"/>
    <w:basedOn w:val="Normal"/>
    <w:next w:val="Normal"/>
    <w:pPr>
      <w:jc w:val="center"/>
    </w:pPr>
    <w:rPr>
      <w:rFonts w:eastAsia="Times New Roman"/>
      <w:b/>
      <w:u w:val="single"/>
    </w:rPr>
  </w:style>
  <w:style w:type="paragraph" w:customStyle="1" w:styleId="Annexetitreglobale">
    <w:name w:val="Annexe titre (globale)"/>
    <w:basedOn w:val="Normal"/>
    <w:next w:val="Normal"/>
    <w:pPr>
      <w:jc w:val="center"/>
    </w:pPr>
    <w:rPr>
      <w:rFonts w:eastAsia="Times New Roman"/>
      <w:b/>
      <w:u w:val="single"/>
    </w:rPr>
  </w:style>
  <w:style w:type="paragraph" w:customStyle="1" w:styleId="Exposdesmotifstitreglobal">
    <w:name w:val="Exposé des motifs titre (global)"/>
    <w:basedOn w:val="Normal"/>
    <w:next w:val="Normal"/>
    <w:pPr>
      <w:jc w:val="center"/>
    </w:pPr>
    <w:rPr>
      <w:rFonts w:eastAsia="Times New Roman"/>
      <w:b/>
      <w:u w:val="single"/>
    </w:rPr>
  </w:style>
  <w:style w:type="paragraph" w:customStyle="1" w:styleId="Langueoriginale">
    <w:name w:val="Langue originale"/>
    <w:basedOn w:val="Normal"/>
    <w:pPr>
      <w:spacing w:before="360"/>
      <w:jc w:val="center"/>
    </w:pPr>
    <w:rPr>
      <w:rFonts w:eastAsia="Times New Roman"/>
      <w:caps/>
    </w:rPr>
  </w:style>
  <w:style w:type="paragraph" w:customStyle="1" w:styleId="Phrasefinale">
    <w:name w:val="Phrase finale"/>
    <w:basedOn w:val="Normal"/>
    <w:next w:val="Normal"/>
    <w:pPr>
      <w:spacing w:before="360" w:after="0"/>
      <w:jc w:val="center"/>
    </w:pPr>
    <w:rPr>
      <w:rFonts w:eastAsia="Times New Roman"/>
    </w:rPr>
  </w:style>
  <w:style w:type="paragraph" w:customStyle="1" w:styleId="Prliminairetitre">
    <w:name w:val="Préliminaire titre"/>
    <w:basedOn w:val="Normal"/>
    <w:next w:val="Normal"/>
    <w:pPr>
      <w:spacing w:before="360" w:after="360"/>
      <w:jc w:val="center"/>
    </w:pPr>
    <w:rPr>
      <w:rFonts w:eastAsia="Times New Roman"/>
      <w:b/>
    </w:rPr>
  </w:style>
  <w:style w:type="paragraph" w:customStyle="1" w:styleId="Prliminairetype">
    <w:name w:val="Préliminaire type"/>
    <w:basedOn w:val="Normal"/>
    <w:next w:val="Normal"/>
    <w:pPr>
      <w:spacing w:before="360" w:after="0"/>
      <w:jc w:val="center"/>
    </w:pPr>
    <w:rPr>
      <w:rFonts w:eastAsia="Times New Roman"/>
      <w:b/>
    </w:rPr>
  </w:style>
  <w:style w:type="paragraph" w:customStyle="1" w:styleId="Rfrenceinstitutionelle">
    <w:name w:val="Référence institutionelle"/>
    <w:basedOn w:val="Normal"/>
    <w:next w:val="Statut"/>
    <w:pPr>
      <w:spacing w:before="0" w:after="240"/>
      <w:ind w:left="5103"/>
      <w:jc w:val="left"/>
    </w:pPr>
    <w:rPr>
      <w:rFonts w:eastAsia="Times New Roman"/>
    </w:rPr>
  </w:style>
  <w:style w:type="paragraph" w:customStyle="1" w:styleId="Rfrenceinterinstitutionelle">
    <w:name w:val="Référence interinstitutionelle"/>
    <w:basedOn w:val="Normal"/>
    <w:next w:val="Statut"/>
    <w:pPr>
      <w:spacing w:before="0" w:after="0"/>
      <w:ind w:left="5103"/>
      <w:jc w:val="left"/>
    </w:pPr>
    <w:rPr>
      <w:rFonts w:eastAsia="Times New Roman"/>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rPr>
  </w:style>
  <w:style w:type="paragraph" w:customStyle="1" w:styleId="Sous-titreobjetprliminaire">
    <w:name w:val="Sous-titre objet (préliminaire)"/>
    <w:basedOn w:val="Normal"/>
    <w:pPr>
      <w:spacing w:before="0" w:after="0"/>
      <w:jc w:val="center"/>
    </w:pPr>
    <w:rPr>
      <w:rFonts w:eastAsia="Times New Roman"/>
      <w:b/>
    </w:rPr>
  </w:style>
  <w:style w:type="paragraph" w:customStyle="1" w:styleId="Statutprliminaire">
    <w:name w:val="Statut (préliminaire)"/>
    <w:basedOn w:val="Normal"/>
    <w:next w:val="Normal"/>
    <w:pPr>
      <w:spacing w:before="360" w:after="0"/>
      <w:jc w:val="center"/>
    </w:pPr>
    <w:rPr>
      <w:rFonts w:eastAsia="Times New Roman"/>
    </w:rPr>
  </w:style>
  <w:style w:type="paragraph" w:customStyle="1" w:styleId="Titreobjetprliminaire">
    <w:name w:val="Titre objet (préliminaire)"/>
    <w:basedOn w:val="Normal"/>
    <w:next w:val="Normal"/>
    <w:pPr>
      <w:spacing w:before="360" w:after="360"/>
      <w:jc w:val="center"/>
    </w:pPr>
    <w:rPr>
      <w:rFonts w:eastAsia="Times New Roman"/>
      <w:b/>
    </w:rPr>
  </w:style>
  <w:style w:type="paragraph" w:customStyle="1" w:styleId="Typedudocumentprliminaire">
    <w:name w:val="Type du document (préliminaire)"/>
    <w:basedOn w:val="Normal"/>
    <w:next w:val="Normal"/>
    <w:pPr>
      <w:spacing w:before="360" w:after="0"/>
      <w:jc w:val="center"/>
    </w:pPr>
    <w:rPr>
      <w:rFonts w:eastAsia="Times New Roman"/>
      <w:b/>
    </w:rPr>
  </w:style>
  <w:style w:type="paragraph" w:customStyle="1" w:styleId="Fichefinancirestandardtitre">
    <w:name w:val="Fiche financière (standard) titre"/>
    <w:basedOn w:val="Normal"/>
    <w:next w:val="Normal"/>
    <w:pPr>
      <w:jc w:val="center"/>
    </w:pPr>
    <w:rPr>
      <w:rFonts w:eastAsia="Times New Roman"/>
      <w:b/>
      <w:u w:val="single"/>
    </w:rPr>
  </w:style>
  <w:style w:type="paragraph" w:customStyle="1" w:styleId="Fichefinancirestandardtitreacte">
    <w:name w:val="Fiche financière (standard) titre (acte)"/>
    <w:basedOn w:val="Normal"/>
    <w:next w:val="Normal"/>
    <w:pPr>
      <w:jc w:val="center"/>
    </w:pPr>
    <w:rPr>
      <w:rFonts w:eastAsia="Times New Roman"/>
      <w:b/>
      <w:u w:val="single"/>
    </w:rPr>
  </w:style>
  <w:style w:type="paragraph" w:customStyle="1" w:styleId="Fichefinanciretravailtitre">
    <w:name w:val="Fiche financière (travail) titre"/>
    <w:basedOn w:val="Normal"/>
    <w:next w:val="Normal"/>
    <w:pPr>
      <w:jc w:val="center"/>
    </w:pPr>
    <w:rPr>
      <w:rFonts w:eastAsia="Times New Roman"/>
      <w:b/>
      <w:u w:val="single"/>
    </w:rPr>
  </w:style>
  <w:style w:type="paragraph" w:customStyle="1" w:styleId="Fichefinanciretravailtitreacte">
    <w:name w:val="Fiche financière (travail) titre (acte)"/>
    <w:basedOn w:val="Normal"/>
    <w:next w:val="Normal"/>
    <w:pPr>
      <w:jc w:val="center"/>
    </w:pPr>
    <w:rPr>
      <w:rFonts w:eastAsia="Times New Roman"/>
      <w:b/>
      <w:u w:val="single"/>
    </w:rPr>
  </w:style>
  <w:style w:type="paragraph" w:customStyle="1" w:styleId="Fichefinancireattributiontitre">
    <w:name w:val="Fiche financière (attribution) titre"/>
    <w:basedOn w:val="Normal"/>
    <w:next w:val="Normal"/>
    <w:pPr>
      <w:jc w:val="center"/>
    </w:pPr>
    <w:rPr>
      <w:rFonts w:eastAsia="Times New Roman"/>
      <w:b/>
      <w:u w:val="single"/>
    </w:rPr>
  </w:style>
  <w:style w:type="paragraph" w:customStyle="1" w:styleId="Fichefinancireattributiontitreacte">
    <w:name w:val="Fiche financière (attribution) titre (acte)"/>
    <w:basedOn w:val="Normal"/>
    <w:next w:val="Normal"/>
    <w:pPr>
      <w:jc w:val="center"/>
    </w:pPr>
    <w:rPr>
      <w:rFonts w:eastAsia="Times New Roman"/>
      <w:b/>
      <w:u w:val="single"/>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l-GR" w:eastAsia="el-GR"/>
    </w:r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l-GR" w:eastAsia="el-GR"/>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rPr>
      <w:rFonts w:eastAsia="Times New Roman"/>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el-GR"/>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el-GR"/>
    </w:rPr>
  </w:style>
  <w:style w:type="paragraph" w:customStyle="1" w:styleId="HeaderCoverPage">
    <w:name w:val="Header Cover Page"/>
    <w:basedOn w:val="Normal"/>
    <w:link w:val="HeaderCoverPageChar"/>
    <w:pPr>
      <w:tabs>
        <w:tab w:val="center" w:pos="4535"/>
        <w:tab w:val="right" w:pos="9071"/>
      </w:tabs>
      <w:spacing w:before="0"/>
    </w:pPr>
    <w:rPr>
      <w:rFonts w:eastAsia="Calibri"/>
    </w:rPr>
  </w:style>
  <w:style w:type="character" w:customStyle="1" w:styleId="HeaderCoverPageChar">
    <w:name w:val="Header Cover Page Char"/>
    <w:link w:val="HeaderCoverPage"/>
    <w:rPr>
      <w:rFonts w:ascii="Times New Roman" w:eastAsia="Calibri" w:hAnsi="Times New Roman" w:cs="Times New Roman"/>
      <w:sz w:val="24"/>
      <w:lang w:val="el-GR" w:eastAsia="el-GR"/>
    </w:rPr>
  </w:style>
  <w:style w:type="paragraph" w:styleId="NormalWeb">
    <w:name w:val="Normal (Web)"/>
    <w:basedOn w:val="Normal"/>
    <w:uiPriority w:val="99"/>
    <w:semiHidden/>
    <w:unhideWhenUsed/>
    <w:rPr>
      <w:szCs w:val="24"/>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5186">
      <w:bodyDiv w:val="1"/>
      <w:marLeft w:val="0"/>
      <w:marRight w:val="0"/>
      <w:marTop w:val="0"/>
      <w:marBottom w:val="0"/>
      <w:divBdr>
        <w:top w:val="none" w:sz="0" w:space="0" w:color="auto"/>
        <w:left w:val="none" w:sz="0" w:space="0" w:color="auto"/>
        <w:bottom w:val="none" w:sz="0" w:space="0" w:color="auto"/>
        <w:right w:val="none" w:sz="0" w:space="0" w:color="auto"/>
      </w:divBdr>
      <w:divsChild>
        <w:div w:id="928659607">
          <w:marLeft w:val="0"/>
          <w:marRight w:val="0"/>
          <w:marTop w:val="0"/>
          <w:marBottom w:val="0"/>
          <w:divBdr>
            <w:top w:val="none" w:sz="0" w:space="0" w:color="auto"/>
            <w:left w:val="none" w:sz="0" w:space="0" w:color="auto"/>
            <w:bottom w:val="none" w:sz="0" w:space="0" w:color="auto"/>
            <w:right w:val="none" w:sz="0" w:space="0" w:color="auto"/>
          </w:divBdr>
          <w:divsChild>
            <w:div w:id="580330350">
              <w:marLeft w:val="1350"/>
              <w:marRight w:val="0"/>
              <w:marTop w:val="375"/>
              <w:marBottom w:val="600"/>
              <w:divBdr>
                <w:top w:val="none" w:sz="0" w:space="0" w:color="auto"/>
                <w:left w:val="none" w:sz="0" w:space="0" w:color="auto"/>
                <w:bottom w:val="none" w:sz="0" w:space="0" w:color="auto"/>
                <w:right w:val="none" w:sz="0" w:space="0" w:color="auto"/>
              </w:divBdr>
              <w:divsChild>
                <w:div w:id="1185754947">
                  <w:marLeft w:val="0"/>
                  <w:marRight w:val="0"/>
                  <w:marTop w:val="0"/>
                  <w:marBottom w:val="0"/>
                  <w:divBdr>
                    <w:top w:val="none" w:sz="0" w:space="0" w:color="auto"/>
                    <w:left w:val="none" w:sz="0" w:space="0" w:color="auto"/>
                    <w:bottom w:val="none" w:sz="0" w:space="0" w:color="auto"/>
                    <w:right w:val="none" w:sz="0" w:space="0" w:color="auto"/>
                  </w:divBdr>
                  <w:divsChild>
                    <w:div w:id="370570500">
                      <w:marLeft w:val="0"/>
                      <w:marRight w:val="0"/>
                      <w:marTop w:val="0"/>
                      <w:marBottom w:val="0"/>
                      <w:divBdr>
                        <w:top w:val="none" w:sz="0" w:space="0" w:color="auto"/>
                        <w:left w:val="none" w:sz="0" w:space="0" w:color="auto"/>
                        <w:bottom w:val="none" w:sz="0" w:space="0" w:color="auto"/>
                        <w:right w:val="none" w:sz="0" w:space="0" w:color="auto"/>
                      </w:divBdr>
                      <w:divsChild>
                        <w:div w:id="360327064">
                          <w:marLeft w:val="0"/>
                          <w:marRight w:val="0"/>
                          <w:marTop w:val="0"/>
                          <w:marBottom w:val="0"/>
                          <w:divBdr>
                            <w:top w:val="none" w:sz="0" w:space="0" w:color="auto"/>
                            <w:left w:val="none" w:sz="0" w:space="0" w:color="auto"/>
                            <w:bottom w:val="none" w:sz="0" w:space="0" w:color="auto"/>
                            <w:right w:val="none" w:sz="0" w:space="0" w:color="auto"/>
                          </w:divBdr>
                          <w:divsChild>
                            <w:div w:id="866144496">
                              <w:marLeft w:val="0"/>
                              <w:marRight w:val="0"/>
                              <w:marTop w:val="0"/>
                              <w:marBottom w:val="0"/>
                              <w:divBdr>
                                <w:top w:val="none" w:sz="0" w:space="0" w:color="auto"/>
                                <w:left w:val="none" w:sz="0" w:space="0" w:color="auto"/>
                                <w:bottom w:val="none" w:sz="0" w:space="0" w:color="auto"/>
                                <w:right w:val="none" w:sz="0" w:space="0" w:color="auto"/>
                              </w:divBdr>
                              <w:divsChild>
                                <w:div w:id="841965663">
                                  <w:marLeft w:val="0"/>
                                  <w:marRight w:val="0"/>
                                  <w:marTop w:val="0"/>
                                  <w:marBottom w:val="0"/>
                                  <w:divBdr>
                                    <w:top w:val="none" w:sz="0" w:space="0" w:color="auto"/>
                                    <w:left w:val="none" w:sz="0" w:space="0" w:color="auto"/>
                                    <w:bottom w:val="none" w:sz="0" w:space="0" w:color="auto"/>
                                    <w:right w:val="none" w:sz="0" w:space="0" w:color="auto"/>
                                  </w:divBdr>
                                  <w:divsChild>
                                    <w:div w:id="182477068">
                                      <w:marLeft w:val="150"/>
                                      <w:marRight w:val="150"/>
                                      <w:marTop w:val="150"/>
                                      <w:marBottom w:val="150"/>
                                      <w:divBdr>
                                        <w:top w:val="single" w:sz="36" w:space="8" w:color="E6E9EB"/>
                                        <w:left w:val="single" w:sz="36" w:space="8" w:color="E6E9EB"/>
                                        <w:bottom w:val="single" w:sz="36" w:space="8" w:color="E6E9EB"/>
                                        <w:right w:val="single" w:sz="36" w:space="8" w:color="E6E9EB"/>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17C1-F042-4CE5-9731-591C5253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8</Pages>
  <Words>2691</Words>
  <Characters>14968</Characters>
  <Application>Microsoft Office Word</Application>
  <DocSecurity>0</DocSecurity>
  <Lines>267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2019-02-22T15:36:00Z</cp:lastPrinted>
  <dcterms:created xsi:type="dcterms:W3CDTF">2019-03-08T12:41:00Z</dcterms:created>
  <dcterms:modified xsi:type="dcterms:W3CDTF">2019-03-11T09:11:00Z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